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C483B">
      <w:pPr>
        <w:rPr>
          <w:rFonts w:hint="default" w:eastAsia="宋体"/>
          <w:color w:val="auto"/>
          <w:sz w:val="36"/>
          <w:szCs w:val="36"/>
          <w:highlight w:val="none"/>
          <w:lang w:val="en-US" w:eastAsia="zh-CN"/>
        </w:rPr>
      </w:pPr>
      <w:bookmarkStart w:id="0" w:name="_Hlk66959821"/>
      <w:r>
        <w:rPr>
          <w:rFonts w:hint="eastAsia"/>
          <w:color w:val="auto"/>
          <w:sz w:val="36"/>
          <w:szCs w:val="36"/>
          <w:highlight w:val="none"/>
          <w:lang w:val="en-US" w:eastAsia="zh-CN"/>
        </w:rPr>
        <w:t xml:space="preserve">  </w:t>
      </w:r>
    </w:p>
    <w:p w14:paraId="481D59D3">
      <w:pPr>
        <w:pStyle w:val="4"/>
        <w:rPr>
          <w:color w:val="auto"/>
          <w:sz w:val="36"/>
          <w:szCs w:val="36"/>
          <w:highlight w:val="none"/>
        </w:rPr>
      </w:pPr>
    </w:p>
    <w:p w14:paraId="2E66A5AF">
      <w:pPr>
        <w:pStyle w:val="28"/>
        <w:rPr>
          <w:color w:val="auto"/>
          <w:sz w:val="36"/>
          <w:szCs w:val="36"/>
          <w:highlight w:val="none"/>
        </w:rPr>
      </w:pPr>
    </w:p>
    <w:p w14:paraId="65A5957B">
      <w:pPr>
        <w:pStyle w:val="28"/>
        <w:rPr>
          <w:color w:val="auto"/>
          <w:sz w:val="36"/>
          <w:szCs w:val="36"/>
          <w:highlight w:val="none"/>
        </w:rPr>
      </w:pPr>
    </w:p>
    <w:p w14:paraId="025BC1D3">
      <w:pPr>
        <w:rPr>
          <w:color w:val="auto"/>
          <w:sz w:val="36"/>
          <w:szCs w:val="36"/>
          <w:highlight w:val="none"/>
        </w:rPr>
      </w:pPr>
    </w:p>
    <w:p w14:paraId="15276C95">
      <w:pPr>
        <w:rPr>
          <w:color w:val="auto"/>
          <w:sz w:val="36"/>
          <w:szCs w:val="36"/>
          <w:highlight w:val="none"/>
        </w:rPr>
      </w:pPr>
    </w:p>
    <w:p w14:paraId="247D5B10">
      <w:pPr>
        <w:rPr>
          <w:color w:val="auto"/>
          <w:sz w:val="36"/>
          <w:szCs w:val="36"/>
          <w:highlight w:val="none"/>
        </w:rPr>
      </w:pPr>
    </w:p>
    <w:bookmarkEnd w:id="0"/>
    <w:p w14:paraId="781B3180">
      <w:pPr>
        <w:adjustRightInd w:val="0"/>
        <w:snapToGrid w:val="0"/>
        <w:jc w:val="center"/>
        <w:outlineLvl w:val="0"/>
        <w:rPr>
          <w:rFonts w:eastAsia="方正小标宋_GBK"/>
          <w:bCs/>
          <w:color w:val="auto"/>
          <w:sz w:val="72"/>
          <w:szCs w:val="72"/>
          <w:highlight w:val="none"/>
        </w:rPr>
      </w:pPr>
      <w:bookmarkStart w:id="1" w:name="_Toc890"/>
      <w:bookmarkStart w:id="2" w:name="_Toc5983"/>
      <w:r>
        <w:rPr>
          <w:rFonts w:eastAsia="方正小标宋_GBK"/>
          <w:bCs/>
          <w:color w:val="auto"/>
          <w:sz w:val="72"/>
          <w:szCs w:val="72"/>
          <w:highlight w:val="none"/>
        </w:rPr>
        <w:t>建设项目环境影响报告表</w:t>
      </w:r>
      <w:bookmarkEnd w:id="1"/>
      <w:bookmarkEnd w:id="2"/>
    </w:p>
    <w:p w14:paraId="464700A6">
      <w:pPr>
        <w:adjustRightInd w:val="0"/>
        <w:snapToGrid w:val="0"/>
        <w:spacing w:before="192" w:beforeLines="80"/>
        <w:jc w:val="center"/>
        <w:rPr>
          <w:rFonts w:eastAsia="楷体_GB2312"/>
          <w:bCs/>
          <w:color w:val="auto"/>
          <w:sz w:val="48"/>
          <w:szCs w:val="48"/>
          <w:highlight w:val="none"/>
        </w:rPr>
      </w:pPr>
      <w:r>
        <w:rPr>
          <w:rFonts w:eastAsia="楷体_GB2312"/>
          <w:bCs/>
          <w:color w:val="auto"/>
          <w:sz w:val="48"/>
          <w:szCs w:val="48"/>
          <w:highlight w:val="none"/>
        </w:rPr>
        <w:t>（污染影响类）</w:t>
      </w:r>
    </w:p>
    <w:p w14:paraId="2CF0B19A">
      <w:pPr>
        <w:bidi w:val="0"/>
        <w:rPr>
          <w:color w:val="auto"/>
          <w:highlight w:val="none"/>
        </w:rPr>
      </w:pPr>
    </w:p>
    <w:p w14:paraId="28DA3DDC">
      <w:pPr>
        <w:jc w:val="center"/>
        <w:rPr>
          <w:rFonts w:eastAsia="仿宋"/>
          <w:color w:val="auto"/>
          <w:sz w:val="52"/>
          <w:szCs w:val="52"/>
          <w:highlight w:val="none"/>
        </w:rPr>
      </w:pPr>
    </w:p>
    <w:p w14:paraId="5783DD63">
      <w:pPr>
        <w:ind w:firstLine="1040"/>
        <w:rPr>
          <w:rFonts w:eastAsia="仿宋"/>
          <w:color w:val="auto"/>
          <w:sz w:val="44"/>
          <w:szCs w:val="44"/>
          <w:highlight w:val="none"/>
        </w:rPr>
      </w:pPr>
    </w:p>
    <w:p w14:paraId="78D10F34">
      <w:pPr>
        <w:ind w:firstLine="1040"/>
        <w:rPr>
          <w:rFonts w:hint="eastAsia" w:eastAsia="仿宋"/>
          <w:color w:val="auto"/>
          <w:sz w:val="44"/>
          <w:szCs w:val="44"/>
          <w:highlight w:val="none"/>
          <w:lang w:val="en-US" w:eastAsia="zh-CN"/>
        </w:rPr>
      </w:pPr>
    </w:p>
    <w:p w14:paraId="074141D8">
      <w:pPr>
        <w:ind w:firstLine="1040"/>
        <w:rPr>
          <w:rFonts w:hint="eastAsia" w:eastAsia="仿宋"/>
          <w:color w:val="auto"/>
          <w:sz w:val="44"/>
          <w:szCs w:val="44"/>
          <w:highlight w:val="none"/>
          <w:lang w:val="en-US" w:eastAsia="zh-CN"/>
        </w:rPr>
      </w:pPr>
    </w:p>
    <w:p w14:paraId="6D87A9FF">
      <w:pPr>
        <w:ind w:firstLine="1040"/>
        <w:rPr>
          <w:rFonts w:eastAsia="仿宋"/>
          <w:color w:val="auto"/>
          <w:sz w:val="44"/>
          <w:szCs w:val="44"/>
          <w:highlight w:val="none"/>
        </w:rPr>
      </w:pPr>
    </w:p>
    <w:p w14:paraId="08919420">
      <w:pPr>
        <w:adjustRightInd w:val="0"/>
        <w:snapToGrid w:val="0"/>
        <w:spacing w:line="288" w:lineRule="auto"/>
        <w:ind w:left="1800" w:hanging="1800" w:hangingChars="500"/>
        <w:rPr>
          <w:rFonts w:hint="default" w:eastAsia="仿宋"/>
          <w:color w:val="auto"/>
          <w:sz w:val="36"/>
          <w:szCs w:val="36"/>
          <w:highlight w:val="none"/>
          <w:u w:val="single"/>
          <w:lang w:val="en-US" w:eastAsia="zh-CN"/>
        </w:rPr>
      </w:pPr>
      <w:r>
        <w:rPr>
          <w:rFonts w:ascii="仿宋" w:hAnsi="仿宋" w:eastAsia="仿宋"/>
          <w:color w:val="auto"/>
          <w:sz w:val="36"/>
          <w:szCs w:val="36"/>
          <w:highlight w:val="none"/>
        </w:rPr>
        <w:t>项</w:t>
      </w:r>
      <w:r>
        <w:rPr>
          <w:rFonts w:hAnsi="仿宋" w:eastAsia="仿宋"/>
          <w:color w:val="auto"/>
          <w:sz w:val="36"/>
          <w:szCs w:val="36"/>
          <w:highlight w:val="none"/>
        </w:rPr>
        <w:t>目名称：</w:t>
      </w:r>
      <w:r>
        <w:rPr>
          <w:rFonts w:hint="eastAsia" w:hAnsi="仿宋" w:eastAsia="仿宋"/>
          <w:color w:val="auto"/>
          <w:sz w:val="36"/>
          <w:szCs w:val="36"/>
          <w:highlight w:val="none"/>
          <w:u w:val="single"/>
          <w:lang w:val="en-US" w:eastAsia="zh-CN"/>
        </w:rPr>
        <w:t xml:space="preserve">苏州市利达亿涂饰厂扩建生产新能源汽车冷却类零部件项目                    </w:t>
      </w:r>
    </w:p>
    <w:p w14:paraId="3B6BAB50">
      <w:pPr>
        <w:adjustRightInd w:val="0"/>
        <w:snapToGrid w:val="0"/>
        <w:spacing w:line="288" w:lineRule="auto"/>
        <w:rPr>
          <w:rFonts w:hint="default" w:hAnsi="仿宋" w:eastAsia="仿宋"/>
          <w:color w:val="auto"/>
          <w:sz w:val="36"/>
          <w:szCs w:val="36"/>
          <w:highlight w:val="none"/>
          <w:u w:val="single"/>
          <w:lang w:val="en-US" w:eastAsia="zh-CN"/>
        </w:rPr>
      </w:pPr>
      <w:r>
        <w:rPr>
          <w:rFonts w:hAnsi="仿宋" w:eastAsia="仿宋"/>
          <w:color w:val="auto"/>
          <w:sz w:val="36"/>
          <w:szCs w:val="36"/>
          <w:highlight w:val="none"/>
        </w:rPr>
        <w:t>建设单位（盖章）：</w:t>
      </w:r>
      <w:r>
        <w:rPr>
          <w:rFonts w:hint="eastAsia" w:hAnsi="仿宋" w:eastAsia="仿宋"/>
          <w:color w:val="auto"/>
          <w:sz w:val="36"/>
          <w:szCs w:val="36"/>
          <w:highlight w:val="none"/>
          <w:u w:val="single"/>
          <w:lang w:val="en-US" w:eastAsia="zh-CN"/>
        </w:rPr>
        <w:t xml:space="preserve">      </w:t>
      </w:r>
      <w:r>
        <w:rPr>
          <w:rFonts w:hint="eastAsia" w:hAnsi="仿宋" w:eastAsia="仿宋"/>
          <w:color w:val="auto"/>
          <w:sz w:val="36"/>
          <w:szCs w:val="36"/>
          <w:highlight w:val="none"/>
          <w:u w:val="single"/>
        </w:rPr>
        <w:t>苏州市利达亿涂饰厂</w:t>
      </w:r>
      <w:r>
        <w:rPr>
          <w:rFonts w:hint="eastAsia" w:hAnsi="仿宋" w:eastAsia="仿宋"/>
          <w:color w:val="auto"/>
          <w:sz w:val="36"/>
          <w:szCs w:val="36"/>
          <w:highlight w:val="none"/>
          <w:u w:val="single"/>
          <w:lang w:val="en-US" w:eastAsia="zh-CN"/>
        </w:rPr>
        <w:t xml:space="preserve">     </w:t>
      </w:r>
    </w:p>
    <w:p w14:paraId="2A4A08F2">
      <w:pPr>
        <w:adjustRightInd w:val="0"/>
        <w:snapToGrid w:val="0"/>
        <w:spacing w:line="288" w:lineRule="auto"/>
        <w:rPr>
          <w:rFonts w:hint="default" w:eastAsia="仿宋"/>
          <w:color w:val="auto"/>
          <w:sz w:val="36"/>
          <w:szCs w:val="36"/>
          <w:highlight w:val="none"/>
          <w:u w:val="single"/>
          <w:lang w:val="en-US" w:eastAsia="zh-CN"/>
        </w:rPr>
      </w:pPr>
      <w:r>
        <w:rPr>
          <w:rFonts w:hAnsi="仿宋" w:eastAsia="仿宋"/>
          <w:color w:val="auto"/>
          <w:sz w:val="36"/>
          <w:szCs w:val="36"/>
          <w:highlight w:val="none"/>
        </w:rPr>
        <w:t>编制日期：</w:t>
      </w:r>
      <w:r>
        <w:rPr>
          <w:rFonts w:eastAsia="仿宋"/>
          <w:color w:val="auto"/>
          <w:sz w:val="36"/>
          <w:szCs w:val="36"/>
          <w:highlight w:val="none"/>
          <w:u w:val="single"/>
        </w:rPr>
        <w:t xml:space="preserve">        </w:t>
      </w:r>
      <w:r>
        <w:rPr>
          <w:rFonts w:hint="eastAsia" w:eastAsia="仿宋"/>
          <w:color w:val="auto"/>
          <w:sz w:val="36"/>
          <w:szCs w:val="36"/>
          <w:highlight w:val="none"/>
          <w:u w:val="single"/>
          <w:lang w:val="en-US" w:eastAsia="zh-CN"/>
        </w:rPr>
        <w:t xml:space="preserve">   </w:t>
      </w:r>
      <w:r>
        <w:rPr>
          <w:rFonts w:eastAsia="仿宋"/>
          <w:color w:val="auto"/>
          <w:sz w:val="36"/>
          <w:szCs w:val="36"/>
          <w:highlight w:val="none"/>
          <w:u w:val="single"/>
        </w:rPr>
        <w:t xml:space="preserve">  202</w:t>
      </w:r>
      <w:r>
        <w:rPr>
          <w:rFonts w:hint="eastAsia" w:eastAsia="仿宋"/>
          <w:color w:val="auto"/>
          <w:sz w:val="36"/>
          <w:szCs w:val="36"/>
          <w:highlight w:val="none"/>
          <w:u w:val="single"/>
          <w:lang w:val="en-US" w:eastAsia="zh-CN"/>
        </w:rPr>
        <w:t>6</w:t>
      </w:r>
      <w:r>
        <w:rPr>
          <w:rFonts w:hAnsi="仿宋" w:eastAsia="仿宋"/>
          <w:color w:val="auto"/>
          <w:sz w:val="36"/>
          <w:szCs w:val="36"/>
          <w:highlight w:val="none"/>
          <w:u w:val="single"/>
        </w:rPr>
        <w:t>年</w:t>
      </w:r>
      <w:r>
        <w:rPr>
          <w:rFonts w:hint="eastAsia" w:eastAsia="仿宋"/>
          <w:color w:val="auto"/>
          <w:sz w:val="36"/>
          <w:szCs w:val="36"/>
          <w:highlight w:val="none"/>
          <w:u w:val="single"/>
          <w:lang w:val="en-US" w:eastAsia="zh-CN"/>
        </w:rPr>
        <w:t>5</w:t>
      </w:r>
      <w:r>
        <w:rPr>
          <w:rFonts w:hAnsi="仿宋" w:eastAsia="仿宋"/>
          <w:color w:val="auto"/>
          <w:sz w:val="36"/>
          <w:szCs w:val="36"/>
          <w:highlight w:val="none"/>
          <w:u w:val="single"/>
        </w:rPr>
        <w:t>月</w:t>
      </w:r>
      <w:r>
        <w:rPr>
          <w:rFonts w:eastAsia="仿宋"/>
          <w:color w:val="auto"/>
          <w:sz w:val="36"/>
          <w:szCs w:val="36"/>
          <w:highlight w:val="none"/>
          <w:u w:val="single"/>
        </w:rPr>
        <w:t xml:space="preserve">         </w:t>
      </w:r>
      <w:r>
        <w:rPr>
          <w:rFonts w:hint="eastAsia" w:eastAsia="仿宋"/>
          <w:color w:val="auto"/>
          <w:sz w:val="36"/>
          <w:szCs w:val="36"/>
          <w:highlight w:val="none"/>
          <w:u w:val="single"/>
          <w:lang w:val="en-US" w:eastAsia="zh-CN"/>
        </w:rPr>
        <w:t xml:space="preserve">    </w:t>
      </w:r>
    </w:p>
    <w:p w14:paraId="7545F9E9">
      <w:pPr>
        <w:adjustRightInd w:val="0"/>
        <w:snapToGrid w:val="0"/>
        <w:spacing w:line="288" w:lineRule="auto"/>
        <w:ind w:firstLine="1040"/>
        <w:rPr>
          <w:rFonts w:eastAsia="仿宋_GB2312"/>
          <w:color w:val="auto"/>
          <w:sz w:val="36"/>
          <w:szCs w:val="36"/>
          <w:highlight w:val="none"/>
          <w:u w:val="single"/>
        </w:rPr>
      </w:pPr>
      <w:bookmarkStart w:id="3" w:name="_Hlk57884087"/>
    </w:p>
    <w:p w14:paraId="18916339">
      <w:pPr>
        <w:adjustRightInd w:val="0"/>
        <w:snapToGrid w:val="0"/>
        <w:spacing w:line="288" w:lineRule="auto"/>
        <w:ind w:firstLine="1040"/>
        <w:rPr>
          <w:rFonts w:eastAsia="仿宋_GB2312"/>
          <w:color w:val="auto"/>
          <w:sz w:val="36"/>
          <w:szCs w:val="36"/>
          <w:highlight w:val="none"/>
        </w:rPr>
      </w:pPr>
    </w:p>
    <w:p w14:paraId="1C9833B0">
      <w:pPr>
        <w:adjustRightInd w:val="0"/>
        <w:snapToGrid w:val="0"/>
        <w:spacing w:line="288" w:lineRule="auto"/>
        <w:ind w:firstLine="1040"/>
        <w:rPr>
          <w:rFonts w:eastAsia="仿宋_GB2312"/>
          <w:color w:val="auto"/>
          <w:sz w:val="36"/>
          <w:szCs w:val="36"/>
          <w:highlight w:val="none"/>
        </w:rPr>
      </w:pPr>
    </w:p>
    <w:p w14:paraId="1603A056">
      <w:pPr>
        <w:adjustRightInd w:val="0"/>
        <w:snapToGrid w:val="0"/>
        <w:spacing w:line="288" w:lineRule="auto"/>
        <w:ind w:firstLine="1040"/>
        <w:rPr>
          <w:rFonts w:eastAsia="仿宋_GB2312"/>
          <w:color w:val="auto"/>
          <w:sz w:val="36"/>
          <w:szCs w:val="36"/>
          <w:highlight w:val="none"/>
        </w:rPr>
      </w:pPr>
    </w:p>
    <w:bookmarkEnd w:id="3"/>
    <w:p w14:paraId="2090147F">
      <w:pPr>
        <w:adjustRightInd w:val="0"/>
        <w:snapToGrid w:val="0"/>
        <w:spacing w:line="288" w:lineRule="auto"/>
        <w:jc w:val="center"/>
        <w:rPr>
          <w:rFonts w:ascii="仿宋" w:hAnsi="仿宋" w:eastAsia="仿宋"/>
          <w:color w:val="auto"/>
          <w:sz w:val="36"/>
          <w:szCs w:val="36"/>
          <w:highlight w:val="none"/>
        </w:rPr>
        <w:sectPr>
          <w:footerReference r:id="rId3" w:type="default"/>
          <w:footerReference r:id="rId4" w:type="even"/>
          <w:pgSz w:w="11906" w:h="16838"/>
          <w:pgMar w:top="1440" w:right="1797" w:bottom="1440" w:left="1797"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仿宋" w:hAnsi="仿宋" w:eastAsia="仿宋"/>
          <w:color w:val="auto"/>
          <w:sz w:val="36"/>
          <w:szCs w:val="36"/>
          <w:highlight w:val="none"/>
        </w:rPr>
        <w:t>中华人民共和国生态环境部制</w:t>
      </w:r>
    </w:p>
    <w:sdt>
      <w:sdtPr>
        <w:rPr>
          <w:rFonts w:ascii="宋体" w:hAnsi="宋体" w:eastAsia="宋体" w:cs="Times New Roman"/>
          <w:color w:val="auto"/>
          <w:kern w:val="2"/>
          <w:sz w:val="21"/>
          <w:szCs w:val="24"/>
          <w:lang w:val="en-US" w:eastAsia="zh-CN" w:bidi="ar-SA"/>
        </w:rPr>
        <w:id w:val="147458834"/>
        <w15:color w:val="DBDBDB"/>
        <w:docPartObj>
          <w:docPartGallery w:val="Table of Contents"/>
          <w:docPartUnique/>
        </w:docPartObj>
      </w:sdtPr>
      <w:sdtEndPr>
        <w:rPr>
          <w:rFonts w:ascii="Times New Roman" w:hAnsi="Times New Roman" w:eastAsia="楷体_GB2312" w:cs="Times New Roman"/>
          <w:color w:val="auto"/>
          <w:kern w:val="2"/>
          <w:sz w:val="21"/>
          <w:szCs w:val="36"/>
          <w:highlight w:val="none"/>
          <w:lang w:val="en-US" w:eastAsia="zh-CN" w:bidi="ar-SA"/>
        </w:rPr>
      </w:sdtEndPr>
      <w:sdtContent>
        <w:p w14:paraId="09B2767D">
          <w:pPr>
            <w:spacing w:before="0" w:beforeLines="0" w:after="0" w:afterLines="0" w:line="240" w:lineRule="auto"/>
            <w:ind w:left="0" w:leftChars="0" w:right="0" w:rightChars="0" w:firstLine="0" w:firstLineChars="0"/>
            <w:jc w:val="center"/>
            <w:rPr>
              <w:color w:val="auto"/>
              <w:sz w:val="32"/>
              <w:szCs w:val="40"/>
            </w:rPr>
          </w:pPr>
          <w:r>
            <w:rPr>
              <w:rFonts w:ascii="宋体" w:hAnsi="宋体" w:eastAsia="宋体"/>
              <w:color w:val="auto"/>
              <w:sz w:val="32"/>
              <w:szCs w:val="40"/>
            </w:rPr>
            <w:t>目</w:t>
          </w:r>
          <w:r>
            <w:rPr>
              <w:rFonts w:hint="eastAsia" w:ascii="宋体" w:hAnsi="宋体" w:eastAsia="宋体"/>
              <w:color w:val="auto"/>
              <w:sz w:val="32"/>
              <w:szCs w:val="40"/>
              <w:lang w:val="en-US" w:eastAsia="zh-CN"/>
            </w:rPr>
            <w:t xml:space="preserve"> </w:t>
          </w:r>
          <w:r>
            <w:rPr>
              <w:rFonts w:hint="eastAsia" w:ascii="宋体" w:hAnsi="宋体"/>
              <w:color w:val="auto"/>
              <w:sz w:val="32"/>
              <w:szCs w:val="40"/>
              <w:lang w:val="en-US" w:eastAsia="zh-CN"/>
            </w:rPr>
            <w:t xml:space="preserve"> </w:t>
          </w:r>
          <w:r>
            <w:rPr>
              <w:rFonts w:ascii="宋体" w:hAnsi="宋体" w:eastAsia="宋体"/>
              <w:color w:val="auto"/>
              <w:sz w:val="32"/>
              <w:szCs w:val="40"/>
            </w:rPr>
            <w:t>录</w:t>
          </w:r>
        </w:p>
        <w:p w14:paraId="64526038">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p>
        <w:p w14:paraId="601D4641">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_Toc24103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_Toc24103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323CF871">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_Toc10731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_Toc10731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13F5CC82">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_Toc2040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7D12E08D">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_Toc1202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608CDB13">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_Toc30990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3775140D">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_Toc3789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_Toc3789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4ACFB6ED">
          <w:pPr>
            <w:pStyle w:val="12"/>
            <w:keepNext w:val="0"/>
            <w:keepLines w:val="0"/>
            <w:pageBreakBefore w:val="0"/>
            <w:widowControl w:val="0"/>
            <w:tabs>
              <w:tab w:val="right" w:leader="dot" w:pos="8312"/>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_Toc17947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_Toc17947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4B62ED3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楷体_GB2312" w:cs="Times New Roman"/>
              <w:color w:val="auto"/>
              <w:kern w:val="2"/>
              <w:sz w:val="21"/>
              <w:szCs w:val="36"/>
              <w:highlight w:val="none"/>
              <w:lang w:val="en-US" w:eastAsia="zh-CN" w:bidi="ar-SA"/>
            </w:rPr>
          </w:pPr>
          <w:r>
            <w:rPr>
              <w:rFonts w:hint="default" w:ascii="Times New Roman" w:hAnsi="Times New Roman" w:eastAsia="宋体" w:cs="Times New Roman"/>
              <w:color w:val="auto"/>
              <w:sz w:val="24"/>
              <w:szCs w:val="24"/>
              <w:highlight w:val="none"/>
            </w:rPr>
            <w:fldChar w:fldCharType="end"/>
          </w:r>
        </w:p>
      </w:sdtContent>
    </w:sdt>
    <w:p w14:paraId="0BD30495">
      <w:pPr>
        <w:pStyle w:val="29"/>
        <w:rPr>
          <w:color w:val="auto"/>
          <w:highlight w:val="none"/>
        </w:rPr>
      </w:pPr>
    </w:p>
    <w:p w14:paraId="15D9C9BC">
      <w:pPr>
        <w:pStyle w:val="29"/>
        <w:rPr>
          <w:color w:val="auto"/>
          <w:highlight w:val="none"/>
        </w:rPr>
        <w:sectPr>
          <w:pgSz w:w="11906" w:h="16838"/>
          <w:pgMar w:top="1440" w:right="1797" w:bottom="1440" w:left="1797"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1C4443BC">
      <w:pPr>
        <w:pStyle w:val="18"/>
        <w:spacing w:before="0" w:beforeAutospacing="0" w:after="0" w:afterAutospacing="0"/>
        <w:jc w:val="center"/>
        <w:outlineLvl w:val="0"/>
        <w:rPr>
          <w:rFonts w:ascii="黑体" w:hAnsi="黑体" w:eastAsia="黑体"/>
          <w:snapToGrid w:val="0"/>
          <w:color w:val="auto"/>
          <w:sz w:val="30"/>
          <w:szCs w:val="30"/>
          <w:highlight w:val="none"/>
        </w:rPr>
      </w:pPr>
      <w:bookmarkStart w:id="4" w:name="_Toc24103"/>
      <w:bookmarkStart w:id="5" w:name="_Toc20925"/>
      <w:r>
        <w:rPr>
          <w:rFonts w:ascii="黑体" w:hAnsi="黑体" w:eastAsia="黑体"/>
          <w:snapToGrid w:val="0"/>
          <w:color w:val="auto"/>
          <w:sz w:val="30"/>
          <w:szCs w:val="30"/>
          <w:highlight w:val="none"/>
        </w:rPr>
        <w:t>一、建设项目基本情况</w:t>
      </w:r>
      <w:bookmarkEnd w:id="4"/>
      <w:bookmarkEnd w:id="5"/>
    </w:p>
    <w:tbl>
      <w:tblPr>
        <w:tblStyle w:val="20"/>
        <w:tblW w:w="100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25"/>
        <w:gridCol w:w="798"/>
        <w:gridCol w:w="2522"/>
        <w:gridCol w:w="2285"/>
        <w:gridCol w:w="3787"/>
      </w:tblGrid>
      <w:tr w14:paraId="7613E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1603" w:type="dxa"/>
            <w:gridSpan w:val="2"/>
            <w:tcMar>
              <w:top w:w="16" w:type="dxa"/>
              <w:left w:w="16" w:type="dxa"/>
              <w:right w:w="16" w:type="dxa"/>
            </w:tcMar>
            <w:vAlign w:val="center"/>
          </w:tcPr>
          <w:p w14:paraId="01E75114">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建设项目名称</w:t>
            </w:r>
          </w:p>
        </w:tc>
        <w:tc>
          <w:tcPr>
            <w:tcW w:w="8408" w:type="dxa"/>
            <w:gridSpan w:val="3"/>
            <w:vAlign w:val="center"/>
          </w:tcPr>
          <w:p w14:paraId="221E0E36">
            <w:pPr>
              <w:keepNext w:val="0"/>
              <w:keepLines w:val="0"/>
              <w:pageBreakBefore w:val="0"/>
              <w:widowControl w:val="0"/>
              <w:kinsoku/>
              <w:wordWrap/>
              <w:overflowPunct/>
              <w:topLinePunct w:val="0"/>
              <w:bidi w:val="0"/>
              <w:adjustRightInd w:val="0"/>
              <w:snapToGrid w:val="0"/>
              <w:jc w:val="center"/>
              <w:textAlignment w:val="auto"/>
              <w:rPr>
                <w:rFonts w:hint="default"/>
                <w:color w:val="auto"/>
                <w:sz w:val="24"/>
                <w:szCs w:val="24"/>
                <w:highlight w:val="none"/>
                <w:lang w:val="en-US"/>
              </w:rPr>
            </w:pPr>
            <w:r>
              <w:rPr>
                <w:rFonts w:hint="eastAsia" w:ascii="Times New Roman" w:hAnsi="Times New Roman" w:eastAsia="宋体" w:cs="Times New Roman"/>
                <w:color w:val="auto"/>
                <w:sz w:val="24"/>
                <w:szCs w:val="24"/>
                <w:highlight w:val="none"/>
                <w:lang w:eastAsia="zh-CN"/>
              </w:rPr>
              <w:t>苏州市利达亿涂饰厂扩建生产新能源汽车冷却类零部件项目</w:t>
            </w:r>
          </w:p>
        </w:tc>
      </w:tr>
      <w:tr w14:paraId="6FE38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603" w:type="dxa"/>
            <w:gridSpan w:val="2"/>
            <w:tcMar>
              <w:top w:w="16" w:type="dxa"/>
              <w:left w:w="16" w:type="dxa"/>
              <w:right w:w="16" w:type="dxa"/>
            </w:tcMar>
            <w:vAlign w:val="center"/>
          </w:tcPr>
          <w:p w14:paraId="75500BA3">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项目代码</w:t>
            </w:r>
          </w:p>
        </w:tc>
        <w:tc>
          <w:tcPr>
            <w:tcW w:w="8408" w:type="dxa"/>
            <w:gridSpan w:val="3"/>
            <w:vAlign w:val="center"/>
          </w:tcPr>
          <w:p w14:paraId="1ADB7350">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rFonts w:hint="eastAsia"/>
                <w:color w:val="auto"/>
                <w:sz w:val="24"/>
                <w:szCs w:val="24"/>
                <w:highlight w:val="none"/>
              </w:rPr>
              <w:t>2509-320507-89-01-352753</w:t>
            </w:r>
          </w:p>
        </w:tc>
      </w:tr>
      <w:tr w14:paraId="35628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03" w:type="dxa"/>
            <w:gridSpan w:val="2"/>
            <w:tcMar>
              <w:top w:w="16" w:type="dxa"/>
              <w:left w:w="16" w:type="dxa"/>
              <w:right w:w="16" w:type="dxa"/>
            </w:tcMar>
            <w:vAlign w:val="center"/>
          </w:tcPr>
          <w:p w14:paraId="074D99B3">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建设单位联系人</w:t>
            </w:r>
          </w:p>
        </w:tc>
        <w:tc>
          <w:tcPr>
            <w:tcW w:w="2589" w:type="dxa"/>
            <w:vAlign w:val="center"/>
          </w:tcPr>
          <w:p w14:paraId="470E2E63">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rFonts w:hint="eastAsia"/>
                <w:color w:val="auto"/>
                <w:sz w:val="24"/>
              </w:rPr>
              <w:t>潘强</w:t>
            </w:r>
          </w:p>
        </w:tc>
        <w:tc>
          <w:tcPr>
            <w:tcW w:w="2205" w:type="dxa"/>
            <w:vAlign w:val="center"/>
          </w:tcPr>
          <w:p w14:paraId="061654F3">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联系方式</w:t>
            </w:r>
          </w:p>
        </w:tc>
        <w:tc>
          <w:tcPr>
            <w:tcW w:w="3614" w:type="dxa"/>
            <w:vAlign w:val="center"/>
          </w:tcPr>
          <w:p w14:paraId="21C59E9C">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13115102510</w:t>
            </w:r>
          </w:p>
        </w:tc>
      </w:tr>
      <w:tr w14:paraId="50FEA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1603" w:type="dxa"/>
            <w:gridSpan w:val="2"/>
            <w:tcMar>
              <w:top w:w="16" w:type="dxa"/>
              <w:left w:w="16" w:type="dxa"/>
              <w:right w:w="16" w:type="dxa"/>
            </w:tcMar>
            <w:vAlign w:val="center"/>
          </w:tcPr>
          <w:p w14:paraId="1EDDAB01">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建设地点</w:t>
            </w:r>
          </w:p>
        </w:tc>
        <w:tc>
          <w:tcPr>
            <w:tcW w:w="8408" w:type="dxa"/>
            <w:gridSpan w:val="3"/>
            <w:vAlign w:val="center"/>
          </w:tcPr>
          <w:p w14:paraId="38F603DB">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rFonts w:hint="eastAsia" w:ascii="Times New Roman" w:hAnsi="Times New Roman" w:eastAsia="宋体" w:cs="Times New Roman"/>
                <w:color w:val="auto"/>
                <w:sz w:val="24"/>
                <w:szCs w:val="24"/>
                <w:highlight w:val="none"/>
                <w:lang w:eastAsia="zh-CN"/>
              </w:rPr>
              <w:t>江苏省苏州市相城区元春路353号</w:t>
            </w:r>
          </w:p>
        </w:tc>
      </w:tr>
      <w:tr w14:paraId="14FEA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603" w:type="dxa"/>
            <w:gridSpan w:val="2"/>
            <w:tcMar>
              <w:top w:w="16" w:type="dxa"/>
              <w:left w:w="16" w:type="dxa"/>
              <w:right w:w="16" w:type="dxa"/>
            </w:tcMar>
            <w:vAlign w:val="center"/>
          </w:tcPr>
          <w:p w14:paraId="5583769C">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地理坐标</w:t>
            </w:r>
          </w:p>
        </w:tc>
        <w:tc>
          <w:tcPr>
            <w:tcW w:w="8408" w:type="dxa"/>
            <w:gridSpan w:val="3"/>
            <w:vAlign w:val="center"/>
          </w:tcPr>
          <w:p w14:paraId="2F6A1D9B">
            <w:pPr>
              <w:keepNext w:val="0"/>
              <w:keepLines w:val="0"/>
              <w:pageBreakBefore w:val="0"/>
              <w:widowControl w:val="0"/>
              <w:kinsoku/>
              <w:wordWrap/>
              <w:overflowPunct/>
              <w:topLinePunct w:val="0"/>
              <w:bidi w:val="0"/>
              <w:jc w:val="center"/>
              <w:textAlignment w:val="auto"/>
              <w:rPr>
                <w:rFonts w:hint="eastAsia" w:eastAsia="宋体"/>
                <w:color w:val="auto"/>
                <w:sz w:val="24"/>
                <w:szCs w:val="24"/>
                <w:highlight w:val="none"/>
                <w:u w:val="single"/>
                <w:lang w:eastAsia="zh-CN"/>
              </w:rPr>
            </w:pPr>
            <w:r>
              <w:rPr>
                <w:rFonts w:hint="eastAsia" w:ascii="Times New Roman" w:hAnsi="Times New Roman" w:eastAsia="宋体" w:cs="Times New Roman"/>
                <w:color w:val="auto"/>
                <w:sz w:val="24"/>
                <w:szCs w:val="24"/>
                <w:highlight w:val="none"/>
                <w:lang w:val="en-US" w:eastAsia="zh-CN"/>
              </w:rPr>
              <w:t>经度：</w:t>
            </w:r>
            <w:r>
              <w:rPr>
                <w:rFonts w:hint="eastAsia" w:ascii="Times New Roman" w:hAnsi="Times New Roman" w:eastAsia="宋体" w:cs="Times New Roman"/>
                <w:color w:val="auto"/>
                <w:sz w:val="24"/>
                <w:szCs w:val="24"/>
                <w:highlight w:val="none"/>
                <w:u w:val="single"/>
                <w:lang w:val="en-US" w:eastAsia="zh-CN"/>
              </w:rPr>
              <w:t>120</w:t>
            </w:r>
            <w:r>
              <w:rPr>
                <w:rFonts w:hint="eastAsia" w:ascii="Times New Roman" w:hAnsi="Times New Roman" w:eastAsia="宋体" w:cs="Times New Roman"/>
                <w:color w:val="auto"/>
                <w:sz w:val="24"/>
                <w:szCs w:val="24"/>
                <w:highlight w:val="none"/>
                <w:lang w:val="en-US" w:eastAsia="zh-CN"/>
              </w:rPr>
              <w:t>度</w:t>
            </w:r>
            <w:r>
              <w:rPr>
                <w:rFonts w:hint="eastAsia" w:ascii="Times New Roman" w:hAnsi="Times New Roman" w:eastAsia="宋体" w:cs="Times New Roman"/>
                <w:color w:val="auto"/>
                <w:sz w:val="24"/>
                <w:szCs w:val="24"/>
                <w:highlight w:val="none"/>
                <w:u w:val="single"/>
                <w:lang w:val="en-US" w:eastAsia="zh-CN"/>
              </w:rPr>
              <w:t>41</w:t>
            </w:r>
            <w:r>
              <w:rPr>
                <w:rFonts w:hint="eastAsia" w:ascii="Times New Roman" w:hAnsi="Times New Roman" w:eastAsia="宋体" w:cs="Times New Roman"/>
                <w:color w:val="auto"/>
                <w:sz w:val="24"/>
                <w:szCs w:val="24"/>
                <w:highlight w:val="none"/>
                <w:lang w:val="en-US" w:eastAsia="zh-CN"/>
              </w:rPr>
              <w:t>分</w:t>
            </w:r>
            <w:r>
              <w:rPr>
                <w:rFonts w:hint="eastAsia" w:ascii="Times New Roman" w:hAnsi="Times New Roman" w:eastAsia="宋体" w:cs="Times New Roman"/>
                <w:color w:val="auto"/>
                <w:sz w:val="24"/>
                <w:szCs w:val="24"/>
                <w:highlight w:val="none"/>
                <w:u w:val="single"/>
                <w:lang w:val="en-US" w:eastAsia="zh-CN"/>
              </w:rPr>
              <w:t>0.285</w:t>
            </w:r>
            <w:r>
              <w:rPr>
                <w:rFonts w:hint="eastAsia" w:ascii="Times New Roman" w:hAnsi="Times New Roman" w:eastAsia="宋体" w:cs="Times New Roman"/>
                <w:color w:val="auto"/>
                <w:sz w:val="24"/>
                <w:szCs w:val="24"/>
                <w:highlight w:val="none"/>
                <w:lang w:val="en-US" w:eastAsia="zh-CN"/>
              </w:rPr>
              <w:t>秒，</w:t>
            </w:r>
            <w:r>
              <w:rPr>
                <w:rFonts w:hint="eastAsia" w:ascii="Times New Roman" w:hAnsi="Times New Roman" w:eastAsia="宋体" w:cs="Times New Roman"/>
                <w:color w:val="auto"/>
                <w:sz w:val="24"/>
                <w:szCs w:val="24"/>
                <w:highlight w:val="none"/>
                <w:u w:val="single"/>
                <w:lang w:val="en-US" w:eastAsia="zh-CN"/>
              </w:rPr>
              <w:t>31</w:t>
            </w:r>
            <w:r>
              <w:rPr>
                <w:rFonts w:hint="eastAsia" w:ascii="Times New Roman" w:hAnsi="Times New Roman" w:eastAsia="宋体" w:cs="Times New Roman"/>
                <w:color w:val="auto"/>
                <w:sz w:val="24"/>
                <w:szCs w:val="24"/>
                <w:highlight w:val="none"/>
                <w:lang w:val="en-US" w:eastAsia="zh-CN"/>
              </w:rPr>
              <w:t>度</w:t>
            </w:r>
            <w:r>
              <w:rPr>
                <w:rFonts w:hint="eastAsia" w:ascii="Times New Roman" w:hAnsi="Times New Roman" w:eastAsia="宋体" w:cs="Times New Roman"/>
                <w:color w:val="auto"/>
                <w:sz w:val="24"/>
                <w:szCs w:val="24"/>
                <w:highlight w:val="none"/>
                <w:u w:val="single"/>
                <w:lang w:val="en-US" w:eastAsia="zh-CN"/>
              </w:rPr>
              <w:t>25</w:t>
            </w:r>
            <w:r>
              <w:rPr>
                <w:rFonts w:hint="eastAsia" w:ascii="Times New Roman" w:hAnsi="Times New Roman" w:eastAsia="宋体" w:cs="Times New Roman"/>
                <w:color w:val="auto"/>
                <w:sz w:val="24"/>
                <w:szCs w:val="24"/>
                <w:highlight w:val="none"/>
                <w:lang w:val="en-US" w:eastAsia="zh-CN"/>
              </w:rPr>
              <w:t>分</w:t>
            </w:r>
            <w:r>
              <w:rPr>
                <w:rFonts w:hint="eastAsia" w:ascii="Times New Roman" w:hAnsi="Times New Roman" w:eastAsia="宋体" w:cs="Times New Roman"/>
                <w:color w:val="auto"/>
                <w:sz w:val="24"/>
                <w:szCs w:val="24"/>
                <w:highlight w:val="none"/>
                <w:u w:val="single"/>
                <w:lang w:val="en-US" w:eastAsia="zh-CN"/>
              </w:rPr>
              <w:t>43.418</w:t>
            </w:r>
            <w:r>
              <w:rPr>
                <w:rFonts w:hint="eastAsia" w:ascii="Times New Roman" w:hAnsi="Times New Roman" w:eastAsia="宋体" w:cs="Times New Roman"/>
                <w:color w:val="auto"/>
                <w:sz w:val="24"/>
                <w:szCs w:val="24"/>
                <w:highlight w:val="none"/>
                <w:lang w:val="en-US" w:eastAsia="zh-CN"/>
              </w:rPr>
              <w:t>秒</w:t>
            </w:r>
          </w:p>
        </w:tc>
      </w:tr>
      <w:tr w14:paraId="20D75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4" w:hRule="atLeast"/>
          <w:jc w:val="center"/>
        </w:trPr>
        <w:tc>
          <w:tcPr>
            <w:tcW w:w="1603" w:type="dxa"/>
            <w:gridSpan w:val="2"/>
            <w:tcMar>
              <w:top w:w="16" w:type="dxa"/>
              <w:left w:w="16" w:type="dxa"/>
              <w:right w:w="16" w:type="dxa"/>
            </w:tcMar>
            <w:vAlign w:val="center"/>
          </w:tcPr>
          <w:p w14:paraId="07ABA34C">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国民经济</w:t>
            </w:r>
          </w:p>
          <w:p w14:paraId="5EA45BF2">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行业类别</w:t>
            </w:r>
          </w:p>
        </w:tc>
        <w:tc>
          <w:tcPr>
            <w:tcW w:w="2589" w:type="dxa"/>
            <w:vAlign w:val="center"/>
          </w:tcPr>
          <w:p w14:paraId="37C5CD34">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highlight w:val="none"/>
                <w:lang w:val="en-US" w:eastAsia="zh-CN"/>
              </w:rPr>
            </w:pPr>
            <w:r>
              <w:rPr>
                <w:rFonts w:hint="default" w:ascii="Times New Roman" w:hAnsi="Times New Roman" w:eastAsia="宋体" w:cs="Times New Roman"/>
                <w:color w:val="auto"/>
                <w:sz w:val="24"/>
                <w:lang w:val="en-US" w:eastAsia="zh-CN"/>
              </w:rPr>
              <w:t>C3670汽车零部件及配件制造</w:t>
            </w:r>
          </w:p>
        </w:tc>
        <w:tc>
          <w:tcPr>
            <w:tcW w:w="2205" w:type="dxa"/>
            <w:vAlign w:val="center"/>
          </w:tcPr>
          <w:p w14:paraId="53C89FEB">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bookmarkStart w:id="6" w:name="_Hlk49843745"/>
            <w:r>
              <w:rPr>
                <w:color w:val="auto"/>
                <w:sz w:val="24"/>
                <w:szCs w:val="24"/>
                <w:highlight w:val="none"/>
              </w:rPr>
              <w:t>建设项目</w:t>
            </w:r>
          </w:p>
          <w:p w14:paraId="52ABE78A">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行业类别</w:t>
            </w:r>
            <w:bookmarkEnd w:id="6"/>
          </w:p>
        </w:tc>
        <w:tc>
          <w:tcPr>
            <w:tcW w:w="3614" w:type="dxa"/>
            <w:vAlign w:val="center"/>
          </w:tcPr>
          <w:p w14:paraId="2020A373">
            <w:pPr>
              <w:keepNext w:val="0"/>
              <w:keepLines w:val="0"/>
              <w:pageBreakBefore w:val="0"/>
              <w:widowControl w:val="0"/>
              <w:kinsoku/>
              <w:wordWrap/>
              <w:overflowPunct/>
              <w:topLinePunct w:val="0"/>
              <w:bidi w:val="0"/>
              <w:adjustRightInd w:val="0"/>
              <w:snapToGrid w:val="0"/>
              <w:jc w:val="center"/>
              <w:textAlignment w:val="auto"/>
              <w:rPr>
                <w:rFonts w:hint="default"/>
                <w:color w:val="auto"/>
                <w:highlight w:val="none"/>
                <w:lang w:val="en-US" w:eastAsia="zh-CN"/>
              </w:rPr>
            </w:pPr>
            <w:r>
              <w:rPr>
                <w:rFonts w:hint="eastAsia" w:ascii="Times New Roman" w:hAnsi="Times New Roman" w:eastAsia="宋体" w:cs="Times New Roman"/>
                <w:color w:val="auto"/>
                <w:sz w:val="24"/>
                <w:szCs w:val="32"/>
                <w:highlight w:val="none"/>
                <w:lang w:val="en-US" w:eastAsia="zh-CN"/>
              </w:rPr>
              <w:t>三十三、汽车制造业36，71.汽车零部件及配件制造367</w:t>
            </w:r>
          </w:p>
        </w:tc>
      </w:tr>
      <w:tr w14:paraId="1ACEA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03" w:type="dxa"/>
            <w:gridSpan w:val="2"/>
            <w:tcMar>
              <w:top w:w="16" w:type="dxa"/>
              <w:left w:w="16" w:type="dxa"/>
              <w:right w:w="16" w:type="dxa"/>
            </w:tcMar>
            <w:vAlign w:val="center"/>
          </w:tcPr>
          <w:p w14:paraId="000A80F0">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建设性质</w:t>
            </w:r>
          </w:p>
        </w:tc>
        <w:tc>
          <w:tcPr>
            <w:tcW w:w="2589" w:type="dxa"/>
            <w:vAlign w:val="center"/>
          </w:tcPr>
          <w:p w14:paraId="2E01293E">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新建（迁建）</w:t>
            </w:r>
          </w:p>
          <w:p w14:paraId="7D97EFE3">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改建</w:t>
            </w:r>
          </w:p>
          <w:p w14:paraId="48DAC011">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52"/>
            </w:r>
            <w:r>
              <w:rPr>
                <w:color w:val="auto"/>
                <w:sz w:val="24"/>
                <w:szCs w:val="24"/>
                <w:highlight w:val="none"/>
              </w:rPr>
              <w:t>扩建</w:t>
            </w:r>
          </w:p>
          <w:p w14:paraId="0B071589">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技术改造</w:t>
            </w:r>
          </w:p>
        </w:tc>
        <w:tc>
          <w:tcPr>
            <w:tcW w:w="2205" w:type="dxa"/>
            <w:vAlign w:val="center"/>
          </w:tcPr>
          <w:p w14:paraId="29D1D594">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建设项目</w:t>
            </w:r>
          </w:p>
          <w:p w14:paraId="71FB5A11">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申报情形</w:t>
            </w:r>
          </w:p>
        </w:tc>
        <w:tc>
          <w:tcPr>
            <w:tcW w:w="3614" w:type="dxa"/>
            <w:vAlign w:val="center"/>
          </w:tcPr>
          <w:p w14:paraId="52BB2D12">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52"/>
            </w:r>
            <w:r>
              <w:rPr>
                <w:color w:val="auto"/>
                <w:sz w:val="24"/>
                <w:szCs w:val="24"/>
                <w:highlight w:val="none"/>
              </w:rPr>
              <w:t>首次申报项目</w:t>
            </w:r>
          </w:p>
          <w:p w14:paraId="71BCDEC8">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不予批准后再次申报项目</w:t>
            </w:r>
          </w:p>
          <w:p w14:paraId="75BB974A">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超五年重新审核项目</w:t>
            </w:r>
          </w:p>
          <w:p w14:paraId="38A7DCCE">
            <w:pPr>
              <w:keepNext w:val="0"/>
              <w:keepLines w:val="0"/>
              <w:pageBreakBefore w:val="0"/>
              <w:widowControl w:val="0"/>
              <w:kinsoku/>
              <w:wordWrap/>
              <w:overflowPunct/>
              <w:topLinePunct w:val="0"/>
              <w:bidi w:val="0"/>
              <w:jc w:val="left"/>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重大变动重新报批项目</w:t>
            </w:r>
          </w:p>
        </w:tc>
      </w:tr>
      <w:tr w14:paraId="1A1F9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7" w:hRule="atLeast"/>
          <w:jc w:val="center"/>
        </w:trPr>
        <w:tc>
          <w:tcPr>
            <w:tcW w:w="1603" w:type="dxa"/>
            <w:gridSpan w:val="2"/>
            <w:tcMar>
              <w:top w:w="16" w:type="dxa"/>
              <w:left w:w="16" w:type="dxa"/>
              <w:right w:w="16" w:type="dxa"/>
            </w:tcMar>
            <w:vAlign w:val="center"/>
          </w:tcPr>
          <w:p w14:paraId="05BB4513">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项目审批（核准/备案）部门（选填）</w:t>
            </w:r>
          </w:p>
        </w:tc>
        <w:tc>
          <w:tcPr>
            <w:tcW w:w="2589" w:type="dxa"/>
            <w:vAlign w:val="center"/>
          </w:tcPr>
          <w:p w14:paraId="7C559655">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苏州市相城区数据局</w:t>
            </w:r>
          </w:p>
        </w:tc>
        <w:tc>
          <w:tcPr>
            <w:tcW w:w="2205" w:type="dxa"/>
            <w:vAlign w:val="center"/>
          </w:tcPr>
          <w:p w14:paraId="7A753010">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项目审批（核准/</w:t>
            </w:r>
          </w:p>
          <w:p w14:paraId="7CC1D94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highlight w:val="none"/>
              </w:rPr>
            </w:pPr>
            <w:r>
              <w:rPr>
                <w:color w:val="auto"/>
                <w:sz w:val="24"/>
                <w:szCs w:val="24"/>
                <w:highlight w:val="none"/>
              </w:rPr>
              <w:t>备案）文号（选填）</w:t>
            </w:r>
          </w:p>
        </w:tc>
        <w:tc>
          <w:tcPr>
            <w:tcW w:w="3614" w:type="dxa"/>
            <w:vAlign w:val="center"/>
          </w:tcPr>
          <w:p w14:paraId="33BAA383">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相数据投备〔2025〕437号</w:t>
            </w:r>
          </w:p>
        </w:tc>
      </w:tr>
      <w:tr w14:paraId="370EB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03" w:type="dxa"/>
            <w:gridSpan w:val="2"/>
            <w:tcMar>
              <w:top w:w="16" w:type="dxa"/>
              <w:left w:w="16" w:type="dxa"/>
              <w:right w:w="16" w:type="dxa"/>
            </w:tcMar>
            <w:vAlign w:val="center"/>
          </w:tcPr>
          <w:p w14:paraId="2CB3FC0E">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总投资</w:t>
            </w:r>
          </w:p>
          <w:p w14:paraId="49DC9C5C">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（万元）</w:t>
            </w:r>
          </w:p>
        </w:tc>
        <w:tc>
          <w:tcPr>
            <w:tcW w:w="2589" w:type="dxa"/>
            <w:vAlign w:val="center"/>
          </w:tcPr>
          <w:p w14:paraId="2F67624B">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500</w:t>
            </w:r>
          </w:p>
        </w:tc>
        <w:tc>
          <w:tcPr>
            <w:tcW w:w="2205" w:type="dxa"/>
            <w:tcMar>
              <w:top w:w="16" w:type="dxa"/>
              <w:left w:w="16" w:type="dxa"/>
              <w:right w:w="16" w:type="dxa"/>
            </w:tcMar>
            <w:vAlign w:val="center"/>
          </w:tcPr>
          <w:p w14:paraId="75B66288">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环保投资</w:t>
            </w:r>
          </w:p>
          <w:p w14:paraId="2C32AE2A">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（万元）</w:t>
            </w:r>
          </w:p>
        </w:tc>
        <w:tc>
          <w:tcPr>
            <w:tcW w:w="3614" w:type="dxa"/>
            <w:vAlign w:val="center"/>
          </w:tcPr>
          <w:p w14:paraId="2F504FB6">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50</w:t>
            </w:r>
          </w:p>
        </w:tc>
      </w:tr>
      <w:tr w14:paraId="405B2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03" w:type="dxa"/>
            <w:gridSpan w:val="2"/>
            <w:tcMar>
              <w:top w:w="16" w:type="dxa"/>
              <w:left w:w="16" w:type="dxa"/>
              <w:right w:w="16" w:type="dxa"/>
            </w:tcMar>
            <w:vAlign w:val="center"/>
          </w:tcPr>
          <w:p w14:paraId="4A05A91F">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环保投资占比（%）</w:t>
            </w:r>
          </w:p>
        </w:tc>
        <w:tc>
          <w:tcPr>
            <w:tcW w:w="2589" w:type="dxa"/>
            <w:vAlign w:val="center"/>
          </w:tcPr>
          <w:p w14:paraId="5635EC44">
            <w:pPr>
              <w:keepNext w:val="0"/>
              <w:keepLines w:val="0"/>
              <w:pageBreakBefore w:val="0"/>
              <w:widowControl w:val="0"/>
              <w:kinsoku/>
              <w:wordWrap/>
              <w:overflowPunct/>
              <w:topLinePunct w:val="0"/>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10%</w:t>
            </w:r>
          </w:p>
        </w:tc>
        <w:tc>
          <w:tcPr>
            <w:tcW w:w="2205" w:type="dxa"/>
            <w:tcMar>
              <w:top w:w="16" w:type="dxa"/>
              <w:left w:w="16" w:type="dxa"/>
              <w:right w:w="16" w:type="dxa"/>
            </w:tcMar>
            <w:vAlign w:val="center"/>
          </w:tcPr>
          <w:p w14:paraId="6DB5DD05">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施工工期</w:t>
            </w:r>
          </w:p>
        </w:tc>
        <w:tc>
          <w:tcPr>
            <w:tcW w:w="3614" w:type="dxa"/>
            <w:vAlign w:val="center"/>
          </w:tcPr>
          <w:p w14:paraId="74ECED5E">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rFonts w:hint="eastAsia"/>
                <w:color w:val="auto"/>
                <w:sz w:val="24"/>
                <w:szCs w:val="24"/>
                <w:highlight w:val="none"/>
                <w:lang w:val="en-US" w:eastAsia="zh-CN"/>
              </w:rPr>
              <w:t>3</w:t>
            </w:r>
            <w:r>
              <w:rPr>
                <w:color w:val="auto"/>
                <w:sz w:val="24"/>
                <w:szCs w:val="24"/>
                <w:highlight w:val="none"/>
              </w:rPr>
              <w:t>个月</w:t>
            </w:r>
          </w:p>
        </w:tc>
      </w:tr>
      <w:tr w14:paraId="27C38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603" w:type="dxa"/>
            <w:gridSpan w:val="2"/>
            <w:tcMar>
              <w:top w:w="16" w:type="dxa"/>
              <w:left w:w="16" w:type="dxa"/>
              <w:right w:w="16" w:type="dxa"/>
            </w:tcMar>
            <w:vAlign w:val="center"/>
          </w:tcPr>
          <w:p w14:paraId="03DB70F7">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是否开工建设</w:t>
            </w:r>
          </w:p>
        </w:tc>
        <w:tc>
          <w:tcPr>
            <w:tcW w:w="2589" w:type="dxa"/>
            <w:vAlign w:val="center"/>
          </w:tcPr>
          <w:p w14:paraId="14896988">
            <w:pPr>
              <w:keepNext w:val="0"/>
              <w:keepLines w:val="0"/>
              <w:pageBreakBefore w:val="0"/>
              <w:widowControl w:val="0"/>
              <w:kinsoku/>
              <w:wordWrap/>
              <w:overflowPunct/>
              <w:topLinePunct w:val="0"/>
              <w:bidi w:val="0"/>
              <w:adjustRightInd w:val="0"/>
              <w:snapToGrid w:val="0"/>
              <w:textAlignment w:val="auto"/>
              <w:rPr>
                <w:color w:val="auto"/>
                <w:sz w:val="24"/>
                <w:szCs w:val="24"/>
                <w:highlight w:val="none"/>
              </w:rPr>
            </w:pPr>
            <w:r>
              <w:rPr>
                <w:color w:val="auto"/>
                <w:sz w:val="24"/>
                <w:szCs w:val="24"/>
                <w:highlight w:val="none"/>
              </w:rPr>
              <w:sym w:font="Wingdings 2" w:char="F052"/>
            </w:r>
            <w:r>
              <w:rPr>
                <w:color w:val="auto"/>
                <w:sz w:val="24"/>
                <w:szCs w:val="24"/>
                <w:highlight w:val="none"/>
              </w:rPr>
              <w:t>否</w:t>
            </w:r>
          </w:p>
          <w:p w14:paraId="76A249EA">
            <w:pPr>
              <w:keepNext w:val="0"/>
              <w:keepLines w:val="0"/>
              <w:pageBreakBefore w:val="0"/>
              <w:widowControl w:val="0"/>
              <w:kinsoku/>
              <w:wordWrap/>
              <w:overflowPunct/>
              <w:topLinePunct w:val="0"/>
              <w:bidi w:val="0"/>
              <w:adjustRightInd w:val="0"/>
              <w:snapToGrid w:val="0"/>
              <w:textAlignment w:val="auto"/>
              <w:rPr>
                <w:color w:val="auto"/>
                <w:sz w:val="24"/>
                <w:szCs w:val="24"/>
                <w:highlight w:val="none"/>
              </w:rPr>
            </w:pPr>
            <w:r>
              <w:rPr>
                <w:color w:val="auto"/>
                <w:sz w:val="24"/>
                <w:szCs w:val="24"/>
                <w:highlight w:val="none"/>
              </w:rPr>
              <w:sym w:font="Wingdings 2" w:char="00A3"/>
            </w:r>
            <w:r>
              <w:rPr>
                <w:color w:val="auto"/>
                <w:sz w:val="24"/>
                <w:szCs w:val="24"/>
                <w:highlight w:val="none"/>
              </w:rPr>
              <w:t>是：</w:t>
            </w:r>
            <w:r>
              <w:rPr>
                <w:color w:val="auto"/>
                <w:sz w:val="24"/>
                <w:szCs w:val="24"/>
                <w:highlight w:val="none"/>
                <w:u w:val="single"/>
              </w:rPr>
              <w:t xml:space="preserve">             </w:t>
            </w:r>
          </w:p>
        </w:tc>
        <w:tc>
          <w:tcPr>
            <w:tcW w:w="2205" w:type="dxa"/>
            <w:tcMar>
              <w:top w:w="16" w:type="dxa"/>
              <w:left w:w="16" w:type="dxa"/>
              <w:right w:w="16" w:type="dxa"/>
            </w:tcMar>
            <w:vAlign w:val="center"/>
          </w:tcPr>
          <w:p w14:paraId="4AFA8919">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用地（用海）</w:t>
            </w:r>
          </w:p>
          <w:p w14:paraId="086A5DED">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color w:val="auto"/>
                <w:sz w:val="24"/>
                <w:szCs w:val="24"/>
                <w:highlight w:val="none"/>
              </w:rPr>
              <w:t>面积（m</w:t>
            </w:r>
            <w:r>
              <w:rPr>
                <w:color w:val="auto"/>
                <w:sz w:val="24"/>
                <w:szCs w:val="24"/>
                <w:highlight w:val="none"/>
                <w:vertAlign w:val="superscript"/>
              </w:rPr>
              <w:t>2</w:t>
            </w:r>
            <w:r>
              <w:rPr>
                <w:color w:val="auto"/>
                <w:sz w:val="24"/>
                <w:szCs w:val="24"/>
                <w:highlight w:val="none"/>
              </w:rPr>
              <w:t>）</w:t>
            </w:r>
          </w:p>
        </w:tc>
        <w:tc>
          <w:tcPr>
            <w:tcW w:w="3614" w:type="dxa"/>
            <w:vAlign w:val="center"/>
          </w:tcPr>
          <w:p w14:paraId="73A1F867">
            <w:pPr>
              <w:keepNext w:val="0"/>
              <w:keepLines w:val="0"/>
              <w:pageBreakBefore w:val="0"/>
              <w:widowControl w:val="0"/>
              <w:kinsoku/>
              <w:wordWrap/>
              <w:overflowPunct/>
              <w:topLinePunct w:val="0"/>
              <w:bidi w:val="0"/>
              <w:adjustRightInd w:val="0"/>
              <w:snapToGrid w:val="0"/>
              <w:jc w:val="center"/>
              <w:textAlignment w:val="auto"/>
              <w:rPr>
                <w:color w:val="auto"/>
                <w:sz w:val="24"/>
                <w:szCs w:val="24"/>
                <w:highlight w:val="none"/>
              </w:rPr>
            </w:pPr>
            <w:r>
              <w:rPr>
                <w:rFonts w:hint="eastAsia"/>
                <w:color w:val="auto"/>
                <w:sz w:val="24"/>
                <w:szCs w:val="24"/>
                <w:highlight w:val="none"/>
                <w:lang w:val="en-US" w:eastAsia="zh-CN"/>
              </w:rPr>
              <w:t>4000m</w:t>
            </w:r>
            <w:r>
              <w:rPr>
                <w:rFonts w:hint="eastAsia"/>
                <w:color w:val="auto"/>
                <w:sz w:val="24"/>
                <w:szCs w:val="24"/>
                <w:highlight w:val="none"/>
                <w:vertAlign w:val="superscript"/>
                <w:lang w:val="en-US" w:eastAsia="zh-CN"/>
              </w:rPr>
              <w:t>2</w:t>
            </w:r>
            <w:r>
              <w:rPr>
                <w:rFonts w:hint="eastAsia"/>
                <w:color w:val="auto"/>
                <w:sz w:val="24"/>
                <w:szCs w:val="24"/>
                <w:highlight w:val="none"/>
              </w:rPr>
              <w:t>（租赁建筑面积）</w:t>
            </w:r>
          </w:p>
        </w:tc>
      </w:tr>
      <w:tr w14:paraId="757CA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03" w:type="dxa"/>
            <w:gridSpan w:val="2"/>
            <w:vAlign w:val="center"/>
          </w:tcPr>
          <w:p w14:paraId="1325714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4"/>
                <w:szCs w:val="24"/>
                <w:highlight w:val="none"/>
              </w:rPr>
            </w:pPr>
            <w:r>
              <w:rPr>
                <w:color w:val="auto"/>
                <w:kern w:val="0"/>
                <w:sz w:val="24"/>
                <w:szCs w:val="24"/>
                <w:highlight w:val="none"/>
              </w:rPr>
              <w:t>专项评价设置情况</w:t>
            </w:r>
          </w:p>
        </w:tc>
        <w:tc>
          <w:tcPr>
            <w:tcW w:w="8408" w:type="dxa"/>
            <w:gridSpan w:val="3"/>
            <w:vAlign w:val="center"/>
          </w:tcPr>
          <w:p w14:paraId="12C14B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无</w:t>
            </w:r>
          </w:p>
        </w:tc>
      </w:tr>
      <w:tr w14:paraId="113322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03" w:type="dxa"/>
            <w:gridSpan w:val="2"/>
            <w:vAlign w:val="center"/>
          </w:tcPr>
          <w:p w14:paraId="496E447F">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color w:val="auto"/>
                <w:kern w:val="0"/>
                <w:sz w:val="24"/>
                <w:szCs w:val="24"/>
                <w:highlight w:val="none"/>
              </w:rPr>
            </w:pPr>
            <w:r>
              <w:rPr>
                <w:color w:val="auto"/>
                <w:sz w:val="24"/>
                <w:szCs w:val="24"/>
                <w:highlight w:val="none"/>
              </w:rPr>
              <w:t>规划情况</w:t>
            </w:r>
          </w:p>
        </w:tc>
        <w:tc>
          <w:tcPr>
            <w:tcW w:w="8408" w:type="dxa"/>
            <w:gridSpan w:val="3"/>
            <w:vAlign w:val="center"/>
          </w:tcPr>
          <w:p w14:paraId="20BE82B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hAnsi="宋体"/>
                <w:b w:val="0"/>
                <w:bCs/>
                <w:color w:val="auto"/>
                <w:sz w:val="24"/>
                <w:szCs w:val="24"/>
                <w:highlight w:val="none"/>
              </w:rPr>
            </w:pPr>
            <w:r>
              <w:rPr>
                <w:rFonts w:hint="eastAsia" w:hAnsi="宋体"/>
                <w:b/>
                <w:bCs w:val="0"/>
                <w:color w:val="auto"/>
                <w:sz w:val="24"/>
                <w:szCs w:val="24"/>
                <w:highlight w:val="none"/>
                <w:lang w:val="en-US" w:eastAsia="zh-CN"/>
              </w:rPr>
              <w:t>规划</w:t>
            </w:r>
            <w:r>
              <w:rPr>
                <w:rFonts w:hAnsi="宋体"/>
                <w:b/>
                <w:bCs w:val="0"/>
                <w:color w:val="auto"/>
                <w:sz w:val="24"/>
                <w:szCs w:val="24"/>
                <w:highlight w:val="none"/>
              </w:rPr>
              <w:t>名称：</w:t>
            </w:r>
            <w:r>
              <w:rPr>
                <w:rFonts w:hint="eastAsia" w:hAnsi="宋体"/>
                <w:b w:val="0"/>
                <w:bCs/>
                <w:color w:val="auto"/>
                <w:sz w:val="24"/>
                <w:szCs w:val="24"/>
                <w:highlight w:val="none"/>
              </w:rPr>
              <w:t>《苏州市相城区太平片区</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原太平镇</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总体规划</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2015-2030年</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w:t>
            </w:r>
          </w:p>
          <w:p w14:paraId="52795BA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hAnsi="宋体"/>
                <w:b w:val="0"/>
                <w:bCs/>
                <w:color w:val="auto"/>
                <w:sz w:val="24"/>
                <w:szCs w:val="24"/>
                <w:highlight w:val="none"/>
              </w:rPr>
            </w:pPr>
            <w:r>
              <w:rPr>
                <w:rFonts w:hint="eastAsia" w:hAnsi="宋体"/>
                <w:b w:val="0"/>
                <w:bCs/>
                <w:color w:val="auto"/>
                <w:sz w:val="24"/>
                <w:szCs w:val="24"/>
                <w:highlight w:val="none"/>
              </w:rPr>
              <w:t>审批机关</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苏州市人民政府</w:t>
            </w:r>
          </w:p>
          <w:p w14:paraId="4EFF55E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hAnsi="宋体"/>
                <w:b w:val="0"/>
                <w:bCs/>
                <w:color w:val="auto"/>
                <w:sz w:val="24"/>
                <w:szCs w:val="24"/>
                <w:highlight w:val="none"/>
                <w:lang w:eastAsia="zh-CN"/>
              </w:rPr>
            </w:pPr>
            <w:r>
              <w:rPr>
                <w:rFonts w:hint="eastAsia" w:hAnsi="宋体"/>
                <w:b w:val="0"/>
                <w:bCs/>
                <w:color w:val="auto"/>
                <w:sz w:val="24"/>
                <w:szCs w:val="24"/>
                <w:highlight w:val="none"/>
              </w:rPr>
              <w:t>审批文件名称及文号</w:t>
            </w:r>
            <w:r>
              <w:rPr>
                <w:rFonts w:hint="eastAsia" w:hAnsi="宋体"/>
                <w:b w:val="0"/>
                <w:bCs/>
                <w:color w:val="auto"/>
                <w:sz w:val="24"/>
                <w:szCs w:val="24"/>
                <w:highlight w:val="none"/>
                <w:lang w:eastAsia="zh-CN"/>
              </w:rPr>
              <w:t>：《</w:t>
            </w:r>
            <w:r>
              <w:rPr>
                <w:rFonts w:hint="eastAsia" w:hAnsi="宋体"/>
                <w:b w:val="0"/>
                <w:bCs/>
                <w:color w:val="auto"/>
                <w:sz w:val="24"/>
                <w:szCs w:val="24"/>
                <w:highlight w:val="none"/>
                <w:lang w:val="en-US" w:eastAsia="zh-CN"/>
              </w:rPr>
              <w:t>苏州市人民政府关于〈</w:t>
            </w:r>
            <w:r>
              <w:rPr>
                <w:rFonts w:hint="eastAsia" w:hAnsi="宋体"/>
                <w:b w:val="0"/>
                <w:bCs/>
                <w:color w:val="auto"/>
                <w:sz w:val="24"/>
                <w:szCs w:val="24"/>
                <w:highlight w:val="none"/>
              </w:rPr>
              <w:t>苏州市相城区太平片区</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原太平镇</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总体规划</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2015-2030年</w:t>
            </w:r>
            <w:r>
              <w:rPr>
                <w:rFonts w:hint="eastAsia" w:hAnsi="宋体"/>
                <w:b w:val="0"/>
                <w:bCs/>
                <w:color w:val="auto"/>
                <w:sz w:val="24"/>
                <w:szCs w:val="24"/>
                <w:highlight w:val="none"/>
                <w:lang w:eastAsia="zh-CN"/>
              </w:rPr>
              <w:t>）〉</w:t>
            </w:r>
            <w:r>
              <w:rPr>
                <w:rFonts w:hint="eastAsia" w:hAnsi="宋体"/>
                <w:b w:val="0"/>
                <w:bCs/>
                <w:color w:val="auto"/>
                <w:sz w:val="24"/>
                <w:szCs w:val="24"/>
                <w:highlight w:val="none"/>
                <w:lang w:val="en-US" w:eastAsia="zh-CN"/>
              </w:rPr>
              <w:t>的批复</w:t>
            </w:r>
            <w:r>
              <w:rPr>
                <w:rFonts w:hint="eastAsia" w:hAnsi="宋体"/>
                <w:b w:val="0"/>
                <w:bCs/>
                <w:color w:val="auto"/>
                <w:sz w:val="24"/>
                <w:szCs w:val="24"/>
                <w:highlight w:val="none"/>
                <w:lang w:eastAsia="zh-CN"/>
              </w:rPr>
              <w:t>》（</w:t>
            </w:r>
            <w:r>
              <w:rPr>
                <w:rFonts w:hint="eastAsia" w:hAnsi="宋体"/>
                <w:b w:val="0"/>
                <w:bCs/>
                <w:color w:val="auto"/>
                <w:sz w:val="24"/>
                <w:szCs w:val="24"/>
                <w:highlight w:val="none"/>
              </w:rPr>
              <w:t>苏府</w:t>
            </w:r>
            <w:r>
              <w:rPr>
                <w:rFonts w:hint="default" w:ascii="Times New Roman" w:hAnsi="Times New Roman" w:eastAsia="宋体" w:cs="Times New Roman"/>
                <w:color w:val="auto"/>
                <w:sz w:val="24"/>
              </w:rPr>
              <w:t>〔20</w:t>
            </w:r>
            <w:r>
              <w:rPr>
                <w:rFonts w:hint="eastAsia" w:cs="Times New Roman"/>
                <w:color w:val="auto"/>
                <w:sz w:val="24"/>
                <w:lang w:val="en-US" w:eastAsia="zh-CN"/>
              </w:rPr>
              <w:t>15</w:t>
            </w:r>
            <w:r>
              <w:rPr>
                <w:rFonts w:hint="default" w:ascii="Times New Roman" w:hAnsi="Times New Roman" w:eastAsia="宋体" w:cs="Times New Roman"/>
                <w:color w:val="auto"/>
                <w:sz w:val="24"/>
              </w:rPr>
              <w:t>〕</w:t>
            </w:r>
            <w:r>
              <w:rPr>
                <w:rFonts w:hint="eastAsia" w:hAnsi="宋体"/>
                <w:b w:val="0"/>
                <w:bCs/>
                <w:color w:val="auto"/>
                <w:sz w:val="24"/>
                <w:szCs w:val="24"/>
                <w:highlight w:val="none"/>
              </w:rPr>
              <w:t>44号</w:t>
            </w:r>
            <w:r>
              <w:rPr>
                <w:rFonts w:hint="eastAsia" w:hAnsi="宋体"/>
                <w:b w:val="0"/>
                <w:bCs/>
                <w:color w:val="auto"/>
                <w:sz w:val="24"/>
                <w:szCs w:val="24"/>
                <w:highlight w:val="none"/>
                <w:lang w:eastAsia="zh-CN"/>
              </w:rPr>
              <w:t>）</w:t>
            </w:r>
          </w:p>
          <w:p w14:paraId="652DFFD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hAnsi="宋体"/>
                <w:bCs/>
                <w:color w:val="auto"/>
                <w:sz w:val="24"/>
                <w:szCs w:val="24"/>
                <w:lang w:val="en-US" w:eastAsia="zh-CN"/>
              </w:rPr>
            </w:pPr>
            <w:r>
              <w:rPr>
                <w:rFonts w:hint="eastAsia" w:hAnsi="宋体"/>
                <w:b/>
                <w:bCs w:val="0"/>
                <w:color w:val="auto"/>
                <w:sz w:val="24"/>
                <w:szCs w:val="24"/>
                <w:lang w:val="en-US" w:eastAsia="zh-CN"/>
              </w:rPr>
              <w:t>规划名称：</w:t>
            </w:r>
            <w:r>
              <w:rPr>
                <w:rFonts w:hint="eastAsia" w:hAnsi="宋体"/>
                <w:bCs/>
                <w:color w:val="auto"/>
                <w:sz w:val="24"/>
                <w:szCs w:val="24"/>
                <w:lang w:val="en-US" w:eastAsia="zh-CN"/>
              </w:rPr>
              <w:t>《</w:t>
            </w:r>
            <w:r>
              <w:rPr>
                <w:rFonts w:hint="eastAsia" w:hAnsi="宋体"/>
                <w:bCs/>
                <w:color w:val="auto"/>
                <w:sz w:val="24"/>
              </w:rPr>
              <w:t>苏州市相城区国土空间总体规划</w:t>
            </w:r>
            <w:r>
              <w:rPr>
                <w:rFonts w:hint="eastAsia" w:ascii="宋体" w:hAnsi="宋体" w:cs="宋体"/>
                <w:bCs/>
                <w:color w:val="auto"/>
                <w:sz w:val="24"/>
                <w:lang w:eastAsia="zh-CN"/>
              </w:rPr>
              <w:t>（</w:t>
            </w:r>
            <w:r>
              <w:rPr>
                <w:rFonts w:hint="eastAsia" w:hAnsi="宋体"/>
                <w:bCs/>
                <w:color w:val="auto"/>
                <w:sz w:val="24"/>
              </w:rPr>
              <w:t>2021-2035年</w:t>
            </w:r>
            <w:r>
              <w:rPr>
                <w:rFonts w:hint="eastAsia" w:ascii="宋体" w:hAnsi="宋体" w:cs="宋体"/>
                <w:bCs/>
                <w:color w:val="auto"/>
                <w:sz w:val="24"/>
                <w:lang w:eastAsia="zh-CN"/>
              </w:rPr>
              <w:t>）</w:t>
            </w:r>
            <w:r>
              <w:rPr>
                <w:rFonts w:hint="eastAsia" w:hAnsi="宋体"/>
                <w:bCs/>
                <w:color w:val="auto"/>
                <w:sz w:val="24"/>
                <w:szCs w:val="24"/>
                <w:lang w:val="en-US" w:eastAsia="zh-CN"/>
              </w:rPr>
              <w:t>》；</w:t>
            </w:r>
          </w:p>
          <w:p w14:paraId="7985438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hAnsi="宋体"/>
                <w:bCs/>
                <w:color w:val="auto"/>
                <w:sz w:val="24"/>
                <w:szCs w:val="24"/>
                <w:lang w:val="en-US" w:eastAsia="zh-CN"/>
              </w:rPr>
            </w:pPr>
            <w:r>
              <w:rPr>
                <w:rFonts w:hint="eastAsia" w:hAnsi="宋体"/>
                <w:b w:val="0"/>
                <w:bCs/>
                <w:color w:val="auto"/>
                <w:sz w:val="24"/>
                <w:szCs w:val="24"/>
                <w:lang w:val="en-US" w:eastAsia="zh-CN"/>
              </w:rPr>
              <w:t>审批机关：</w:t>
            </w:r>
            <w:r>
              <w:rPr>
                <w:rFonts w:hint="eastAsia" w:hAnsi="宋体"/>
                <w:bCs/>
                <w:color w:val="auto"/>
                <w:sz w:val="24"/>
                <w:szCs w:val="24"/>
                <w:lang w:val="en-US" w:eastAsia="zh-CN"/>
              </w:rPr>
              <w:t>江苏省人民政府；</w:t>
            </w:r>
          </w:p>
          <w:p w14:paraId="5D2ED7C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default" w:ascii="Times New Roman" w:hAnsi="Times New Roman" w:eastAsia="宋体" w:cs="Times New Roman"/>
                <w:b w:val="0"/>
                <w:bCs w:val="0"/>
                <w:color w:val="auto"/>
                <w:sz w:val="24"/>
                <w:szCs w:val="24"/>
              </w:rPr>
              <w:t>审批文件名称及文号：</w:t>
            </w:r>
            <w:r>
              <w:rPr>
                <w:rFonts w:hint="default" w:ascii="Times New Roman" w:hAnsi="Times New Roman" w:eastAsia="宋体" w:cs="Times New Roman"/>
                <w:color w:val="auto"/>
                <w:sz w:val="24"/>
                <w:szCs w:val="24"/>
              </w:rPr>
              <w:t>《</w:t>
            </w:r>
            <w:r>
              <w:rPr>
                <w:rFonts w:hint="default"/>
                <w:color w:val="auto"/>
                <w:sz w:val="24"/>
              </w:rPr>
              <w:t>省政府关于</w:t>
            </w:r>
            <w:r>
              <w:rPr>
                <w:rFonts w:hint="eastAsia"/>
                <w:color w:val="auto"/>
                <w:sz w:val="24"/>
                <w:lang w:eastAsia="zh-CN"/>
              </w:rPr>
              <w:t>〈</w:t>
            </w:r>
            <w:r>
              <w:rPr>
                <w:rFonts w:hint="default"/>
                <w:color w:val="auto"/>
                <w:sz w:val="24"/>
              </w:rPr>
              <w:t>张家港市、常熟市、太仓市、昆山市、苏州工业园</w:t>
            </w:r>
            <w:r>
              <w:rPr>
                <w:rFonts w:hint="eastAsia"/>
                <w:color w:val="auto"/>
                <w:sz w:val="24"/>
                <w:lang w:val="en-US" w:eastAsia="zh-CN"/>
              </w:rPr>
              <w:t>区</w:t>
            </w:r>
            <w:r>
              <w:rPr>
                <w:rFonts w:hint="default"/>
                <w:color w:val="auto"/>
                <w:sz w:val="24"/>
              </w:rPr>
              <w:t>、吴江区、吴中区、相城区、苏州高新区</w:t>
            </w:r>
            <w:r>
              <w:rPr>
                <w:rFonts w:hint="eastAsia"/>
                <w:color w:val="auto"/>
                <w:sz w:val="24"/>
                <w:lang w:eastAsia="zh-CN"/>
              </w:rPr>
              <w:t>（</w:t>
            </w:r>
            <w:r>
              <w:rPr>
                <w:rFonts w:hint="default"/>
                <w:color w:val="auto"/>
                <w:sz w:val="24"/>
              </w:rPr>
              <w:t>虎丘区</w:t>
            </w:r>
            <w:r>
              <w:rPr>
                <w:rFonts w:hint="eastAsia"/>
                <w:color w:val="auto"/>
                <w:sz w:val="24"/>
                <w:lang w:eastAsia="zh-CN"/>
              </w:rPr>
              <w:t>）</w:t>
            </w:r>
            <w:r>
              <w:rPr>
                <w:rFonts w:hint="default"/>
                <w:color w:val="auto"/>
                <w:sz w:val="24"/>
              </w:rPr>
              <w:t>国土空间总体规划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2021-2035年</w:t>
            </w:r>
            <w:r>
              <w:rPr>
                <w:rFonts w:hint="eastAsia" w:ascii="Times New Roman" w:hAnsi="Times New Roman" w:eastAsia="宋体" w:cs="Times New Roman"/>
                <w:color w:val="auto"/>
                <w:sz w:val="24"/>
                <w:lang w:eastAsia="zh-CN"/>
              </w:rPr>
              <w:t>）</w:t>
            </w:r>
            <w:r>
              <w:rPr>
                <w:rFonts w:hint="eastAsia" w:cs="Times New Roman"/>
                <w:color w:val="auto"/>
                <w:sz w:val="24"/>
                <w:lang w:eastAsia="zh-CN"/>
              </w:rPr>
              <w:t>〉</w:t>
            </w:r>
            <w:r>
              <w:rPr>
                <w:rFonts w:hint="default" w:ascii="Times New Roman" w:hAnsi="Times New Roman" w:eastAsia="宋体" w:cs="Times New Roman"/>
                <w:color w:val="auto"/>
                <w:sz w:val="24"/>
              </w:rPr>
              <w:t>的批复》（苏</w:t>
            </w:r>
            <w:r>
              <w:rPr>
                <w:rFonts w:hint="eastAsia" w:ascii="Times New Roman" w:hAnsi="Times New Roman" w:eastAsia="宋体" w:cs="Times New Roman"/>
                <w:color w:val="auto"/>
                <w:sz w:val="24"/>
                <w:lang w:val="en-US" w:eastAsia="zh-CN"/>
              </w:rPr>
              <w:t>政复</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号）</w:t>
            </w:r>
          </w:p>
        </w:tc>
      </w:tr>
      <w:tr w14:paraId="235A0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03" w:type="dxa"/>
            <w:gridSpan w:val="2"/>
            <w:vAlign w:val="center"/>
          </w:tcPr>
          <w:p w14:paraId="71AD9EDD">
            <w:pPr>
              <w:adjustRightInd w:val="0"/>
              <w:snapToGrid w:val="0"/>
              <w:jc w:val="center"/>
              <w:rPr>
                <w:color w:val="auto"/>
                <w:kern w:val="0"/>
                <w:sz w:val="24"/>
                <w:szCs w:val="24"/>
                <w:highlight w:val="none"/>
              </w:rPr>
            </w:pPr>
            <w:r>
              <w:rPr>
                <w:color w:val="auto"/>
                <w:sz w:val="24"/>
                <w:szCs w:val="24"/>
                <w:highlight w:val="none"/>
              </w:rPr>
              <w:t>规划环境影响评价情况</w:t>
            </w:r>
          </w:p>
        </w:tc>
        <w:tc>
          <w:tcPr>
            <w:tcW w:w="8408" w:type="dxa"/>
            <w:gridSpan w:val="3"/>
            <w:vAlign w:val="center"/>
          </w:tcPr>
          <w:p w14:paraId="47B73027">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eastAsia="宋体"/>
                <w:color w:val="auto"/>
                <w:kern w:val="0"/>
                <w:sz w:val="24"/>
                <w:szCs w:val="24"/>
                <w:highlight w:val="none"/>
                <w:lang w:eastAsia="zh-CN"/>
              </w:rPr>
            </w:pPr>
            <w:r>
              <w:rPr>
                <w:rFonts w:hint="eastAsia" w:ascii="Times New Roman" w:hAnsi="Times New Roman" w:eastAsia="宋体" w:cs="Times New Roman"/>
                <w:color w:val="auto"/>
                <w:sz w:val="24"/>
                <w:szCs w:val="24"/>
                <w:lang w:val="en-US" w:eastAsia="zh-CN"/>
              </w:rPr>
              <w:t>苏州市相城区人民政府太平街道办事处于2020年8月编制了《太平街道环境影响评价区域评估报告》并已报苏州市相城生态环境局备案。</w:t>
            </w:r>
          </w:p>
        </w:tc>
      </w:tr>
      <w:tr w14:paraId="1E04C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14:paraId="508BFD13">
            <w:pPr>
              <w:autoSpaceDE w:val="0"/>
              <w:autoSpaceDN w:val="0"/>
              <w:adjustRightInd w:val="0"/>
              <w:snapToGrid w:val="0"/>
              <w:jc w:val="center"/>
              <w:rPr>
                <w:color w:val="auto"/>
                <w:kern w:val="0"/>
                <w:sz w:val="24"/>
                <w:szCs w:val="24"/>
                <w:highlight w:val="none"/>
              </w:rPr>
            </w:pPr>
            <w:r>
              <w:rPr>
                <w:color w:val="auto"/>
                <w:kern w:val="0"/>
                <w:sz w:val="24"/>
                <w:szCs w:val="24"/>
                <w:highlight w:val="none"/>
              </w:rPr>
              <w:t>规划及规划环境影响评价符合性分析</w:t>
            </w:r>
          </w:p>
        </w:tc>
        <w:tc>
          <w:tcPr>
            <w:tcW w:w="9362" w:type="dxa"/>
            <w:gridSpan w:val="4"/>
            <w:vAlign w:val="center"/>
          </w:tcPr>
          <w:p w14:paraId="257892E7">
            <w:pPr>
              <w:autoSpaceDE w:val="0"/>
              <w:autoSpaceDN w:val="0"/>
              <w:adjustRightInd w:val="0"/>
              <w:snapToGrid w:val="0"/>
              <w:spacing w:line="360" w:lineRule="auto"/>
              <w:rPr>
                <w:b/>
                <w:bCs/>
                <w:color w:val="auto"/>
                <w:kern w:val="0"/>
                <w:sz w:val="24"/>
                <w:szCs w:val="24"/>
                <w:highlight w:val="none"/>
              </w:rPr>
            </w:pPr>
            <w:r>
              <w:rPr>
                <w:rFonts w:hint="eastAsia"/>
                <w:b/>
                <w:bCs/>
                <w:color w:val="auto"/>
                <w:kern w:val="0"/>
                <w:sz w:val="24"/>
                <w:szCs w:val="24"/>
                <w:highlight w:val="none"/>
                <w:lang w:val="en-US" w:eastAsia="zh-CN"/>
              </w:rPr>
              <w:t>1、</w:t>
            </w:r>
            <w:r>
              <w:rPr>
                <w:rFonts w:hint="eastAsia"/>
                <w:b/>
                <w:bCs/>
                <w:color w:val="auto"/>
                <w:kern w:val="0"/>
                <w:sz w:val="24"/>
                <w:szCs w:val="24"/>
                <w:highlight w:val="none"/>
              </w:rPr>
              <w:t>与《苏州市相城区太平片区（原太平镇）总体规划（2015-2030年）》相符性分析</w:t>
            </w:r>
          </w:p>
          <w:p w14:paraId="296EEB10">
            <w:pPr>
              <w:keepNext w:val="0"/>
              <w:keepLines w:val="0"/>
              <w:suppressLineNumbers w:val="0"/>
              <w:autoSpaceDE/>
              <w:autoSpaceDN/>
              <w:adjustRightInd/>
              <w:snapToGrid/>
              <w:spacing w:before="0" w:beforeAutospacing="0" w:after="0" w:afterAutospacing="0" w:line="360" w:lineRule="auto"/>
              <w:ind w:right="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1.1  </w:t>
            </w:r>
            <w:r>
              <w:rPr>
                <w:rFonts w:hint="default" w:ascii="Times New Roman" w:hAnsi="Times New Roman" w:eastAsia="宋体" w:cs="Times New Roman"/>
                <w:b/>
                <w:bCs/>
                <w:color w:val="auto"/>
                <w:sz w:val="24"/>
                <w:szCs w:val="24"/>
                <w:lang w:val="en-US" w:eastAsia="zh-CN"/>
              </w:rPr>
              <w:t>规划范围与规划期限</w:t>
            </w:r>
          </w:p>
          <w:p w14:paraId="53F8BFD1">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街道范围：指太平街道行政辖区范围，面积30.36平方公里。四至范围</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东至阳澄西湖，南至中环北线，西至227省道，北至丰家门浜。</w:t>
            </w:r>
          </w:p>
          <w:p w14:paraId="20F50E4C">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镇区范围</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即规划所确定的太平街道城镇建设用地范围，东至湘太路、西至聚金路、北至渭泾塘、南至湘太路，面积约6.37平方公里。</w:t>
            </w:r>
          </w:p>
          <w:p w14:paraId="6535D14A">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规划期限为2015-2030年，近期为2015-2020年，远期为2021-2030年。</w:t>
            </w:r>
          </w:p>
          <w:p w14:paraId="65931880">
            <w:pPr>
              <w:keepNext w:val="0"/>
              <w:keepLines w:val="0"/>
              <w:suppressLineNumbers w:val="0"/>
              <w:autoSpaceDE/>
              <w:autoSpaceDN/>
              <w:adjustRightInd/>
              <w:snapToGrid/>
              <w:spacing w:before="0" w:beforeAutospacing="0" w:after="0" w:afterAutospacing="0" w:line="360" w:lineRule="auto"/>
              <w:ind w:right="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用地规划</w:t>
            </w:r>
          </w:p>
          <w:p w14:paraId="615BE573">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太平街道镇域空间形成</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一镇、两带、三组团、多点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空间布局结构。</w:t>
            </w:r>
          </w:p>
          <w:p w14:paraId="4D433D4A">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一镇</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即太平中心镇区</w:t>
            </w:r>
            <w:r>
              <w:rPr>
                <w:rFonts w:hint="eastAsia" w:cs="Times New Roman"/>
                <w:color w:val="auto"/>
                <w:sz w:val="24"/>
                <w:szCs w:val="24"/>
                <w:lang w:val="en-US" w:eastAsia="zh-CN"/>
              </w:rPr>
              <w:t>；</w:t>
            </w:r>
          </w:p>
          <w:p w14:paraId="14C95565">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两带</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即沿湖绿色生态景观带和生态交通廊道带</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三组团</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即苏州市相城教育组团、盛泽荡都市绿岸风貌游览组团和公共配套组团</w:t>
            </w:r>
            <w:r>
              <w:rPr>
                <w:rFonts w:hint="eastAsia" w:cs="Times New Roman"/>
                <w:color w:val="auto"/>
                <w:sz w:val="24"/>
                <w:szCs w:val="24"/>
                <w:lang w:val="en-US" w:eastAsia="zh-CN"/>
              </w:rPr>
              <w:t>；</w:t>
            </w:r>
          </w:p>
          <w:p w14:paraId="0E61E36D">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多点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19个发展村庄点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4个重点村，15个特色村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11CCAF8B">
            <w:pPr>
              <w:keepNext w:val="0"/>
              <w:keepLines w:val="0"/>
              <w:suppressLineNumbers w:val="0"/>
              <w:autoSpaceDE/>
              <w:autoSpaceDN/>
              <w:adjustRightInd/>
              <w:snapToGrid/>
              <w:spacing w:before="0" w:beforeAutospacing="0" w:after="0" w:afterAutospacing="0" w:line="360" w:lineRule="auto"/>
              <w:ind w:right="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产业规划</w:t>
            </w:r>
          </w:p>
          <w:p w14:paraId="03ABF0B4">
            <w:pPr>
              <w:keepNext w:val="0"/>
              <w:keepLines w:val="0"/>
              <w:suppressLineNumbers w:val="0"/>
              <w:autoSpaceDE/>
              <w:autoSpaceDN/>
              <w:adjustRightInd/>
              <w:snapToGrid/>
              <w:spacing w:before="0" w:beforeAutospacing="0" w:after="0" w:afterAutospacing="0" w:line="360" w:lineRule="auto"/>
              <w:ind w:left="0" w:right="0" w:firstLine="0" w:firstLineChars="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产业空间结构</w:t>
            </w:r>
          </w:p>
          <w:p w14:paraId="0A8EEFF0">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第一产业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沿阳澄湖发展无污染的现代都市农业、观光农业、特色水产养殖业和休闲渔业</w:t>
            </w:r>
            <w:r>
              <w:rPr>
                <w:rFonts w:hint="eastAsia" w:cs="Times New Roman"/>
                <w:color w:val="auto"/>
                <w:sz w:val="24"/>
                <w:szCs w:val="24"/>
                <w:lang w:val="en-US" w:eastAsia="zh-CN"/>
              </w:rPr>
              <w:t>。</w:t>
            </w:r>
          </w:p>
          <w:p w14:paraId="51A697ED">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第二产业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以调整、优化、控制为主线，以科技进步和体制创新为动力，积极调整产业布局。引导太平工业园转型升级，发展精密仪器制造及数字文化产业，充分保证阳澄湖地区的环境品质。</w:t>
            </w:r>
          </w:p>
          <w:p w14:paraId="4A8B8C7A">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第三产业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完善太平街道各类公共服务设施，合理引导北部盛泽荡地区和南部大学城的建设，做强太平街道第三产业，努力把规划区建设成为环境优美、经济繁荣的宜居城镇。</w:t>
            </w:r>
          </w:p>
          <w:p w14:paraId="5CB8E23E">
            <w:pPr>
              <w:keepNext w:val="0"/>
              <w:keepLines w:val="0"/>
              <w:suppressLineNumbers w:val="0"/>
              <w:autoSpaceDE/>
              <w:autoSpaceDN/>
              <w:adjustRightInd/>
              <w:snapToGrid/>
              <w:spacing w:before="0" w:beforeAutospacing="0" w:after="0" w:afterAutospacing="0" w:line="360" w:lineRule="auto"/>
              <w:ind w:right="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 xml:space="preserve">1.3.2  </w:t>
            </w:r>
            <w:r>
              <w:rPr>
                <w:rFonts w:hint="default" w:ascii="Times New Roman" w:hAnsi="Times New Roman" w:eastAsia="宋体" w:cs="Times New Roman"/>
                <w:color w:val="auto"/>
                <w:sz w:val="24"/>
                <w:szCs w:val="24"/>
                <w:lang w:val="en-US" w:eastAsia="zh-CN"/>
              </w:rPr>
              <w:t>产业发展定位</w:t>
            </w:r>
          </w:p>
          <w:p w14:paraId="1B946120">
            <w:pPr>
              <w:keepNext w:val="0"/>
              <w:keepLines w:val="0"/>
              <w:suppressLineNumbers w:val="0"/>
              <w:autoSpaceDE/>
              <w:autoSpaceDN/>
              <w:adjustRightInd/>
              <w:snapToGrid/>
              <w:spacing w:before="0" w:beforeAutospacing="0" w:after="0" w:afterAutospacing="0" w:line="360" w:lineRule="auto"/>
              <w:ind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太平街道在第一产业重点发展现代都市型农业，特色农业和以农业与旅游业、商贸业结合为主的观光型农业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第二产业在保留镇区无污染企业的基础上，积极发展以数字产业、精密制造为龙头的高科技研发产业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第三产业方面则在传统商贸业的基础上发展依托东部阳澄湖自然风光的旅游产业和依托高铁的数字文化基地。太平街道整体依托现有资源和便捷的区位优势，大力发展休闲度假等文化旅游产业</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通过空间调整、技术调整等途径优化传统制造业，培育新材料、新能源等新兴特色产业。</w:t>
            </w:r>
          </w:p>
          <w:p w14:paraId="6AB6A228">
            <w:pPr>
              <w:keepNext w:val="0"/>
              <w:keepLines w:val="0"/>
              <w:numPr>
                <w:ilvl w:val="0"/>
                <w:numId w:val="0"/>
              </w:numPr>
              <w:suppressLineNumbers w:val="0"/>
              <w:autoSpaceDE/>
              <w:autoSpaceDN/>
              <w:adjustRightInd/>
              <w:snapToGrid/>
              <w:spacing w:before="0" w:beforeAutospacing="0" w:after="0" w:afterAutospacing="0" w:line="360" w:lineRule="auto"/>
              <w:ind w:right="0" w:rightChars="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基础设施规划</w:t>
            </w:r>
          </w:p>
          <w:p w14:paraId="0457304F">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给水工程</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以太湖和阳澄湖为水源地，相城水厂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70万m</w:t>
            </w:r>
            <w:r>
              <w:rPr>
                <w:rFonts w:hint="eastAsia"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/d，一期工程30万m</w:t>
            </w:r>
            <w:r>
              <w:rPr>
                <w:rFonts w:hint="eastAsia"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为太平街道供水为主，以苏州市园区水厂作为应急补充。</w:t>
            </w:r>
          </w:p>
          <w:p w14:paraId="33E89ED6">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排水工程</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太平街道中北部污水排入太平现有污水厂处理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现状</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万m</w:t>
            </w:r>
            <w:r>
              <w:rPr>
                <w:rFonts w:hint="eastAsia"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/d，规划</w:t>
            </w:r>
            <w:r>
              <w:rPr>
                <w:rFonts w:hint="eastAsia" w:cs="Times New Roman"/>
                <w:color w:val="auto"/>
                <w:sz w:val="24"/>
                <w:szCs w:val="24"/>
                <w:lang w:val="en-US" w:eastAsia="zh-CN"/>
              </w:rPr>
              <w:t>1万</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）。处理污水量饱和后，将部分污水通过泵站加压，经DN600压力管排往高铁新城污水处理厂处理。太平镇区南部污水经污水管道收集后，集中排入相城污水处理厂处理。</w:t>
            </w:r>
          </w:p>
          <w:p w14:paraId="49CB30A2">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现状：太平污水处理厂已关停，改为转输泵站，太平街道除莲港村部分生活污水排入澄阳污水厂外，其余所有污水排入高铁新城污水处理厂处理。</w:t>
            </w:r>
          </w:p>
          <w:p w14:paraId="01D5D81B">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3）供电工程：规划由220KV渭塘变（2</w:t>
            </w:r>
            <w:r>
              <w:rPr>
                <w:rFonts w:hint="default" w:ascii="Arial" w:hAnsi="Arial" w:cs="Arial"/>
                <w:color w:val="auto"/>
                <w:sz w:val="24"/>
                <w:szCs w:val="24"/>
                <w:lang w:val="en-US" w:eastAsia="zh-CN"/>
              </w:rPr>
              <w:t>×</w:t>
            </w:r>
            <w:r>
              <w:rPr>
                <w:rFonts w:hint="eastAsia" w:cs="Times New Roman"/>
                <w:color w:val="auto"/>
                <w:sz w:val="24"/>
                <w:szCs w:val="24"/>
                <w:lang w:val="en-US" w:eastAsia="zh-CN"/>
              </w:rPr>
              <w:t>180MVA）和220KV长楼变（1</w:t>
            </w:r>
            <w:r>
              <w:rPr>
                <w:rFonts w:hint="default" w:ascii="Arial" w:hAnsi="Arial" w:cs="Arial"/>
                <w:color w:val="auto"/>
                <w:sz w:val="24"/>
                <w:szCs w:val="24"/>
                <w:lang w:val="en-US" w:eastAsia="zh-CN"/>
              </w:rPr>
              <w:t>×</w:t>
            </w:r>
            <w:r>
              <w:rPr>
                <w:rFonts w:hint="eastAsia" w:cs="Times New Roman"/>
                <w:color w:val="auto"/>
                <w:sz w:val="24"/>
                <w:szCs w:val="24"/>
                <w:lang w:val="en-US" w:eastAsia="zh-CN"/>
              </w:rPr>
              <w:t>240MVA）为太平街道供电。规划将220KV长楼变（1</w:t>
            </w:r>
            <w:r>
              <w:rPr>
                <w:rFonts w:hint="default" w:ascii="Arial" w:hAnsi="Arial" w:cs="Arial"/>
                <w:color w:val="auto"/>
                <w:sz w:val="24"/>
                <w:szCs w:val="24"/>
                <w:lang w:val="en-US" w:eastAsia="zh-CN"/>
              </w:rPr>
              <w:t>×</w:t>
            </w:r>
            <w:r>
              <w:rPr>
                <w:rFonts w:hint="eastAsia" w:cs="Times New Roman"/>
                <w:color w:val="auto"/>
                <w:sz w:val="24"/>
                <w:szCs w:val="24"/>
                <w:lang w:val="en-US" w:eastAsia="zh-CN"/>
              </w:rPr>
              <w:t>240MVA）建设在太平街道西北。太平街道内目前有35KV变电站1座，根据用电负荷预测。规划建设110KV聚金变为3x50MVA。南部教育组团主要由110KV教育园变供电。原35kv太平变由于容量小，随着镇区的发展不能满足用电需求，近期扩建至2x16MVA，远期可改为用户专变，不再作为公用变。110KV变电所结构形式均为户内式，占地面积每座控制为4000平方米。现状户外变电所远期均应改造为户内。</w:t>
            </w:r>
          </w:p>
          <w:p w14:paraId="47780343">
            <w:pPr>
              <w:keepNext w:val="0"/>
              <w:keepLines w:val="0"/>
              <w:suppressLineNumbers w:val="0"/>
              <w:autoSpaceDE/>
              <w:autoSpaceDN/>
              <w:adjustRightInd/>
              <w:snapToGrid/>
              <w:spacing w:before="0" w:beforeAutospacing="0" w:after="0" w:afterAutospacing="0" w:line="360" w:lineRule="auto"/>
              <w:ind w:right="0"/>
              <w:rPr>
                <w:rFonts w:hint="eastAsia" w:cs="Times New Roman"/>
                <w:b/>
                <w:bCs/>
                <w:color w:val="auto"/>
                <w:sz w:val="24"/>
                <w:szCs w:val="24"/>
                <w:lang w:val="en-US" w:eastAsia="zh-CN"/>
              </w:rPr>
            </w:pPr>
            <w:r>
              <w:rPr>
                <w:rFonts w:hint="eastAsia" w:cs="Times New Roman"/>
                <w:b/>
                <w:bCs/>
                <w:color w:val="auto"/>
                <w:sz w:val="24"/>
                <w:szCs w:val="24"/>
                <w:lang w:val="en-US" w:eastAsia="zh-CN"/>
              </w:rPr>
              <w:t>1.5  相城高新技术产业开发区（太平产业园）发展定位</w:t>
            </w:r>
          </w:p>
          <w:p w14:paraId="13E20134">
            <w:pPr>
              <w:keepNext w:val="0"/>
              <w:keepLines w:val="0"/>
              <w:suppressLineNumbers w:val="0"/>
              <w:autoSpaceDE/>
              <w:autoSpaceDN/>
              <w:adjustRightInd/>
              <w:snapToGrid/>
              <w:spacing w:before="0" w:beforeAutospacing="0" w:after="0" w:afterAutospacing="0" w:line="360" w:lineRule="auto"/>
              <w:ind w:right="0"/>
              <w:rPr>
                <w:rFonts w:hint="eastAsia" w:cs="Times New Roman"/>
                <w:color w:val="auto"/>
                <w:sz w:val="24"/>
                <w:szCs w:val="24"/>
                <w:lang w:val="en-US" w:eastAsia="zh-CN"/>
              </w:rPr>
            </w:pPr>
            <w:r>
              <w:rPr>
                <w:rFonts w:hint="eastAsia" w:cs="Times New Roman"/>
                <w:color w:val="auto"/>
                <w:sz w:val="24"/>
                <w:szCs w:val="24"/>
                <w:lang w:val="en-US" w:eastAsia="zh-CN"/>
              </w:rPr>
              <w:t>1.5.1  规划范围</w:t>
            </w:r>
          </w:p>
          <w:p w14:paraId="57F6589F">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根据相城高新技术产业开发区环境影响评价区域评估，四至范围为：东至兴太路，南至春申湖路东延，西至聚金路、济学路，北至荷花溇。总面积3.08平方公里。</w:t>
            </w:r>
          </w:p>
          <w:p w14:paraId="40229C29">
            <w:pPr>
              <w:keepNext w:val="0"/>
              <w:keepLines w:val="0"/>
              <w:suppressLineNumbers w:val="0"/>
              <w:autoSpaceDE/>
              <w:autoSpaceDN/>
              <w:adjustRightInd/>
              <w:snapToGrid/>
              <w:spacing w:before="0" w:beforeAutospacing="0" w:after="0" w:afterAutospacing="0" w:line="360" w:lineRule="auto"/>
              <w:ind w:right="0"/>
              <w:rPr>
                <w:rFonts w:hint="eastAsia" w:cs="Times New Roman"/>
                <w:color w:val="auto"/>
                <w:sz w:val="24"/>
                <w:szCs w:val="24"/>
                <w:lang w:val="en-US" w:eastAsia="zh-CN"/>
              </w:rPr>
            </w:pPr>
            <w:r>
              <w:rPr>
                <w:rFonts w:hint="eastAsia" w:cs="Times New Roman"/>
                <w:color w:val="auto"/>
                <w:sz w:val="24"/>
                <w:szCs w:val="24"/>
                <w:lang w:val="en-US" w:eastAsia="zh-CN"/>
              </w:rPr>
              <w:t>1.5.2  产业发展定位</w:t>
            </w:r>
          </w:p>
          <w:p w14:paraId="2B941226">
            <w:pPr>
              <w:keepNext w:val="0"/>
              <w:keepLines w:val="0"/>
              <w:suppressLineNumbers w:val="0"/>
              <w:autoSpaceDE/>
              <w:autoSpaceDN/>
              <w:adjustRightInd/>
              <w:snapToGrid/>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太平产业园以精密加工制造业、环保科技产业和文化创意产业为主导产业。</w:t>
            </w:r>
          </w:p>
          <w:p w14:paraId="60267AE1">
            <w:pPr>
              <w:keepNext w:val="0"/>
              <w:keepLines w:val="0"/>
              <w:suppressLineNumbers w:val="0"/>
              <w:autoSpaceDE/>
              <w:autoSpaceDN/>
              <w:adjustRightInd/>
              <w:snapToGrid/>
              <w:spacing w:before="0" w:beforeAutospacing="0" w:after="0" w:afterAutospacing="0" w:line="360" w:lineRule="auto"/>
              <w:ind w:right="0"/>
              <w:rPr>
                <w:rFonts w:hint="eastAsia" w:cs="Times New Roman"/>
                <w:color w:val="auto"/>
                <w:sz w:val="24"/>
                <w:szCs w:val="24"/>
                <w:lang w:val="en-US" w:eastAsia="zh-CN"/>
              </w:rPr>
            </w:pPr>
            <w:r>
              <w:rPr>
                <w:rFonts w:hint="eastAsia" w:cs="Times New Roman"/>
                <w:color w:val="auto"/>
                <w:sz w:val="24"/>
                <w:szCs w:val="24"/>
                <w:lang w:val="en-US" w:eastAsia="zh-CN"/>
              </w:rPr>
              <w:t>1.5.3  基础设施规划</w:t>
            </w:r>
          </w:p>
          <w:p w14:paraId="72B26A49">
            <w:pPr>
              <w:keepNext w:val="0"/>
              <w:keepLines w:val="0"/>
              <w:suppressLineNumbers w:val="0"/>
              <w:autoSpaceDE/>
              <w:autoSpaceDN/>
              <w:adjustRightInd/>
              <w:snapToGrid/>
              <w:spacing w:before="0" w:beforeAutospacing="0" w:after="0" w:afterAutospacing="0" w:line="360" w:lineRule="auto"/>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太平产业园内供电、供气、供热、交通等基础设施规划均依托太平街道现有，均与太平街道总体规划相符。</w:t>
            </w:r>
          </w:p>
          <w:p w14:paraId="28EBAC78">
            <w:pPr>
              <w:keepNext w:val="0"/>
              <w:keepLines w:val="0"/>
              <w:numPr>
                <w:ilvl w:val="0"/>
                <w:numId w:val="0"/>
              </w:numPr>
              <w:suppressLineNumbers w:val="0"/>
              <w:autoSpaceDE/>
              <w:autoSpaceDN/>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相符性分析：</w:t>
            </w:r>
          </w:p>
          <w:p w14:paraId="286E664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rPr>
            </w:pPr>
            <w:r>
              <w:rPr>
                <w:rFonts w:hint="default" w:ascii="Times New Roman" w:hAnsi="Times New Roman" w:eastAsia="宋体" w:cs="Times New Roman"/>
                <w:b w:val="0"/>
                <w:bCs w:val="0"/>
                <w:color w:val="auto"/>
                <w:sz w:val="24"/>
                <w:szCs w:val="24"/>
                <w:lang w:val="en-US" w:eastAsia="zh-CN"/>
              </w:rPr>
              <w:t>本项目位于江苏省苏州市相城区元春路353号，位于太平产业园内，对照《苏州市相城区太平片区</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原太</w:t>
            </w:r>
            <w:r>
              <w:rPr>
                <w:rFonts w:hint="default" w:ascii="Times New Roman" w:hAnsi="Times New Roman" w:eastAsia="宋体" w:cs="Times New Roman"/>
                <w:b w:val="0"/>
                <w:bCs w:val="0"/>
                <w:color w:val="auto"/>
                <w:sz w:val="24"/>
                <w:szCs w:val="24"/>
                <w:highlight w:val="none"/>
                <w:lang w:val="en-US" w:eastAsia="zh-CN"/>
              </w:rPr>
              <w:t>平镇</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总体规划</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2015-2030年</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》，该地块属于规划中的工业用地</w:t>
            </w:r>
            <w:r>
              <w:rPr>
                <w:rFonts w:hint="eastAsia" w:cs="Times New Roman"/>
                <w:b w:val="0"/>
                <w:bCs w:val="0"/>
                <w:color w:val="auto"/>
                <w:sz w:val="24"/>
                <w:szCs w:val="24"/>
                <w:highlight w:val="none"/>
                <w:lang w:val="en-US" w:eastAsia="zh-CN"/>
              </w:rPr>
              <w:t>（详见附图5）</w:t>
            </w:r>
            <w:r>
              <w:rPr>
                <w:rFonts w:hint="default" w:ascii="Times New Roman" w:hAnsi="Times New Roman" w:eastAsia="宋体" w:cs="Times New Roman"/>
                <w:b w:val="0"/>
                <w:bCs w:val="0"/>
                <w:color w:val="auto"/>
                <w:sz w:val="24"/>
                <w:szCs w:val="24"/>
                <w:highlight w:val="none"/>
                <w:lang w:val="en-US" w:eastAsia="zh-CN"/>
              </w:rPr>
              <w:t>，符合用</w:t>
            </w:r>
            <w:r>
              <w:rPr>
                <w:rFonts w:hint="default" w:ascii="Times New Roman" w:hAnsi="Times New Roman" w:eastAsia="宋体" w:cs="Times New Roman"/>
                <w:b w:val="0"/>
                <w:bCs w:val="0"/>
                <w:color w:val="auto"/>
                <w:sz w:val="24"/>
                <w:szCs w:val="24"/>
                <w:lang w:val="en-US" w:eastAsia="zh-CN"/>
              </w:rPr>
              <w:t>地规划要求。本项目主要从事</w:t>
            </w:r>
            <w:r>
              <w:rPr>
                <w:rFonts w:hint="eastAsia" w:ascii="Times New Roman" w:hAnsi="Times New Roman" w:eastAsia="宋体" w:cs="Times New Roman"/>
                <w:b w:val="0"/>
                <w:bCs w:val="0"/>
                <w:color w:val="auto"/>
                <w:sz w:val="24"/>
                <w:szCs w:val="24"/>
                <w:lang w:val="en-US" w:eastAsia="zh-CN"/>
              </w:rPr>
              <w:t>新能源汽车冷却类零部件生产</w:t>
            </w:r>
            <w:r>
              <w:rPr>
                <w:rFonts w:hint="default" w:ascii="Times New Roman" w:hAnsi="Times New Roman" w:eastAsia="宋体" w:cs="Times New Roman"/>
                <w:b w:val="0"/>
                <w:bCs w:val="0"/>
                <w:color w:val="auto"/>
                <w:sz w:val="24"/>
                <w:szCs w:val="24"/>
                <w:lang w:val="en-US" w:eastAsia="zh-CN"/>
              </w:rPr>
              <w:t>，属于</w:t>
            </w:r>
            <w:r>
              <w:rPr>
                <w:rFonts w:hint="eastAsia" w:ascii="Times New Roman" w:hAnsi="Times New Roman" w:eastAsia="宋体" w:cs="Times New Roman"/>
                <w:b w:val="0"/>
                <w:bCs w:val="0"/>
                <w:color w:val="auto"/>
                <w:sz w:val="24"/>
                <w:szCs w:val="24"/>
                <w:lang w:val="en-US" w:eastAsia="zh-CN"/>
              </w:rPr>
              <w:t>精</w:t>
            </w:r>
            <w:r>
              <w:rPr>
                <w:rFonts w:hint="eastAsia" w:cs="Times New Roman"/>
                <w:b w:val="0"/>
                <w:bCs w:val="0"/>
                <w:color w:val="auto"/>
                <w:sz w:val="24"/>
                <w:szCs w:val="24"/>
                <w:lang w:val="en-US" w:eastAsia="zh-CN"/>
              </w:rPr>
              <w:t>密加工</w:t>
            </w:r>
            <w:r>
              <w:rPr>
                <w:rFonts w:hint="default" w:ascii="Times New Roman" w:hAnsi="Times New Roman" w:eastAsia="宋体" w:cs="Times New Roman"/>
                <w:b w:val="0"/>
                <w:bCs w:val="0"/>
                <w:color w:val="auto"/>
                <w:sz w:val="24"/>
                <w:szCs w:val="24"/>
                <w:lang w:val="en-US" w:eastAsia="zh-CN"/>
              </w:rPr>
              <w:t>制造业，与《苏州市相城区太平片区</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原太平镇</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总体规划</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2015-2030年</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》的产业发展定位</w:t>
            </w:r>
            <w:r>
              <w:rPr>
                <w:rFonts w:hint="eastAsia" w:cs="Times New Roman"/>
                <w:b w:val="0"/>
                <w:bCs w:val="0"/>
                <w:color w:val="auto"/>
                <w:sz w:val="24"/>
                <w:szCs w:val="24"/>
                <w:lang w:val="en-US" w:eastAsia="zh-CN"/>
              </w:rPr>
              <w:t>相符</w:t>
            </w:r>
            <w:r>
              <w:rPr>
                <w:rFonts w:hint="default" w:ascii="Times New Roman" w:hAnsi="Times New Roman" w:eastAsia="宋体" w:cs="Times New Roman"/>
                <w:b w:val="0"/>
                <w:bCs w:val="0"/>
                <w:color w:val="auto"/>
                <w:sz w:val="24"/>
                <w:szCs w:val="24"/>
                <w:lang w:val="en-US" w:eastAsia="zh-CN"/>
              </w:rPr>
              <w:t>。符合太平街道产业发展规划和策略要求</w:t>
            </w:r>
            <w:r>
              <w:rPr>
                <w:rFonts w:hint="eastAsia"/>
                <w:color w:val="auto"/>
                <w:kern w:val="0"/>
                <w:sz w:val="24"/>
                <w:szCs w:val="24"/>
                <w:highlight w:val="none"/>
              </w:rPr>
              <w:t>。</w:t>
            </w:r>
          </w:p>
          <w:p w14:paraId="30AB645C">
            <w:pPr>
              <w:numPr>
                <w:ilvl w:val="0"/>
                <w:numId w:val="0"/>
              </w:numPr>
              <w:autoSpaceDE w:val="0"/>
              <w:autoSpaceDN w:val="0"/>
              <w:adjustRightInd w:val="0"/>
              <w:snapToGrid w:val="0"/>
              <w:spacing w:line="360" w:lineRule="auto"/>
              <w:rPr>
                <w:rFonts w:hint="eastAsia"/>
                <w:b/>
                <w:bCs/>
                <w:color w:val="auto"/>
                <w:kern w:val="0"/>
                <w:sz w:val="24"/>
                <w:szCs w:val="24"/>
                <w:highlight w:val="none"/>
                <w:lang w:val="en-US" w:eastAsia="zh-CN"/>
              </w:rPr>
            </w:pPr>
            <w:r>
              <w:rPr>
                <w:rFonts w:hint="eastAsia" w:cs="Times New Roman"/>
                <w:b/>
                <w:bCs/>
                <w:color w:val="auto"/>
                <w:kern w:val="0"/>
                <w:sz w:val="24"/>
                <w:szCs w:val="24"/>
                <w:lang w:val="en-US" w:eastAsia="zh-CN" w:bidi="ar-SA"/>
              </w:rPr>
              <w:t>2</w:t>
            </w:r>
            <w:r>
              <w:rPr>
                <w:rFonts w:hint="eastAsia" w:ascii="Times New Roman" w:hAnsi="Times New Roman" w:eastAsia="宋体" w:cs="Times New Roman"/>
                <w:b/>
                <w:bCs/>
                <w:color w:val="auto"/>
                <w:kern w:val="0"/>
                <w:sz w:val="24"/>
                <w:szCs w:val="24"/>
                <w:lang w:val="en-US" w:eastAsia="zh-CN" w:bidi="ar-SA"/>
              </w:rPr>
              <w:t>、</w:t>
            </w:r>
            <w:r>
              <w:rPr>
                <w:rFonts w:hint="eastAsia"/>
                <w:b/>
                <w:bCs/>
                <w:color w:val="auto"/>
                <w:kern w:val="0"/>
                <w:sz w:val="24"/>
                <w:szCs w:val="24"/>
                <w:highlight w:val="none"/>
                <w:lang w:val="en-US" w:eastAsia="zh-CN"/>
              </w:rPr>
              <w:t>与《苏州市相城区国土空间总体规划（2021-2035年）》相符性分析</w:t>
            </w:r>
          </w:p>
          <w:p w14:paraId="66A1C3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统筹划定</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三区三线</w:t>
            </w:r>
            <w:r>
              <w:rPr>
                <w:rFonts w:hint="eastAsia" w:ascii="宋体" w:hAnsi="宋体" w:cs="宋体"/>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w:t>
            </w:r>
          </w:p>
          <w:p w14:paraId="079E59C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1、耕地和永久基本农田保护红线：规划期末耕地保有量不低于55.2513平方千米</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8.2877万</w:t>
            </w:r>
            <w:r>
              <w:rPr>
                <w:rFonts w:hint="eastAsia" w:ascii="宋体" w:hAnsi="宋体" w:eastAsia="宋体" w:cs="宋体"/>
                <w:b w:val="0"/>
                <w:bCs w:val="0"/>
                <w:color w:val="auto"/>
                <w:sz w:val="24"/>
                <w:lang w:val="en-US" w:eastAsia="zh-CN"/>
              </w:rPr>
              <w:t>亩</w:t>
            </w:r>
            <w:r>
              <w:rPr>
                <w:rFonts w:hint="eastAsia" w:ascii="宋体" w:hAnsi="宋体" w:cs="宋体"/>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，永久基本农田保护任务不低于49.1341平方千米（7.3701万亩）。</w:t>
            </w:r>
          </w:p>
          <w:p w14:paraId="1D84126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2、生态保护红线：生态保护红线总面积不低于21.0413平方千米（3.1562万亩），包括江苏苏州荷塘月色省级湿地公园、太湖重要湿地、太湖金墅港饮用水水源保护。</w:t>
            </w:r>
          </w:p>
          <w:p w14:paraId="42541FA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3、城镇开发边界：城镇开发边界扩展倍数为1.2458，主要覆盖相城中心城区及外围乡镇建设区域。</w:t>
            </w:r>
          </w:p>
          <w:p w14:paraId="7288F80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相符性分析：</w:t>
            </w:r>
          </w:p>
          <w:p w14:paraId="3B35BAA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highlight w:val="none"/>
                <w:lang w:val="en-US" w:eastAsia="zh-CN"/>
              </w:rPr>
              <w:t>根据《苏州市相城区国土空间总体规划（2021-2035）》国土空间控制线规划图（详见附图</w:t>
            </w:r>
            <w:r>
              <w:rPr>
                <w:rFonts w:hint="eastAsia" w:cs="Times New Roman"/>
                <w:b w:val="0"/>
                <w:bCs w:val="0"/>
                <w:color w:val="auto"/>
                <w:sz w:val="24"/>
                <w:highlight w:val="none"/>
                <w:lang w:val="en-US" w:eastAsia="zh-CN"/>
              </w:rPr>
              <w:t>7</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lang w:val="en-US" w:eastAsia="zh-CN"/>
              </w:rPr>
              <w:t>本项目所在地为城镇开发边界，不在永久基本农田、生态保护红线范围内，因此符合《苏州市相城区国土空间总体规划（2021-2035）》及</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三区三线</w:t>
            </w:r>
            <w:r>
              <w:rPr>
                <w:rFonts w:hint="eastAsia" w:ascii="宋体" w:hAnsi="宋体" w:cs="宋体"/>
                <w:b w:val="0"/>
                <w:bCs w:val="0"/>
                <w:color w:val="auto"/>
                <w:sz w:val="24"/>
                <w:lang w:val="en-US" w:eastAsia="zh-CN"/>
              </w:rPr>
              <w:t>”</w:t>
            </w:r>
            <w:r>
              <w:rPr>
                <w:rFonts w:hint="eastAsia" w:ascii="宋体" w:hAnsi="宋体" w:eastAsia="宋体" w:cs="宋体"/>
                <w:b w:val="0"/>
                <w:bCs w:val="0"/>
                <w:color w:val="auto"/>
                <w:sz w:val="24"/>
                <w:lang w:val="en-US" w:eastAsia="zh-CN"/>
              </w:rPr>
              <w:t>相</w:t>
            </w:r>
            <w:r>
              <w:rPr>
                <w:rFonts w:hint="default" w:ascii="Times New Roman" w:hAnsi="Times New Roman" w:eastAsia="宋体" w:cs="Times New Roman"/>
                <w:b w:val="0"/>
                <w:bCs w:val="0"/>
                <w:color w:val="auto"/>
                <w:sz w:val="24"/>
                <w:lang w:val="en-US" w:eastAsia="zh-CN"/>
              </w:rPr>
              <w:t>关要求。</w:t>
            </w:r>
          </w:p>
          <w:p w14:paraId="268614A2">
            <w:pPr>
              <w:autoSpaceDE w:val="0"/>
              <w:autoSpaceDN w:val="0"/>
              <w:adjustRightInd w:val="0"/>
              <w:snapToGrid w:val="0"/>
              <w:spacing w:line="360" w:lineRule="auto"/>
              <w:rPr>
                <w:rFonts w:hint="default"/>
                <w:b/>
                <w:bCs/>
                <w:color w:val="auto"/>
                <w:kern w:val="0"/>
                <w:sz w:val="24"/>
                <w:szCs w:val="24"/>
                <w:highlight w:val="none"/>
                <w:lang w:val="en-US" w:eastAsia="zh-CN"/>
              </w:rPr>
            </w:pPr>
            <w:r>
              <w:rPr>
                <w:rFonts w:hint="eastAsia"/>
                <w:b/>
                <w:bCs/>
                <w:color w:val="auto"/>
                <w:kern w:val="0"/>
                <w:sz w:val="24"/>
                <w:szCs w:val="24"/>
                <w:highlight w:val="none"/>
                <w:lang w:val="en-US" w:eastAsia="zh-CN"/>
              </w:rPr>
              <w:t>3、与《太平街道环境影响评价区域评估报告》相符性分析</w:t>
            </w:r>
          </w:p>
          <w:p w14:paraId="3D7F2BF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 xml:space="preserve">3.1  </w:t>
            </w:r>
            <w:r>
              <w:rPr>
                <w:rFonts w:hint="eastAsia" w:ascii="Times New Roman" w:hAnsi="Times New Roman" w:eastAsia="宋体" w:cs="Times New Roman"/>
                <w:b/>
                <w:bCs/>
                <w:color w:val="auto"/>
                <w:sz w:val="24"/>
                <w:lang w:val="en-US" w:eastAsia="zh-CN"/>
              </w:rPr>
              <w:t>《太平街道环境影响评价区域评估报告》总结论</w:t>
            </w:r>
          </w:p>
          <w:p w14:paraId="48B8F4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太平街道的现状发展与现有规划在现状用地、产业布局等方面存在着一些不相符的情况，区域污染排放压力大，环境质量有待改善。在今后的发展过程中，建议太平街道严格落实本次评价提出的优化调整对策、</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三线一单</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管理要求以及各项环境影响减缓措施、风险防范措施，进一步改善区域环境质量。在确保各项对策、要求和措施落实到位的前提下，区域后续的开发活动在环保方面总体可行。</w:t>
            </w:r>
          </w:p>
          <w:p w14:paraId="0E42955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区域评估相符性分析</w:t>
            </w:r>
          </w:p>
          <w:p w14:paraId="5C8472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本项目与《太平街道环境影响评价区域评估报告》的相符性分析见下表</w:t>
            </w:r>
            <w:r>
              <w:rPr>
                <w:rFonts w:hint="eastAsia" w:cs="Times New Roman"/>
                <w:b w:val="0"/>
                <w:bCs w:val="0"/>
                <w:color w:val="auto"/>
                <w:sz w:val="24"/>
                <w:lang w:val="en-US" w:eastAsia="zh-CN"/>
              </w:rPr>
              <w:t>：</w:t>
            </w:r>
          </w:p>
          <w:p w14:paraId="296A74A7">
            <w:pPr>
              <w:numPr>
                <w:ilvl w:val="0"/>
                <w:numId w:val="0"/>
              </w:numPr>
              <w:tabs>
                <w:tab w:val="left" w:pos="0"/>
              </w:tabs>
              <w:adjustRightInd w:val="0"/>
              <w:snapToGrid w:val="0"/>
              <w:ind w:left="0" w:leftChars="0" w:firstLine="0" w:firstLineChars="0"/>
              <w:jc w:val="center"/>
              <w:rPr>
                <w:rFonts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 xml:space="preserve">表1-1 </w:t>
            </w: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sz w:val="24"/>
                <w:szCs w:val="24"/>
                <w:highlight w:val="none"/>
                <w:lang w:val="en-US" w:eastAsia="zh-CN"/>
              </w:rPr>
              <w:t>本项目</w:t>
            </w:r>
            <w:r>
              <w:rPr>
                <w:rFonts w:hint="default" w:ascii="Times New Roman" w:hAnsi="Times New Roman" w:eastAsia="宋体" w:cs="Times New Roman"/>
                <w:b/>
                <w:bCs/>
                <w:color w:val="auto"/>
                <w:sz w:val="24"/>
                <w:szCs w:val="24"/>
                <w:highlight w:val="none"/>
                <w:lang w:val="en-US" w:eastAsia="zh-CN"/>
              </w:rPr>
              <w:t>与规划环评</w:t>
            </w:r>
            <w:r>
              <w:rPr>
                <w:rFonts w:hint="eastAsia" w:ascii="Times New Roman" w:hAnsi="Times New Roman" w:eastAsia="宋体" w:cs="Times New Roman"/>
                <w:b/>
                <w:bCs/>
                <w:color w:val="auto"/>
                <w:sz w:val="24"/>
                <w:szCs w:val="24"/>
                <w:highlight w:val="none"/>
                <w:lang w:val="en-US" w:eastAsia="zh-CN"/>
              </w:rPr>
              <w:t>及审查意见</w:t>
            </w:r>
            <w:r>
              <w:rPr>
                <w:rFonts w:hint="default" w:ascii="Times New Roman" w:hAnsi="Times New Roman" w:eastAsia="宋体" w:cs="Times New Roman"/>
                <w:b/>
                <w:bCs/>
                <w:color w:val="auto"/>
                <w:sz w:val="24"/>
                <w:szCs w:val="24"/>
                <w:highlight w:val="none"/>
                <w:lang w:val="en-US" w:eastAsia="zh-CN"/>
              </w:rPr>
              <w:t>相符性分析</w:t>
            </w:r>
          </w:p>
          <w:tbl>
            <w:tblPr>
              <w:tblStyle w:val="2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216"/>
              <w:gridCol w:w="2424"/>
              <w:gridCol w:w="851"/>
            </w:tblGrid>
            <w:tr w14:paraId="599CE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5E7BD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pacing w:val="-2"/>
                      <w:kern w:val="0"/>
                      <w:sz w:val="21"/>
                      <w:szCs w:val="21"/>
                      <w:highlight w:val="none"/>
                      <w:lang w:val="en-US" w:eastAsia="zh-CN"/>
                    </w:rPr>
                  </w:pPr>
                  <w:r>
                    <w:rPr>
                      <w:rFonts w:hint="default" w:ascii="Times New Roman" w:hAnsi="Times New Roman" w:eastAsia="仿宋" w:cs="Times New Roman"/>
                      <w:b/>
                      <w:bCs w:val="0"/>
                      <w:color w:val="auto"/>
                      <w:spacing w:val="-2"/>
                      <w:kern w:val="0"/>
                      <w:sz w:val="21"/>
                      <w:szCs w:val="21"/>
                      <w:highlight w:val="none"/>
                      <w:lang w:val="en-US" w:eastAsia="zh-CN"/>
                    </w:rPr>
                    <w:t>序号</w:t>
                  </w:r>
                </w:p>
              </w:tc>
              <w:tc>
                <w:tcPr>
                  <w:tcW w:w="2851" w:type="pct"/>
                  <w:tcBorders>
                    <w:tl2br w:val="nil"/>
                    <w:tr2bl w:val="nil"/>
                  </w:tcBorders>
                  <w:vAlign w:val="center"/>
                </w:tcPr>
                <w:p w14:paraId="661FE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pacing w:val="-2"/>
                      <w:kern w:val="0"/>
                      <w:sz w:val="21"/>
                      <w:szCs w:val="21"/>
                      <w:highlight w:val="none"/>
                      <w:lang w:val="en-US" w:eastAsia="zh-CN"/>
                    </w:rPr>
                  </w:pPr>
                  <w:r>
                    <w:rPr>
                      <w:rFonts w:hint="eastAsia" w:eastAsia="仿宋" w:cs="Times New Roman"/>
                      <w:b/>
                      <w:bCs w:val="0"/>
                      <w:color w:val="auto"/>
                      <w:spacing w:val="-2"/>
                      <w:kern w:val="0"/>
                      <w:sz w:val="21"/>
                      <w:szCs w:val="21"/>
                      <w:highlight w:val="none"/>
                      <w:lang w:val="en-US" w:eastAsia="zh-CN"/>
                    </w:rPr>
                    <w:t>环境影响减缓措施</w:t>
                  </w:r>
                </w:p>
              </w:tc>
              <w:tc>
                <w:tcPr>
                  <w:tcW w:w="1325" w:type="pct"/>
                  <w:tcBorders>
                    <w:tl2br w:val="nil"/>
                    <w:tr2bl w:val="nil"/>
                  </w:tcBorders>
                  <w:vAlign w:val="center"/>
                </w:tcPr>
                <w:p w14:paraId="36C83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pacing w:val="-2"/>
                      <w:kern w:val="0"/>
                      <w:sz w:val="21"/>
                      <w:szCs w:val="21"/>
                      <w:highlight w:val="none"/>
                      <w:lang w:val="en-US" w:eastAsia="zh-CN"/>
                    </w:rPr>
                  </w:pPr>
                  <w:r>
                    <w:rPr>
                      <w:rFonts w:hint="default" w:ascii="Times New Roman" w:hAnsi="Times New Roman" w:eastAsia="仿宋" w:cs="Times New Roman"/>
                      <w:b/>
                      <w:bCs w:val="0"/>
                      <w:color w:val="auto"/>
                      <w:spacing w:val="-2"/>
                      <w:kern w:val="0"/>
                      <w:sz w:val="21"/>
                      <w:szCs w:val="21"/>
                      <w:highlight w:val="none"/>
                      <w:lang w:val="en-US" w:eastAsia="zh-CN"/>
                    </w:rPr>
                    <w:t>本项目情况</w:t>
                  </w:r>
                </w:p>
              </w:tc>
              <w:tc>
                <w:tcPr>
                  <w:tcW w:w="465" w:type="pct"/>
                  <w:tcBorders>
                    <w:tl2br w:val="nil"/>
                    <w:tr2bl w:val="nil"/>
                  </w:tcBorders>
                  <w:vAlign w:val="center"/>
                </w:tcPr>
                <w:p w14:paraId="01053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val="0"/>
                      <w:color w:val="auto"/>
                      <w:spacing w:val="-2"/>
                      <w:kern w:val="0"/>
                      <w:sz w:val="21"/>
                      <w:szCs w:val="21"/>
                      <w:highlight w:val="none"/>
                      <w:lang w:val="en-US" w:eastAsia="zh-CN"/>
                    </w:rPr>
                  </w:pPr>
                  <w:r>
                    <w:rPr>
                      <w:rFonts w:hint="default" w:ascii="Times New Roman" w:hAnsi="Times New Roman" w:eastAsia="仿宋" w:cs="Times New Roman"/>
                      <w:b/>
                      <w:bCs w:val="0"/>
                      <w:color w:val="auto"/>
                      <w:spacing w:val="-2"/>
                      <w:kern w:val="0"/>
                      <w:sz w:val="21"/>
                      <w:szCs w:val="21"/>
                      <w:highlight w:val="none"/>
                      <w:lang w:val="en-US" w:eastAsia="zh-CN"/>
                    </w:rPr>
                    <w:t>相符性</w:t>
                  </w:r>
                </w:p>
              </w:tc>
            </w:tr>
            <w:tr w14:paraId="39601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573E8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1</w:t>
                  </w:r>
                </w:p>
              </w:tc>
              <w:tc>
                <w:tcPr>
                  <w:tcW w:w="2851" w:type="pct"/>
                  <w:tcBorders>
                    <w:tl2br w:val="nil"/>
                    <w:tr2bl w:val="nil"/>
                  </w:tcBorders>
                  <w:vAlign w:val="center"/>
                </w:tcPr>
                <w:p w14:paraId="2D64B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针对工业废气，提倡清洁能源的使用，注重源头污染预防，大力推进清洁生产工艺，强化污染源治理，实施在线监控，确保达标排放，加强非正常工况污染控制</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针对生活废气，提高区域燃气化率，加强饮食娱乐服务行业管理，减轻油烟污染</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针对移动污染源，加强机动车尾气综合治理、推进非道路移动机械污染防治，加强油品储存和运输过程中排放治理，针对扬尘污染，加强建筑施工和道路扬尘治理</w:t>
                  </w:r>
                </w:p>
              </w:tc>
              <w:tc>
                <w:tcPr>
                  <w:tcW w:w="1325" w:type="pct"/>
                  <w:tcBorders>
                    <w:tl2br w:val="nil"/>
                    <w:tr2bl w:val="nil"/>
                  </w:tcBorders>
                  <w:vAlign w:val="center"/>
                </w:tcPr>
                <w:p w14:paraId="2467B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本项目营运后产生的废气经配套的废气处理设施处理达标后排放</w:t>
                  </w:r>
                  <w:r>
                    <w:rPr>
                      <w:rFonts w:hint="eastAsia" w:eastAsia="仿宋" w:cs="Times New Roman"/>
                      <w:bCs/>
                      <w:color w:val="auto"/>
                      <w:spacing w:val="-2"/>
                      <w:kern w:val="0"/>
                      <w:sz w:val="21"/>
                      <w:szCs w:val="21"/>
                      <w:highlight w:val="none"/>
                      <w:lang w:val="en-US" w:eastAsia="zh-CN"/>
                    </w:rPr>
                    <w:t>。</w:t>
                  </w:r>
                </w:p>
              </w:tc>
              <w:tc>
                <w:tcPr>
                  <w:tcW w:w="465" w:type="pct"/>
                  <w:tcBorders>
                    <w:tl2br w:val="nil"/>
                    <w:tr2bl w:val="nil"/>
                  </w:tcBorders>
                  <w:vAlign w:val="center"/>
                </w:tcPr>
                <w:p w14:paraId="53871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r w14:paraId="58FA1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3E2CC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2</w:t>
                  </w:r>
                </w:p>
              </w:tc>
              <w:tc>
                <w:tcPr>
                  <w:tcW w:w="2851" w:type="pct"/>
                  <w:tcBorders>
                    <w:tl2br w:val="nil"/>
                    <w:tr2bl w:val="nil"/>
                  </w:tcBorders>
                  <w:vAlign w:val="center"/>
                </w:tcPr>
                <w:p w14:paraId="10984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完善污水收集和处理基础设施建设，开展河库水环境综合整治，加强农业面源污染防治，加强船舶污染防治，综合整治确保区域地表水环境大幅改善。</w:t>
                  </w:r>
                </w:p>
              </w:tc>
              <w:tc>
                <w:tcPr>
                  <w:tcW w:w="1325" w:type="pct"/>
                  <w:tcBorders>
                    <w:tl2br w:val="nil"/>
                    <w:tr2bl w:val="nil"/>
                  </w:tcBorders>
                  <w:vAlign w:val="center"/>
                </w:tcPr>
                <w:p w14:paraId="7B59B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本项目</w:t>
                  </w:r>
                  <w:r>
                    <w:rPr>
                      <w:rFonts w:hint="eastAsia" w:eastAsia="仿宋" w:cs="Times New Roman"/>
                      <w:bCs/>
                      <w:color w:val="auto"/>
                      <w:spacing w:val="-2"/>
                      <w:kern w:val="0"/>
                      <w:sz w:val="21"/>
                      <w:szCs w:val="21"/>
                      <w:highlight w:val="none"/>
                      <w:lang w:val="en-US" w:eastAsia="zh-CN"/>
                    </w:rPr>
                    <w:t>电泳线、喷粉线前处理</w:t>
                  </w:r>
                  <w:r>
                    <w:rPr>
                      <w:rFonts w:hint="default" w:ascii="Times New Roman" w:hAnsi="Times New Roman" w:eastAsia="仿宋" w:cs="Times New Roman"/>
                      <w:bCs/>
                      <w:color w:val="auto"/>
                      <w:spacing w:val="-2"/>
                      <w:kern w:val="0"/>
                      <w:sz w:val="21"/>
                      <w:szCs w:val="21"/>
                      <w:highlight w:val="none"/>
                      <w:lang w:val="en-US" w:eastAsia="zh-CN"/>
                    </w:rPr>
                    <w:t>产生的</w:t>
                  </w:r>
                  <w:r>
                    <w:rPr>
                      <w:rFonts w:hint="eastAsia" w:eastAsia="仿宋" w:cs="Times New Roman"/>
                      <w:bCs/>
                      <w:color w:val="auto"/>
                      <w:spacing w:val="-2"/>
                      <w:kern w:val="0"/>
                      <w:sz w:val="21"/>
                      <w:szCs w:val="21"/>
                      <w:highlight w:val="none"/>
                      <w:lang w:val="en-US" w:eastAsia="zh-CN"/>
                    </w:rPr>
                    <w:t>生产废水和地面清洗废水经厂区污水处理装置处理达标后与纯水制备浓水一起</w:t>
                  </w:r>
                  <w:r>
                    <w:rPr>
                      <w:rFonts w:hint="default" w:ascii="Times New Roman" w:hAnsi="Times New Roman" w:eastAsia="仿宋" w:cs="Times New Roman"/>
                      <w:bCs/>
                      <w:color w:val="auto"/>
                      <w:spacing w:val="-2"/>
                      <w:kern w:val="0"/>
                      <w:sz w:val="21"/>
                      <w:szCs w:val="21"/>
                      <w:highlight w:val="none"/>
                      <w:lang w:val="en-US" w:eastAsia="zh-CN"/>
                    </w:rPr>
                    <w:t>经市政污水管网排入苏州高铁苏水水务有限公司</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苏州高铁新城污水厂</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处理。</w:t>
                  </w:r>
                </w:p>
              </w:tc>
              <w:tc>
                <w:tcPr>
                  <w:tcW w:w="465" w:type="pct"/>
                  <w:tcBorders>
                    <w:tl2br w:val="nil"/>
                    <w:tr2bl w:val="nil"/>
                  </w:tcBorders>
                  <w:vAlign w:val="center"/>
                </w:tcPr>
                <w:p w14:paraId="6D3BC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r w14:paraId="1FE21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28245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3</w:t>
                  </w:r>
                </w:p>
              </w:tc>
              <w:tc>
                <w:tcPr>
                  <w:tcW w:w="2851" w:type="pct"/>
                  <w:tcBorders>
                    <w:tl2br w:val="nil"/>
                    <w:tr2bl w:val="nil"/>
                  </w:tcBorders>
                  <w:vAlign w:val="center"/>
                </w:tcPr>
                <w:p w14:paraId="5244E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针对可能发生的地下水和土壤污染，园区土壤和地下水污染防治措施将按照</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源头控制、分区防治、污染监控、应急响应</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相结合的原则，从污染物产生、入渗、扩散全方位进行防控。</w:t>
                  </w:r>
                </w:p>
              </w:tc>
              <w:tc>
                <w:tcPr>
                  <w:tcW w:w="1325" w:type="pct"/>
                  <w:tcBorders>
                    <w:tl2br w:val="nil"/>
                    <w:tr2bl w:val="nil"/>
                  </w:tcBorders>
                  <w:vAlign w:val="center"/>
                </w:tcPr>
                <w:p w14:paraId="70F20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本项目建成投产后基本不存在地下水及土壤污染途径，也不会增加对地下水及土壤环境的影响。</w:t>
                  </w:r>
                </w:p>
              </w:tc>
              <w:tc>
                <w:tcPr>
                  <w:tcW w:w="465" w:type="pct"/>
                  <w:tcBorders>
                    <w:tl2br w:val="nil"/>
                    <w:tr2bl w:val="nil"/>
                  </w:tcBorders>
                  <w:vAlign w:val="center"/>
                </w:tcPr>
                <w:p w14:paraId="7993F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r w14:paraId="7A725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5A346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4</w:t>
                  </w:r>
                </w:p>
              </w:tc>
              <w:tc>
                <w:tcPr>
                  <w:tcW w:w="2851" w:type="pct"/>
                  <w:tcBorders>
                    <w:tl2br w:val="nil"/>
                    <w:tr2bl w:val="nil"/>
                  </w:tcBorders>
                  <w:vAlign w:val="center"/>
                </w:tcPr>
                <w:p w14:paraId="5EDF0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从循环经济理念及清洁生产要求出发，鼓励企业选用无毒、无害或者低毒、低害的原料，采取低能耗、高能效的生产工艺，通过源头节约、技术提升、废物循环利用及综合利用，尽可能减少废物产生量。废物的处理处置应遵循</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减量化、无害化、资源化</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原则分类处理，确保垃圾、一般固</w:t>
                  </w:r>
                  <w:r>
                    <w:rPr>
                      <w:rFonts w:hint="eastAsia" w:eastAsia="仿宋" w:cs="Times New Roman"/>
                      <w:bCs/>
                      <w:color w:val="auto"/>
                      <w:spacing w:val="-2"/>
                      <w:kern w:val="0"/>
                      <w:sz w:val="21"/>
                      <w:szCs w:val="21"/>
                      <w:highlight w:val="none"/>
                      <w:lang w:val="en-US" w:eastAsia="zh-CN"/>
                    </w:rPr>
                    <w:t>废</w:t>
                  </w:r>
                  <w:r>
                    <w:rPr>
                      <w:rFonts w:hint="default" w:ascii="Times New Roman" w:hAnsi="Times New Roman" w:eastAsia="仿宋" w:cs="Times New Roman"/>
                      <w:bCs/>
                      <w:color w:val="auto"/>
                      <w:spacing w:val="-2"/>
                      <w:kern w:val="0"/>
                      <w:sz w:val="21"/>
                      <w:szCs w:val="21"/>
                      <w:highlight w:val="none"/>
                      <w:lang w:val="en-US" w:eastAsia="zh-CN"/>
                    </w:rPr>
                    <w:t>和危险废物均交由专门单位处置，不对外环境产生影响。</w:t>
                  </w:r>
                </w:p>
              </w:tc>
              <w:tc>
                <w:tcPr>
                  <w:tcW w:w="1325" w:type="pct"/>
                  <w:tcBorders>
                    <w:tl2br w:val="nil"/>
                    <w:tr2bl w:val="nil"/>
                  </w:tcBorders>
                  <w:vAlign w:val="center"/>
                </w:tcPr>
                <w:p w14:paraId="54B04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本项目建成投产后基本不存在地下水及土壤污染途径，也不会增加对地下水及土壤环境的影响。</w:t>
                  </w:r>
                </w:p>
              </w:tc>
              <w:tc>
                <w:tcPr>
                  <w:tcW w:w="465" w:type="pct"/>
                  <w:tcBorders>
                    <w:tl2br w:val="nil"/>
                    <w:tr2bl w:val="nil"/>
                  </w:tcBorders>
                  <w:vAlign w:val="center"/>
                </w:tcPr>
                <w:p w14:paraId="52ECE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r w14:paraId="0A367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09280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5</w:t>
                  </w:r>
                </w:p>
              </w:tc>
              <w:tc>
                <w:tcPr>
                  <w:tcW w:w="2851" w:type="pct"/>
                  <w:tcBorders>
                    <w:tl2br w:val="nil"/>
                    <w:tr2bl w:val="nil"/>
                  </w:tcBorders>
                  <w:vAlign w:val="center"/>
                </w:tcPr>
                <w:p w14:paraId="6E88A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针对工业噪声，从布局、噪声源、隔声措施等方面减缓不利影响</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针对交通噪声，主要设置绿化及声屏障等措施减缓其影响。</w:t>
                  </w:r>
                </w:p>
              </w:tc>
              <w:tc>
                <w:tcPr>
                  <w:tcW w:w="1325" w:type="pct"/>
                  <w:tcBorders>
                    <w:tl2br w:val="nil"/>
                    <w:tr2bl w:val="nil"/>
                  </w:tcBorders>
                  <w:vAlign w:val="center"/>
                </w:tcPr>
                <w:p w14:paraId="7C139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经预测，本项目建成投产后厂界噪声达标，不会对周边声环境产生影响</w:t>
                  </w:r>
                  <w:r>
                    <w:rPr>
                      <w:rFonts w:hint="eastAsia" w:eastAsia="仿宋" w:cs="Times New Roman"/>
                      <w:bCs/>
                      <w:color w:val="auto"/>
                      <w:spacing w:val="-2"/>
                      <w:kern w:val="0"/>
                      <w:sz w:val="21"/>
                      <w:szCs w:val="21"/>
                      <w:highlight w:val="none"/>
                      <w:lang w:val="en-US" w:eastAsia="zh-CN"/>
                    </w:rPr>
                    <w:t>。</w:t>
                  </w:r>
                </w:p>
              </w:tc>
              <w:tc>
                <w:tcPr>
                  <w:tcW w:w="465" w:type="pct"/>
                  <w:tcBorders>
                    <w:tl2br w:val="nil"/>
                    <w:tr2bl w:val="nil"/>
                  </w:tcBorders>
                  <w:vAlign w:val="center"/>
                </w:tcPr>
                <w:p w14:paraId="4D283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r w14:paraId="51B51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7" w:type="pct"/>
                  <w:tcBorders>
                    <w:tl2br w:val="nil"/>
                    <w:tr2bl w:val="nil"/>
                  </w:tcBorders>
                  <w:vAlign w:val="center"/>
                </w:tcPr>
                <w:p w14:paraId="5AA2B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6</w:t>
                  </w:r>
                </w:p>
              </w:tc>
              <w:tc>
                <w:tcPr>
                  <w:tcW w:w="2851" w:type="pct"/>
                  <w:tcBorders>
                    <w:tl2br w:val="nil"/>
                    <w:tr2bl w:val="nil"/>
                  </w:tcBorders>
                  <w:vAlign w:val="center"/>
                </w:tcPr>
                <w:p w14:paraId="190B5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强化区域内部生态修复，净化和改善区域环境</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加强区域周边生态建设，净化和控制污染影响范围</w:t>
                  </w:r>
                  <w:r>
                    <w:rPr>
                      <w:rFonts w:hint="eastAsia" w:eastAsia="仿宋" w:cs="Times New Roman"/>
                      <w:bCs/>
                      <w:color w:val="auto"/>
                      <w:spacing w:val="-2"/>
                      <w:kern w:val="0"/>
                      <w:sz w:val="21"/>
                      <w:szCs w:val="21"/>
                      <w:highlight w:val="none"/>
                      <w:lang w:val="en-US" w:eastAsia="zh-CN"/>
                    </w:rPr>
                    <w:t>：</w:t>
                  </w:r>
                  <w:r>
                    <w:rPr>
                      <w:rFonts w:hint="default" w:ascii="Times New Roman" w:hAnsi="Times New Roman" w:eastAsia="仿宋" w:cs="Times New Roman"/>
                      <w:bCs/>
                      <w:color w:val="auto"/>
                      <w:spacing w:val="-2"/>
                      <w:kern w:val="0"/>
                      <w:sz w:val="21"/>
                      <w:szCs w:val="21"/>
                      <w:highlight w:val="none"/>
                      <w:lang w:val="en-US" w:eastAsia="zh-CN"/>
                    </w:rPr>
                    <w:t>注重敏感区域生态保护，保障敏感区的功能。</w:t>
                  </w:r>
                </w:p>
              </w:tc>
              <w:tc>
                <w:tcPr>
                  <w:tcW w:w="1325" w:type="pct"/>
                  <w:tcBorders>
                    <w:tl2br w:val="nil"/>
                    <w:tr2bl w:val="nil"/>
                  </w:tcBorders>
                  <w:vAlign w:val="center"/>
                </w:tcPr>
                <w:p w14:paraId="4E31D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eastAsia" w:eastAsia="仿宋" w:cs="Times New Roman"/>
                      <w:bCs/>
                      <w:color w:val="auto"/>
                      <w:spacing w:val="-2"/>
                      <w:kern w:val="0"/>
                      <w:sz w:val="21"/>
                      <w:szCs w:val="21"/>
                      <w:highlight w:val="none"/>
                      <w:lang w:val="en-US" w:eastAsia="zh-CN"/>
                    </w:rPr>
                    <w:t>本项目不涉及。</w:t>
                  </w:r>
                </w:p>
              </w:tc>
              <w:tc>
                <w:tcPr>
                  <w:tcW w:w="465" w:type="pct"/>
                  <w:tcBorders>
                    <w:tl2br w:val="nil"/>
                    <w:tr2bl w:val="nil"/>
                  </w:tcBorders>
                  <w:vAlign w:val="center"/>
                </w:tcPr>
                <w:p w14:paraId="6235F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Cs/>
                      <w:color w:val="auto"/>
                      <w:spacing w:val="-2"/>
                      <w:kern w:val="0"/>
                      <w:sz w:val="21"/>
                      <w:szCs w:val="21"/>
                      <w:highlight w:val="none"/>
                      <w:lang w:val="en-US" w:eastAsia="zh-CN"/>
                    </w:rPr>
                  </w:pPr>
                  <w:r>
                    <w:rPr>
                      <w:rFonts w:hint="default" w:ascii="Times New Roman" w:hAnsi="Times New Roman" w:eastAsia="仿宋" w:cs="Times New Roman"/>
                      <w:bCs/>
                      <w:color w:val="auto"/>
                      <w:spacing w:val="-2"/>
                      <w:kern w:val="0"/>
                      <w:sz w:val="21"/>
                      <w:szCs w:val="21"/>
                      <w:highlight w:val="none"/>
                      <w:lang w:val="en-US" w:eastAsia="zh-CN"/>
                    </w:rPr>
                    <w:t>相符</w:t>
                  </w:r>
                </w:p>
              </w:tc>
            </w:tr>
          </w:tbl>
          <w:p w14:paraId="043A7918">
            <w:pPr>
              <w:autoSpaceDE w:val="0"/>
              <w:autoSpaceDN w:val="0"/>
              <w:adjustRightInd w:val="0"/>
              <w:snapToGrid w:val="0"/>
              <w:spacing w:line="360" w:lineRule="auto"/>
              <w:ind w:firstLine="480" w:firstLineChars="200"/>
              <w:jc w:val="left"/>
              <w:rPr>
                <w:rFonts w:hint="default" w:ascii="Times New Roman" w:hAnsi="Times New Roman" w:eastAsia="宋体" w:cs="Times New Roman"/>
                <w:b/>
                <w:bCs/>
                <w:color w:val="auto"/>
                <w:sz w:val="24"/>
                <w:szCs w:val="24"/>
                <w:highlight w:val="none"/>
                <w:lang w:val="en-US" w:eastAsia="zh-CN"/>
              </w:rPr>
            </w:pPr>
            <w:r>
              <w:rPr>
                <w:rFonts w:hint="eastAsia"/>
                <w:color w:val="auto"/>
                <w:sz w:val="24"/>
                <w:szCs w:val="24"/>
                <w:highlight w:val="none"/>
              </w:rPr>
              <w:t>由上表可知，本项目的建设符合《太平街道环境影响评价区域评估报告》</w:t>
            </w:r>
            <w:r>
              <w:rPr>
                <w:rFonts w:hint="eastAsia"/>
                <w:color w:val="auto"/>
                <w:sz w:val="24"/>
                <w:szCs w:val="24"/>
                <w:highlight w:val="none"/>
                <w:lang w:val="en-US" w:eastAsia="zh-CN"/>
              </w:rPr>
              <w:t>相关内容及</w:t>
            </w:r>
            <w:r>
              <w:rPr>
                <w:rFonts w:hint="eastAsia"/>
                <w:color w:val="auto"/>
                <w:sz w:val="24"/>
                <w:szCs w:val="24"/>
                <w:highlight w:val="none"/>
              </w:rPr>
              <w:t>要求</w:t>
            </w:r>
            <w:r>
              <w:rPr>
                <w:color w:val="auto"/>
                <w:sz w:val="24"/>
                <w:szCs w:val="24"/>
                <w:highlight w:val="none"/>
              </w:rPr>
              <w:t>。</w:t>
            </w:r>
          </w:p>
        </w:tc>
      </w:tr>
      <w:tr w14:paraId="20DB8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14:paraId="3972BAD3">
            <w:pPr>
              <w:autoSpaceDE w:val="0"/>
              <w:autoSpaceDN w:val="0"/>
              <w:adjustRightInd w:val="0"/>
              <w:snapToGrid w:val="0"/>
              <w:jc w:val="center"/>
              <w:rPr>
                <w:color w:val="auto"/>
                <w:kern w:val="0"/>
                <w:szCs w:val="21"/>
                <w:highlight w:val="none"/>
              </w:rPr>
            </w:pPr>
            <w:r>
              <w:rPr>
                <w:color w:val="auto"/>
                <w:kern w:val="0"/>
                <w:sz w:val="24"/>
                <w:szCs w:val="24"/>
                <w:highlight w:val="none"/>
              </w:rPr>
              <w:t>其他符合性分析</w:t>
            </w:r>
          </w:p>
        </w:tc>
        <w:tc>
          <w:tcPr>
            <w:tcW w:w="9362" w:type="dxa"/>
            <w:gridSpan w:val="4"/>
            <w:vAlign w:val="center"/>
          </w:tcPr>
          <w:p w14:paraId="0175FE95">
            <w:pPr>
              <w:autoSpaceDE w:val="0"/>
              <w:autoSpaceDN w:val="0"/>
              <w:adjustRightInd w:val="0"/>
              <w:snapToGrid w:val="0"/>
              <w:spacing w:line="360" w:lineRule="auto"/>
              <w:jc w:val="left"/>
              <w:rPr>
                <w:b/>
                <w:bCs/>
                <w:color w:val="auto"/>
                <w:kern w:val="0"/>
                <w:sz w:val="24"/>
                <w:szCs w:val="24"/>
                <w:highlight w:val="none"/>
              </w:rPr>
            </w:pPr>
            <w:r>
              <w:rPr>
                <w:rFonts w:hint="eastAsia"/>
                <w:b/>
                <w:bCs/>
                <w:color w:val="auto"/>
                <w:kern w:val="0"/>
                <w:sz w:val="24"/>
                <w:szCs w:val="24"/>
                <w:highlight w:val="none"/>
                <w:lang w:val="en-US" w:eastAsia="zh-CN"/>
              </w:rPr>
              <w:t>4、</w:t>
            </w:r>
            <w:r>
              <w:rPr>
                <w:rFonts w:hint="eastAsia" w:ascii="宋体"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三线一单</w:t>
            </w:r>
            <w:r>
              <w:rPr>
                <w:rFonts w:hint="eastAsia" w:ascii="宋体"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相符</w:t>
            </w:r>
            <w:r>
              <w:rPr>
                <w:b/>
                <w:bCs/>
                <w:color w:val="auto"/>
                <w:kern w:val="0"/>
                <w:sz w:val="24"/>
                <w:szCs w:val="24"/>
                <w:highlight w:val="none"/>
              </w:rPr>
              <w:t>性分析</w:t>
            </w:r>
          </w:p>
          <w:p w14:paraId="26B44A03">
            <w:pPr>
              <w:autoSpaceDE w:val="0"/>
              <w:autoSpaceDN w:val="0"/>
              <w:adjustRightInd w:val="0"/>
              <w:snapToGrid w:val="0"/>
              <w:spacing w:line="360" w:lineRule="auto"/>
              <w:jc w:val="left"/>
              <w:rPr>
                <w:b/>
                <w:color w:val="auto"/>
                <w:kern w:val="0"/>
                <w:sz w:val="24"/>
                <w:szCs w:val="24"/>
                <w:highlight w:val="none"/>
              </w:rPr>
            </w:pPr>
            <w:r>
              <w:rPr>
                <w:rFonts w:hint="eastAsia"/>
                <w:b/>
                <w:color w:val="auto"/>
                <w:kern w:val="0"/>
                <w:sz w:val="24"/>
                <w:szCs w:val="24"/>
                <w:highlight w:val="none"/>
                <w:lang w:val="en-US" w:eastAsia="zh-CN"/>
              </w:rPr>
              <w:t>4</w:t>
            </w:r>
            <w:r>
              <w:rPr>
                <w:rFonts w:hint="eastAsia"/>
                <w:b/>
                <w:color w:val="auto"/>
                <w:kern w:val="0"/>
                <w:sz w:val="24"/>
                <w:szCs w:val="24"/>
                <w:highlight w:val="none"/>
              </w:rPr>
              <w:t xml:space="preserve">.1 </w:t>
            </w:r>
            <w:r>
              <w:rPr>
                <w:b/>
                <w:color w:val="auto"/>
                <w:kern w:val="0"/>
                <w:sz w:val="24"/>
                <w:szCs w:val="24"/>
                <w:highlight w:val="none"/>
              </w:rPr>
              <w:t xml:space="preserve"> </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生态保护红线</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lang w:val="en-US" w:eastAsia="zh-CN"/>
              </w:rPr>
              <w:t>相</w:t>
            </w:r>
            <w:r>
              <w:rPr>
                <w:rFonts w:hint="eastAsia"/>
                <w:b/>
                <w:color w:val="auto"/>
                <w:kern w:val="0"/>
                <w:sz w:val="24"/>
                <w:szCs w:val="24"/>
                <w:highlight w:val="none"/>
                <w:lang w:val="en-US" w:eastAsia="zh-CN"/>
              </w:rPr>
              <w:t>符</w:t>
            </w:r>
            <w:r>
              <w:rPr>
                <w:b/>
                <w:color w:val="auto"/>
                <w:kern w:val="0"/>
                <w:sz w:val="24"/>
                <w:szCs w:val="24"/>
                <w:highlight w:val="none"/>
              </w:rPr>
              <w:t>性分析</w:t>
            </w:r>
          </w:p>
          <w:p w14:paraId="6D880B30">
            <w:pPr>
              <w:adjustRightInd w:val="0"/>
              <w:snapToGrid w:val="0"/>
              <w:spacing w:line="360" w:lineRule="auto"/>
              <w:ind w:firstLine="480" w:firstLineChars="200"/>
              <w:rPr>
                <w:bCs/>
                <w:color w:val="auto"/>
                <w:sz w:val="24"/>
                <w:szCs w:val="24"/>
                <w:highlight w:val="none"/>
              </w:rPr>
            </w:pPr>
            <w:r>
              <w:rPr>
                <w:bCs/>
                <w:color w:val="auto"/>
                <w:sz w:val="24"/>
                <w:szCs w:val="24"/>
                <w:highlight w:val="none"/>
              </w:rPr>
              <w:t>经查《江苏省国家级生态保护红线规划》（苏政发</w:t>
            </w:r>
            <w:r>
              <w:rPr>
                <w:rFonts w:hint="eastAsia"/>
                <w:bCs/>
                <w:color w:val="auto"/>
                <w:sz w:val="24"/>
                <w:szCs w:val="24"/>
                <w:highlight w:val="none"/>
                <w:lang w:eastAsia="zh-CN"/>
              </w:rPr>
              <w:t>〔2018〕74号</w:t>
            </w:r>
            <w:r>
              <w:rPr>
                <w:bCs/>
                <w:color w:val="auto"/>
                <w:sz w:val="24"/>
                <w:szCs w:val="24"/>
                <w:highlight w:val="none"/>
              </w:rPr>
              <w:t>），本项目距离较近的生态红线为苏州荷塘月色省级湿地公园，其类型和保护范围见</w:t>
            </w:r>
            <w:r>
              <w:rPr>
                <w:rFonts w:hint="eastAsia"/>
                <w:bCs/>
                <w:color w:val="auto"/>
                <w:sz w:val="24"/>
                <w:szCs w:val="24"/>
                <w:highlight w:val="none"/>
                <w:lang w:val="en-US" w:eastAsia="zh-CN"/>
              </w:rPr>
              <w:t>下表</w:t>
            </w:r>
            <w:r>
              <w:rPr>
                <w:bCs/>
                <w:color w:val="auto"/>
                <w:sz w:val="24"/>
                <w:szCs w:val="24"/>
                <w:highlight w:val="none"/>
              </w:rPr>
              <w:t>。</w:t>
            </w:r>
          </w:p>
          <w:p w14:paraId="17221B53">
            <w:pPr>
              <w:numPr>
                <w:ilvl w:val="0"/>
                <w:numId w:val="0"/>
              </w:numPr>
              <w:tabs>
                <w:tab w:val="left" w:pos="0"/>
              </w:tabs>
              <w:adjustRightInd w:val="0"/>
              <w:snapToGrid w:val="0"/>
              <w:ind w:left="0" w:leftChars="0" w:firstLine="0" w:firstLineChars="0"/>
              <w:jc w:val="center"/>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表1-2</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sz w:val="24"/>
                <w:szCs w:val="24"/>
                <w:highlight w:val="none"/>
                <w:lang w:val="en-US" w:eastAsia="zh-CN"/>
              </w:rPr>
              <w:t>与江苏省国家级生态红线相对空间位置关系</w:t>
            </w:r>
          </w:p>
          <w:tbl>
            <w:tblPr>
              <w:tblStyle w:val="20"/>
              <w:tblW w:w="4996" w:type="pct"/>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1462"/>
              <w:gridCol w:w="1750"/>
              <w:gridCol w:w="2842"/>
              <w:gridCol w:w="1300"/>
              <w:gridCol w:w="964"/>
              <w:gridCol w:w="821"/>
            </w:tblGrid>
            <w:tr w14:paraId="4EECF7A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c>
                <w:tcPr>
                  <w:tcW w:w="800" w:type="pct"/>
                  <w:tcBorders>
                    <w:tl2br w:val="nil"/>
                    <w:tr2bl w:val="nil"/>
                  </w:tcBorders>
                  <w:vAlign w:val="center"/>
                </w:tcPr>
                <w:p w14:paraId="127F0A29">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生态保护红线名称</w:t>
                  </w:r>
                </w:p>
              </w:tc>
              <w:tc>
                <w:tcPr>
                  <w:tcW w:w="957" w:type="pct"/>
                  <w:tcBorders>
                    <w:tl2br w:val="nil"/>
                    <w:tr2bl w:val="nil"/>
                  </w:tcBorders>
                  <w:vAlign w:val="center"/>
                </w:tcPr>
                <w:p w14:paraId="2EB5738E">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类型</w:t>
                  </w:r>
                </w:p>
              </w:tc>
              <w:tc>
                <w:tcPr>
                  <w:tcW w:w="1554" w:type="pct"/>
                  <w:tcBorders>
                    <w:tl2br w:val="nil"/>
                    <w:tr2bl w:val="nil"/>
                  </w:tcBorders>
                  <w:vAlign w:val="center"/>
                </w:tcPr>
                <w:p w14:paraId="021ECBF5">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地理位置</w:t>
                  </w:r>
                </w:p>
              </w:tc>
              <w:tc>
                <w:tcPr>
                  <w:tcW w:w="711" w:type="pct"/>
                  <w:tcBorders>
                    <w:tl2br w:val="nil"/>
                    <w:tr2bl w:val="nil"/>
                  </w:tcBorders>
                  <w:vAlign w:val="center"/>
                </w:tcPr>
                <w:p w14:paraId="72832069">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区域面积（km</w:t>
                  </w:r>
                  <w:r>
                    <w:rPr>
                      <w:rFonts w:hint="default" w:ascii="Times New Roman" w:hAnsi="Times New Roman" w:eastAsia="仿宋" w:cs="Times New Roman"/>
                      <w:b/>
                      <w:color w:val="auto"/>
                      <w:sz w:val="21"/>
                      <w:szCs w:val="21"/>
                      <w:highlight w:val="none"/>
                      <w:vertAlign w:val="superscript"/>
                    </w:rPr>
                    <w:t>2</w:t>
                  </w:r>
                  <w:r>
                    <w:rPr>
                      <w:rFonts w:hint="default" w:ascii="Times New Roman" w:hAnsi="Times New Roman" w:eastAsia="仿宋" w:cs="Times New Roman"/>
                      <w:b/>
                      <w:color w:val="auto"/>
                      <w:sz w:val="21"/>
                      <w:szCs w:val="21"/>
                      <w:highlight w:val="none"/>
                    </w:rPr>
                    <w:t>）</w:t>
                  </w:r>
                </w:p>
              </w:tc>
              <w:tc>
                <w:tcPr>
                  <w:tcW w:w="976" w:type="pct"/>
                  <w:gridSpan w:val="2"/>
                  <w:tcBorders>
                    <w:tl2br w:val="nil"/>
                    <w:tr2bl w:val="nil"/>
                  </w:tcBorders>
                  <w:vAlign w:val="center"/>
                </w:tcPr>
                <w:p w14:paraId="2B7F5502">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相对方位及距离</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km</w:t>
                  </w:r>
                  <w:r>
                    <w:rPr>
                      <w:rFonts w:hint="default" w:ascii="Times New Roman" w:hAnsi="Times New Roman" w:eastAsia="仿宋" w:cs="Times New Roman"/>
                      <w:b/>
                      <w:color w:val="auto"/>
                      <w:sz w:val="21"/>
                      <w:szCs w:val="21"/>
                      <w:highlight w:val="none"/>
                      <w:lang w:eastAsia="zh-CN"/>
                    </w:rPr>
                    <w:t>）</w:t>
                  </w:r>
                </w:p>
              </w:tc>
            </w:tr>
            <w:tr w14:paraId="5B297F3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c>
                <w:tcPr>
                  <w:tcW w:w="800" w:type="pct"/>
                  <w:tcBorders>
                    <w:tl2br w:val="nil"/>
                    <w:tr2bl w:val="nil"/>
                  </w:tcBorders>
                  <w:vAlign w:val="center"/>
                </w:tcPr>
                <w:p w14:paraId="73E6B2C3">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苏州荷塘月色省级湿地公园</w:t>
                  </w:r>
                </w:p>
              </w:tc>
              <w:tc>
                <w:tcPr>
                  <w:tcW w:w="957" w:type="pct"/>
                  <w:tcBorders>
                    <w:tl2br w:val="nil"/>
                    <w:tr2bl w:val="nil"/>
                  </w:tcBorders>
                  <w:vAlign w:val="center"/>
                </w:tcPr>
                <w:p w14:paraId="7464D9E6">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湿地公园的湿地保育区和恢复重建区</w:t>
                  </w:r>
                </w:p>
              </w:tc>
              <w:tc>
                <w:tcPr>
                  <w:tcW w:w="1554" w:type="pct"/>
                  <w:tcBorders>
                    <w:tl2br w:val="nil"/>
                    <w:tr2bl w:val="nil"/>
                  </w:tcBorders>
                  <w:vAlign w:val="center"/>
                </w:tcPr>
                <w:p w14:paraId="5C083E85">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苏州荷塘月色省级湿地公园总体规划中</w:t>
                  </w:r>
                  <w:r>
                    <w:rPr>
                      <w:rFonts w:hint="eastAsia" w:eastAsia="仿宋" w:cs="Times New Roman"/>
                      <w:bCs/>
                      <w:color w:val="auto"/>
                      <w:sz w:val="21"/>
                      <w:szCs w:val="21"/>
                      <w:highlight w:val="none"/>
                      <w:lang w:val="en-US" w:eastAsia="zh-CN"/>
                    </w:rPr>
                    <w:t>确定的范围（包括</w:t>
                  </w:r>
                  <w:r>
                    <w:rPr>
                      <w:rFonts w:hint="default" w:ascii="Times New Roman" w:hAnsi="Times New Roman" w:eastAsia="仿宋" w:cs="Times New Roman"/>
                      <w:bCs/>
                      <w:color w:val="auto"/>
                      <w:sz w:val="21"/>
                      <w:szCs w:val="21"/>
                      <w:highlight w:val="none"/>
                    </w:rPr>
                    <w:t>湿地保育区和恢复重建区</w:t>
                  </w:r>
                  <w:r>
                    <w:rPr>
                      <w:rFonts w:hint="eastAsia" w:eastAsia="仿宋" w:cs="Times New Roman"/>
                      <w:bCs/>
                      <w:color w:val="auto"/>
                      <w:sz w:val="21"/>
                      <w:szCs w:val="21"/>
                      <w:highlight w:val="none"/>
                      <w:lang w:val="en-US" w:eastAsia="zh-CN"/>
                    </w:rPr>
                    <w:t>）</w:t>
                  </w:r>
                </w:p>
              </w:tc>
              <w:tc>
                <w:tcPr>
                  <w:tcW w:w="711" w:type="pct"/>
                  <w:tcBorders>
                    <w:tl2br w:val="nil"/>
                    <w:tr2bl w:val="nil"/>
                  </w:tcBorders>
                  <w:vAlign w:val="center"/>
                </w:tcPr>
                <w:p w14:paraId="435358CC">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3.53</w:t>
                  </w:r>
                </w:p>
              </w:tc>
              <w:tc>
                <w:tcPr>
                  <w:tcW w:w="527" w:type="pct"/>
                  <w:tcBorders>
                    <w:tl2br w:val="nil"/>
                    <w:tr2bl w:val="nil"/>
                  </w:tcBorders>
                  <w:vAlign w:val="center"/>
                </w:tcPr>
                <w:p w14:paraId="6F8253D6">
                  <w:pPr>
                    <w:adjustRightInd w:val="0"/>
                    <w:snapToGrid w:val="0"/>
                    <w:jc w:val="center"/>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西</w:t>
                  </w:r>
                  <w:r>
                    <w:rPr>
                      <w:rFonts w:hint="default" w:ascii="Times New Roman" w:hAnsi="Times New Roman" w:eastAsia="仿宋" w:cs="Times New Roman"/>
                      <w:bCs/>
                      <w:color w:val="auto"/>
                      <w:sz w:val="21"/>
                      <w:szCs w:val="21"/>
                      <w:highlight w:val="none"/>
                    </w:rPr>
                    <w:t>南</w:t>
                  </w:r>
                </w:p>
              </w:tc>
              <w:tc>
                <w:tcPr>
                  <w:tcW w:w="449" w:type="pct"/>
                  <w:tcBorders>
                    <w:tl2br w:val="nil"/>
                    <w:tr2bl w:val="nil"/>
                  </w:tcBorders>
                  <w:vAlign w:val="center"/>
                </w:tcPr>
                <w:p w14:paraId="75D72EC0">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7.63</w:t>
                  </w:r>
                </w:p>
              </w:tc>
            </w:tr>
          </w:tbl>
          <w:p w14:paraId="3398C589">
            <w:pPr>
              <w:adjustRightInd w:val="0"/>
              <w:snapToGrid w:val="0"/>
              <w:spacing w:line="360" w:lineRule="auto"/>
              <w:ind w:firstLine="480" w:firstLineChars="200"/>
              <w:rPr>
                <w:color w:val="auto"/>
                <w:sz w:val="24"/>
                <w:szCs w:val="24"/>
                <w:highlight w:val="none"/>
              </w:rPr>
            </w:pPr>
            <w:r>
              <w:rPr>
                <w:bCs/>
                <w:color w:val="auto"/>
                <w:sz w:val="24"/>
                <w:szCs w:val="24"/>
                <w:highlight w:val="none"/>
              </w:rPr>
              <w:t>根据《江苏省生态空间管控区域规划》（苏政发</w:t>
            </w:r>
            <w:r>
              <w:rPr>
                <w:rFonts w:hint="eastAsia"/>
                <w:bCs/>
                <w:color w:val="auto"/>
                <w:sz w:val="24"/>
                <w:szCs w:val="24"/>
                <w:highlight w:val="none"/>
                <w:lang w:val="en-US" w:eastAsia="zh-CN"/>
              </w:rPr>
              <w:t>〔2020〕</w:t>
            </w:r>
            <w:r>
              <w:rPr>
                <w:bCs/>
                <w:color w:val="auto"/>
                <w:sz w:val="24"/>
                <w:szCs w:val="24"/>
                <w:highlight w:val="none"/>
              </w:rPr>
              <w:t>1号）</w:t>
            </w:r>
            <w:r>
              <w:rPr>
                <w:rFonts w:hint="eastAsia"/>
                <w:bCs/>
                <w:color w:val="auto"/>
                <w:sz w:val="24"/>
                <w:szCs w:val="24"/>
                <w:highlight w:val="none"/>
                <w:lang w:val="en-US" w:eastAsia="zh-CN"/>
              </w:rPr>
              <w:t>及《苏州市相城区2024年度生态空间管控区域调整方案》</w:t>
            </w:r>
            <w:r>
              <w:rPr>
                <w:bCs/>
                <w:color w:val="auto"/>
                <w:sz w:val="24"/>
                <w:szCs w:val="24"/>
                <w:highlight w:val="none"/>
              </w:rPr>
              <w:t>，</w:t>
            </w:r>
            <w:r>
              <w:rPr>
                <w:color w:val="auto"/>
                <w:sz w:val="24"/>
                <w:szCs w:val="24"/>
                <w:highlight w:val="none"/>
              </w:rPr>
              <w:t>本项目</w:t>
            </w:r>
            <w:r>
              <w:rPr>
                <w:rFonts w:hint="eastAsia"/>
                <w:color w:val="auto"/>
                <w:sz w:val="24"/>
                <w:szCs w:val="24"/>
                <w:highlight w:val="none"/>
              </w:rPr>
              <w:t>距离较近的生态空间管控区为</w:t>
            </w:r>
            <w:r>
              <w:rPr>
                <w:rFonts w:hint="eastAsia"/>
                <w:color w:val="auto"/>
                <w:sz w:val="24"/>
                <w:szCs w:val="24"/>
                <w:highlight w:val="none"/>
                <w:lang w:val="en-US" w:eastAsia="zh-CN"/>
              </w:rPr>
              <w:t>阳澄湖（相城区）重要湿地</w:t>
            </w:r>
            <w:r>
              <w:rPr>
                <w:rFonts w:hint="eastAsia"/>
                <w:color w:val="auto"/>
                <w:sz w:val="24"/>
                <w:szCs w:val="24"/>
                <w:highlight w:val="none"/>
              </w:rPr>
              <w:t>，其主导生态功能和保护范围分别见下表。</w:t>
            </w:r>
          </w:p>
          <w:p w14:paraId="35C9EC24">
            <w:pPr>
              <w:numPr>
                <w:ilvl w:val="0"/>
                <w:numId w:val="0"/>
              </w:numPr>
              <w:tabs>
                <w:tab w:val="left" w:pos="0"/>
              </w:tabs>
              <w:adjustRightInd w:val="0"/>
              <w:snapToGrid w:val="0"/>
              <w:ind w:left="0" w:leftChars="0" w:firstLine="0" w:firstLineChars="0"/>
              <w:jc w:val="center"/>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 xml:space="preserve">表1-3 </w:t>
            </w: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sz w:val="24"/>
                <w:szCs w:val="24"/>
                <w:highlight w:val="none"/>
                <w:lang w:val="en-US" w:eastAsia="zh-CN"/>
              </w:rPr>
              <w:t>与生态空间管控区域相对空间位置关系</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1119"/>
              <w:gridCol w:w="858"/>
              <w:gridCol w:w="960"/>
              <w:gridCol w:w="1684"/>
              <w:gridCol w:w="1355"/>
              <w:gridCol w:w="1097"/>
              <w:gridCol w:w="691"/>
              <w:gridCol w:w="823"/>
              <w:gridCol w:w="552"/>
            </w:tblGrid>
            <w:tr w14:paraId="629FF8F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restart"/>
                  <w:tcBorders>
                    <w:tl2br w:val="nil"/>
                    <w:tr2bl w:val="nil"/>
                  </w:tcBorders>
                  <w:vAlign w:val="center"/>
                </w:tcPr>
                <w:p w14:paraId="1E74FD04">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生态空间保护区域名称</w:t>
                  </w:r>
                </w:p>
              </w:tc>
              <w:tc>
                <w:tcPr>
                  <w:tcW w:w="469" w:type="pct"/>
                  <w:vMerge w:val="restart"/>
                  <w:tcBorders>
                    <w:tl2br w:val="nil"/>
                    <w:tr2bl w:val="nil"/>
                  </w:tcBorders>
                  <w:vAlign w:val="center"/>
                </w:tcPr>
                <w:p w14:paraId="091B576D">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主导生态功能</w:t>
                  </w:r>
                </w:p>
              </w:tc>
              <w:tc>
                <w:tcPr>
                  <w:tcW w:w="525" w:type="pct"/>
                  <w:vMerge w:val="restart"/>
                  <w:tcBorders>
                    <w:tl2br w:val="nil"/>
                    <w:tr2bl w:val="nil"/>
                  </w:tcBorders>
                  <w:vAlign w:val="center"/>
                </w:tcPr>
                <w:p w14:paraId="78F5A352">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国家级生态保护红线范围</w:t>
                  </w:r>
                </w:p>
              </w:tc>
              <w:tc>
                <w:tcPr>
                  <w:tcW w:w="921" w:type="pct"/>
                  <w:vMerge w:val="restart"/>
                  <w:tcBorders>
                    <w:tl2br w:val="nil"/>
                    <w:tr2bl w:val="nil"/>
                  </w:tcBorders>
                  <w:vAlign w:val="center"/>
                </w:tcPr>
                <w:p w14:paraId="02877FDF">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生态空间管控区域范围</w:t>
                  </w:r>
                </w:p>
              </w:tc>
              <w:tc>
                <w:tcPr>
                  <w:tcW w:w="1719" w:type="pct"/>
                  <w:gridSpan w:val="3"/>
                  <w:tcBorders>
                    <w:tl2br w:val="nil"/>
                    <w:tr2bl w:val="nil"/>
                  </w:tcBorders>
                  <w:vAlign w:val="center"/>
                </w:tcPr>
                <w:p w14:paraId="234143E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面积（km</w:t>
                  </w:r>
                  <w:r>
                    <w:rPr>
                      <w:rFonts w:hint="default" w:ascii="Times New Roman" w:hAnsi="Times New Roman" w:eastAsia="仿宋" w:cs="Times New Roman"/>
                      <w:b/>
                      <w:color w:val="auto"/>
                      <w:sz w:val="21"/>
                      <w:szCs w:val="21"/>
                      <w:highlight w:val="none"/>
                      <w:vertAlign w:val="superscript"/>
                    </w:rPr>
                    <w:t>2</w:t>
                  </w:r>
                  <w:r>
                    <w:rPr>
                      <w:rFonts w:hint="default" w:ascii="Times New Roman" w:hAnsi="Times New Roman" w:eastAsia="仿宋" w:cs="Times New Roman"/>
                      <w:b/>
                      <w:color w:val="auto"/>
                      <w:sz w:val="21"/>
                      <w:szCs w:val="21"/>
                      <w:highlight w:val="none"/>
                    </w:rPr>
                    <w:t>）</w:t>
                  </w:r>
                </w:p>
              </w:tc>
              <w:tc>
                <w:tcPr>
                  <w:tcW w:w="450" w:type="pct"/>
                  <w:vMerge w:val="restart"/>
                  <w:tcBorders>
                    <w:tl2br w:val="nil"/>
                    <w:tr2bl w:val="nil"/>
                  </w:tcBorders>
                  <w:vAlign w:val="center"/>
                </w:tcPr>
                <w:p w14:paraId="2C78FE65">
                  <w:pPr>
                    <w:pStyle w:val="31"/>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相对</w:t>
                  </w:r>
                </w:p>
                <w:p w14:paraId="19D625F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距离</w:t>
                  </w:r>
                </w:p>
                <w:p w14:paraId="477A948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（km）</w:t>
                  </w:r>
                </w:p>
              </w:tc>
              <w:tc>
                <w:tcPr>
                  <w:tcW w:w="302" w:type="pct"/>
                  <w:vMerge w:val="restart"/>
                  <w:tcBorders>
                    <w:tl2br w:val="nil"/>
                    <w:tr2bl w:val="nil"/>
                  </w:tcBorders>
                  <w:vAlign w:val="center"/>
                </w:tcPr>
                <w:p w14:paraId="44A0A9D4">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相对方位</w:t>
                  </w:r>
                </w:p>
              </w:tc>
            </w:tr>
            <w:tr w14:paraId="56E056C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Merge w:val="continue"/>
                  <w:tcBorders>
                    <w:tl2br w:val="nil"/>
                    <w:tr2bl w:val="nil"/>
                  </w:tcBorders>
                  <w:vAlign w:val="center"/>
                </w:tcPr>
                <w:p w14:paraId="2E1FECFC">
                  <w:pPr>
                    <w:pStyle w:val="31"/>
                    <w:rPr>
                      <w:rFonts w:hint="default" w:ascii="Times New Roman" w:hAnsi="Times New Roman" w:eastAsia="仿宋" w:cs="Times New Roman"/>
                      <w:b/>
                      <w:color w:val="auto"/>
                      <w:sz w:val="21"/>
                      <w:szCs w:val="21"/>
                      <w:highlight w:val="none"/>
                    </w:rPr>
                  </w:pPr>
                </w:p>
              </w:tc>
              <w:tc>
                <w:tcPr>
                  <w:tcW w:w="469" w:type="pct"/>
                  <w:vMerge w:val="continue"/>
                  <w:tcBorders>
                    <w:tl2br w:val="nil"/>
                    <w:tr2bl w:val="nil"/>
                  </w:tcBorders>
                  <w:vAlign w:val="center"/>
                </w:tcPr>
                <w:p w14:paraId="19D348AE">
                  <w:pPr>
                    <w:pStyle w:val="31"/>
                    <w:rPr>
                      <w:rFonts w:hint="default" w:ascii="Times New Roman" w:hAnsi="Times New Roman" w:eastAsia="仿宋" w:cs="Times New Roman"/>
                      <w:b/>
                      <w:color w:val="auto"/>
                      <w:sz w:val="21"/>
                      <w:szCs w:val="21"/>
                      <w:highlight w:val="none"/>
                    </w:rPr>
                  </w:pPr>
                </w:p>
              </w:tc>
              <w:tc>
                <w:tcPr>
                  <w:tcW w:w="525" w:type="pct"/>
                  <w:vMerge w:val="continue"/>
                  <w:tcBorders>
                    <w:tl2br w:val="nil"/>
                    <w:tr2bl w:val="nil"/>
                  </w:tcBorders>
                  <w:vAlign w:val="center"/>
                </w:tcPr>
                <w:p w14:paraId="5997F97A">
                  <w:pPr>
                    <w:pStyle w:val="31"/>
                    <w:rPr>
                      <w:rFonts w:hint="default" w:ascii="Times New Roman" w:hAnsi="Times New Roman" w:eastAsia="仿宋" w:cs="Times New Roman"/>
                      <w:b/>
                      <w:color w:val="auto"/>
                      <w:sz w:val="21"/>
                      <w:szCs w:val="21"/>
                      <w:highlight w:val="none"/>
                    </w:rPr>
                  </w:pPr>
                </w:p>
              </w:tc>
              <w:tc>
                <w:tcPr>
                  <w:tcW w:w="921" w:type="pct"/>
                  <w:vMerge w:val="continue"/>
                  <w:tcBorders>
                    <w:tl2br w:val="nil"/>
                    <w:tr2bl w:val="nil"/>
                  </w:tcBorders>
                  <w:vAlign w:val="center"/>
                </w:tcPr>
                <w:p w14:paraId="364A94FD">
                  <w:pPr>
                    <w:pStyle w:val="31"/>
                    <w:rPr>
                      <w:rFonts w:hint="default" w:ascii="Times New Roman" w:hAnsi="Times New Roman" w:eastAsia="仿宋" w:cs="Times New Roman"/>
                      <w:b/>
                      <w:color w:val="auto"/>
                      <w:sz w:val="21"/>
                      <w:szCs w:val="21"/>
                      <w:highlight w:val="none"/>
                    </w:rPr>
                  </w:pPr>
                </w:p>
              </w:tc>
              <w:tc>
                <w:tcPr>
                  <w:tcW w:w="741" w:type="pct"/>
                  <w:tcBorders>
                    <w:tl2br w:val="nil"/>
                    <w:tr2bl w:val="nil"/>
                  </w:tcBorders>
                  <w:vAlign w:val="center"/>
                </w:tcPr>
                <w:p w14:paraId="66427551">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国家级生态保护红线面积</w:t>
                  </w:r>
                </w:p>
              </w:tc>
              <w:tc>
                <w:tcPr>
                  <w:tcW w:w="600" w:type="pct"/>
                  <w:tcBorders>
                    <w:tl2br w:val="nil"/>
                    <w:tr2bl w:val="nil"/>
                  </w:tcBorders>
                  <w:vAlign w:val="center"/>
                </w:tcPr>
                <w:p w14:paraId="1E9B823D">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生态空间管控区域面积</w:t>
                  </w:r>
                </w:p>
              </w:tc>
              <w:tc>
                <w:tcPr>
                  <w:tcW w:w="376" w:type="pct"/>
                  <w:tcBorders>
                    <w:tl2br w:val="nil"/>
                    <w:tr2bl w:val="nil"/>
                  </w:tcBorders>
                  <w:vAlign w:val="center"/>
                </w:tcPr>
                <w:p w14:paraId="4EE02185">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总面积</w:t>
                  </w:r>
                </w:p>
              </w:tc>
              <w:tc>
                <w:tcPr>
                  <w:tcW w:w="450" w:type="pct"/>
                  <w:vMerge w:val="continue"/>
                  <w:tcBorders>
                    <w:tl2br w:val="nil"/>
                    <w:tr2bl w:val="nil"/>
                  </w:tcBorders>
                  <w:vAlign w:val="center"/>
                </w:tcPr>
                <w:p w14:paraId="0772D079">
                  <w:pPr>
                    <w:pStyle w:val="31"/>
                    <w:rPr>
                      <w:rFonts w:hint="default" w:ascii="Times New Roman" w:hAnsi="Times New Roman" w:eastAsia="仿宋" w:cs="Times New Roman"/>
                      <w:color w:val="auto"/>
                      <w:sz w:val="21"/>
                      <w:szCs w:val="21"/>
                      <w:highlight w:val="none"/>
                    </w:rPr>
                  </w:pPr>
                </w:p>
              </w:tc>
              <w:tc>
                <w:tcPr>
                  <w:tcW w:w="302" w:type="pct"/>
                  <w:vMerge w:val="continue"/>
                  <w:tcBorders>
                    <w:tl2br w:val="nil"/>
                    <w:tr2bl w:val="nil"/>
                  </w:tcBorders>
                  <w:vAlign w:val="center"/>
                </w:tcPr>
                <w:p w14:paraId="5AB46DAC">
                  <w:pPr>
                    <w:pStyle w:val="31"/>
                    <w:rPr>
                      <w:rFonts w:hint="default" w:ascii="Times New Roman" w:hAnsi="Times New Roman" w:eastAsia="仿宋" w:cs="Times New Roman"/>
                      <w:color w:val="auto"/>
                      <w:sz w:val="21"/>
                      <w:szCs w:val="21"/>
                      <w:highlight w:val="none"/>
                    </w:rPr>
                  </w:pPr>
                </w:p>
              </w:tc>
            </w:tr>
            <w:tr w14:paraId="773F94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vAlign w:val="center"/>
                </w:tcPr>
                <w:p w14:paraId="776DA3FF">
                  <w:pPr>
                    <w:pStyle w:val="31"/>
                    <w:rPr>
                      <w:rFonts w:hint="default" w:ascii="Times New Roman" w:hAnsi="Times New Roman" w:eastAsia="仿宋" w:cs="Times New Roman"/>
                      <w:color w:val="auto"/>
                      <w:kern w:val="21"/>
                      <w:sz w:val="21"/>
                      <w:szCs w:val="21"/>
                      <w:highlight w:val="none"/>
                    </w:rPr>
                  </w:pPr>
                  <w:r>
                    <w:rPr>
                      <w:rFonts w:hint="default" w:ascii="Times New Roman" w:hAnsi="Times New Roman" w:eastAsia="仿宋" w:cs="Times New Roman"/>
                      <w:color w:val="auto"/>
                      <w:kern w:val="21"/>
                      <w:sz w:val="21"/>
                      <w:szCs w:val="21"/>
                      <w:highlight w:val="none"/>
                    </w:rPr>
                    <w:t>盛泽荡重要湿地</w:t>
                  </w:r>
                </w:p>
              </w:tc>
              <w:tc>
                <w:tcPr>
                  <w:tcW w:w="469" w:type="pct"/>
                  <w:tcBorders>
                    <w:tl2br w:val="nil"/>
                    <w:tr2bl w:val="nil"/>
                  </w:tcBorders>
                  <w:vAlign w:val="center"/>
                </w:tcPr>
                <w:p w14:paraId="44396513">
                  <w:pPr>
                    <w:pStyle w:val="31"/>
                    <w:rPr>
                      <w:rFonts w:hint="eastAsia" w:ascii="Times New Roman" w:hAnsi="Times New Roman" w:eastAsia="仿宋" w:cs="Times New Roman"/>
                      <w:color w:val="auto"/>
                      <w:kern w:val="21"/>
                      <w:sz w:val="21"/>
                      <w:szCs w:val="21"/>
                      <w:highlight w:val="none"/>
                      <w:lang w:val="en-US" w:eastAsia="zh-CN"/>
                    </w:rPr>
                  </w:pPr>
                  <w:r>
                    <w:rPr>
                      <w:rFonts w:hint="eastAsia" w:eastAsia="仿宋" w:cs="Times New Roman"/>
                      <w:color w:val="auto"/>
                      <w:kern w:val="21"/>
                      <w:sz w:val="21"/>
                      <w:szCs w:val="21"/>
                      <w:highlight w:val="none"/>
                      <w:lang w:val="en-US" w:eastAsia="zh-CN"/>
                    </w:rPr>
                    <w:t>湿地生态系统保护</w:t>
                  </w:r>
                </w:p>
              </w:tc>
              <w:tc>
                <w:tcPr>
                  <w:tcW w:w="525" w:type="pct"/>
                  <w:tcBorders>
                    <w:tl2br w:val="nil"/>
                    <w:tr2bl w:val="nil"/>
                  </w:tcBorders>
                  <w:vAlign w:val="center"/>
                </w:tcPr>
                <w:p w14:paraId="68E7520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921" w:type="pct"/>
                  <w:tcBorders>
                    <w:tl2br w:val="nil"/>
                    <w:tr2bl w:val="nil"/>
                  </w:tcBorders>
                  <w:vAlign w:val="center"/>
                </w:tcPr>
                <w:p w14:paraId="0D43E038">
                  <w:pPr>
                    <w:pStyle w:val="31"/>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1"/>
                      <w:sz w:val="21"/>
                      <w:szCs w:val="21"/>
                      <w:highlight w:val="none"/>
                    </w:rPr>
                    <w:t>盛泽荡</w:t>
                  </w:r>
                  <w:r>
                    <w:rPr>
                      <w:rFonts w:hint="eastAsia" w:eastAsia="仿宋" w:cs="Times New Roman"/>
                      <w:color w:val="auto"/>
                      <w:kern w:val="21"/>
                      <w:sz w:val="21"/>
                      <w:szCs w:val="21"/>
                      <w:highlight w:val="none"/>
                      <w:lang w:val="en-US" w:eastAsia="zh-CN"/>
                    </w:rPr>
                    <w:t>水体范围</w:t>
                  </w:r>
                </w:p>
              </w:tc>
              <w:tc>
                <w:tcPr>
                  <w:tcW w:w="741" w:type="pct"/>
                  <w:tcBorders>
                    <w:tl2br w:val="nil"/>
                    <w:tr2bl w:val="nil"/>
                  </w:tcBorders>
                  <w:vAlign w:val="center"/>
                </w:tcPr>
                <w:p w14:paraId="7FFD84DA">
                  <w:pPr>
                    <w:pStyle w:val="31"/>
                    <w:rPr>
                      <w:rFonts w:hint="default" w:ascii="Times New Roman" w:hAnsi="Times New Roman" w:eastAsia="仿宋" w:cs="Times New Roman"/>
                      <w:color w:val="auto"/>
                      <w:kern w:val="21"/>
                      <w:sz w:val="21"/>
                      <w:szCs w:val="21"/>
                      <w:highlight w:val="none"/>
                    </w:rPr>
                  </w:pPr>
                  <w:r>
                    <w:rPr>
                      <w:rFonts w:hint="default" w:ascii="Times New Roman" w:hAnsi="Times New Roman" w:eastAsia="仿宋" w:cs="Times New Roman"/>
                      <w:color w:val="auto"/>
                      <w:kern w:val="21"/>
                      <w:sz w:val="21"/>
                      <w:szCs w:val="21"/>
                      <w:highlight w:val="none"/>
                    </w:rPr>
                    <w:t>--</w:t>
                  </w:r>
                </w:p>
              </w:tc>
              <w:tc>
                <w:tcPr>
                  <w:tcW w:w="600" w:type="pct"/>
                  <w:tcBorders>
                    <w:tl2br w:val="nil"/>
                    <w:tr2bl w:val="nil"/>
                  </w:tcBorders>
                  <w:vAlign w:val="center"/>
                </w:tcPr>
                <w:p w14:paraId="3BDEAE75">
                  <w:pPr>
                    <w:pStyle w:val="31"/>
                    <w:rPr>
                      <w:rFonts w:hint="default" w:ascii="Times New Roman" w:hAnsi="Times New Roman" w:eastAsia="仿宋" w:cs="Times New Roman"/>
                      <w:color w:val="auto"/>
                      <w:kern w:val="21"/>
                      <w:sz w:val="21"/>
                      <w:szCs w:val="21"/>
                      <w:highlight w:val="none"/>
                      <w:lang w:val="en-US" w:eastAsia="zh-CN"/>
                    </w:rPr>
                  </w:pPr>
                  <w:r>
                    <w:rPr>
                      <w:rFonts w:hint="eastAsia" w:eastAsia="仿宋" w:cs="Times New Roman"/>
                      <w:color w:val="auto"/>
                      <w:kern w:val="21"/>
                      <w:sz w:val="21"/>
                      <w:szCs w:val="21"/>
                      <w:highlight w:val="none"/>
                      <w:lang w:val="en-US" w:eastAsia="zh-CN"/>
                    </w:rPr>
                    <w:t>3.87</w:t>
                  </w:r>
                </w:p>
              </w:tc>
              <w:tc>
                <w:tcPr>
                  <w:tcW w:w="376" w:type="pct"/>
                  <w:tcBorders>
                    <w:tl2br w:val="nil"/>
                    <w:tr2bl w:val="nil"/>
                  </w:tcBorders>
                  <w:shd w:val="clear" w:color="auto" w:fill="auto"/>
                  <w:vAlign w:val="center"/>
                </w:tcPr>
                <w:p w14:paraId="68D7A3BB">
                  <w:pPr>
                    <w:pStyle w:val="31"/>
                    <w:rPr>
                      <w:rFonts w:hint="default" w:ascii="Times New Roman" w:hAnsi="Times New Roman" w:eastAsia="仿宋" w:cs="Times New Roman"/>
                      <w:color w:val="auto"/>
                      <w:kern w:val="21"/>
                      <w:sz w:val="21"/>
                      <w:szCs w:val="21"/>
                      <w:highlight w:val="none"/>
                      <w:lang w:val="en-US" w:eastAsia="zh-CN" w:bidi="ar-SA"/>
                    </w:rPr>
                  </w:pPr>
                  <w:r>
                    <w:rPr>
                      <w:rFonts w:hint="eastAsia" w:eastAsia="仿宋" w:cs="Times New Roman"/>
                      <w:color w:val="auto"/>
                      <w:kern w:val="21"/>
                      <w:sz w:val="21"/>
                      <w:szCs w:val="21"/>
                      <w:highlight w:val="none"/>
                      <w:lang w:val="en-US" w:eastAsia="zh-CN"/>
                    </w:rPr>
                    <w:t>3.87</w:t>
                  </w:r>
                </w:p>
              </w:tc>
              <w:tc>
                <w:tcPr>
                  <w:tcW w:w="450" w:type="pct"/>
                  <w:tcBorders>
                    <w:tl2br w:val="nil"/>
                    <w:tr2bl w:val="nil"/>
                  </w:tcBorders>
                  <w:vAlign w:val="center"/>
                </w:tcPr>
                <w:p w14:paraId="33B125FC">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2.73</w:t>
                  </w:r>
                </w:p>
              </w:tc>
              <w:tc>
                <w:tcPr>
                  <w:tcW w:w="302" w:type="pct"/>
                  <w:tcBorders>
                    <w:tl2br w:val="nil"/>
                    <w:tr2bl w:val="nil"/>
                  </w:tcBorders>
                  <w:vAlign w:val="center"/>
                </w:tcPr>
                <w:p w14:paraId="2E0B015A">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东北</w:t>
                  </w:r>
                </w:p>
              </w:tc>
            </w:tr>
            <w:tr w14:paraId="36A70D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vAlign w:val="center"/>
                </w:tcPr>
                <w:p w14:paraId="797EAC7F">
                  <w:pPr>
                    <w:pStyle w:val="31"/>
                    <w:rPr>
                      <w:rFonts w:hint="default" w:ascii="Times New Roman" w:hAnsi="Times New Roman" w:eastAsia="仿宋" w:cs="Times New Roman"/>
                      <w:color w:val="auto"/>
                      <w:kern w:val="21"/>
                      <w:sz w:val="21"/>
                      <w:szCs w:val="21"/>
                      <w:highlight w:val="none"/>
                    </w:rPr>
                  </w:pPr>
                  <w:r>
                    <w:rPr>
                      <w:rFonts w:hint="default" w:ascii="Times New Roman" w:hAnsi="Times New Roman" w:eastAsia="仿宋" w:cs="Times New Roman"/>
                      <w:color w:val="auto"/>
                      <w:kern w:val="21"/>
                      <w:sz w:val="21"/>
                      <w:szCs w:val="21"/>
                      <w:highlight w:val="none"/>
                    </w:rPr>
                    <w:t>漕湖重要湿地</w:t>
                  </w:r>
                </w:p>
              </w:tc>
              <w:tc>
                <w:tcPr>
                  <w:tcW w:w="469" w:type="pct"/>
                  <w:tcBorders>
                    <w:tl2br w:val="nil"/>
                    <w:tr2bl w:val="nil"/>
                  </w:tcBorders>
                  <w:vAlign w:val="center"/>
                </w:tcPr>
                <w:p w14:paraId="117501BB">
                  <w:pPr>
                    <w:pStyle w:val="31"/>
                    <w:rPr>
                      <w:rFonts w:hint="default" w:ascii="Times New Roman" w:hAnsi="Times New Roman" w:eastAsia="仿宋" w:cs="Times New Roman"/>
                      <w:color w:val="auto"/>
                      <w:sz w:val="21"/>
                      <w:szCs w:val="21"/>
                      <w:highlight w:val="none"/>
                    </w:rPr>
                  </w:pPr>
                  <w:r>
                    <w:rPr>
                      <w:rFonts w:hint="eastAsia" w:eastAsia="仿宋" w:cs="Times New Roman"/>
                      <w:color w:val="auto"/>
                      <w:kern w:val="21"/>
                      <w:sz w:val="21"/>
                      <w:szCs w:val="21"/>
                      <w:highlight w:val="none"/>
                      <w:lang w:val="en-US" w:eastAsia="zh-CN"/>
                    </w:rPr>
                    <w:t>湿地生态系统保护</w:t>
                  </w:r>
                </w:p>
              </w:tc>
              <w:tc>
                <w:tcPr>
                  <w:tcW w:w="525" w:type="pct"/>
                  <w:tcBorders>
                    <w:tl2br w:val="nil"/>
                    <w:tr2bl w:val="nil"/>
                  </w:tcBorders>
                  <w:vAlign w:val="center"/>
                </w:tcPr>
                <w:p w14:paraId="267E4FB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921" w:type="pct"/>
                  <w:tcBorders>
                    <w:tl2br w:val="nil"/>
                    <w:tr2bl w:val="nil"/>
                  </w:tcBorders>
                  <w:vAlign w:val="center"/>
                </w:tcPr>
                <w:p w14:paraId="3E58AD6C">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漕湖护体范围</w:t>
                  </w:r>
                </w:p>
              </w:tc>
              <w:tc>
                <w:tcPr>
                  <w:tcW w:w="741" w:type="pct"/>
                  <w:tcBorders>
                    <w:tl2br w:val="nil"/>
                    <w:tr2bl w:val="nil"/>
                  </w:tcBorders>
                  <w:vAlign w:val="center"/>
                </w:tcPr>
                <w:p w14:paraId="0D5DF469">
                  <w:pPr>
                    <w:pStyle w:val="31"/>
                    <w:rPr>
                      <w:rFonts w:hint="default" w:ascii="Times New Roman" w:hAnsi="Times New Roman" w:eastAsia="仿宋" w:cs="Times New Roman"/>
                      <w:color w:val="auto"/>
                      <w:kern w:val="21"/>
                      <w:sz w:val="21"/>
                      <w:szCs w:val="21"/>
                      <w:highlight w:val="none"/>
                    </w:rPr>
                  </w:pPr>
                  <w:r>
                    <w:rPr>
                      <w:rFonts w:hint="default" w:ascii="Times New Roman" w:hAnsi="Times New Roman" w:eastAsia="仿宋" w:cs="Times New Roman"/>
                      <w:color w:val="auto"/>
                      <w:kern w:val="21"/>
                      <w:sz w:val="21"/>
                      <w:szCs w:val="21"/>
                      <w:highlight w:val="none"/>
                    </w:rPr>
                    <w:t>--</w:t>
                  </w:r>
                </w:p>
              </w:tc>
              <w:tc>
                <w:tcPr>
                  <w:tcW w:w="600" w:type="pct"/>
                  <w:tcBorders>
                    <w:tl2br w:val="nil"/>
                    <w:tr2bl w:val="nil"/>
                  </w:tcBorders>
                  <w:vAlign w:val="center"/>
                </w:tcPr>
                <w:p w14:paraId="297B3997">
                  <w:pPr>
                    <w:pStyle w:val="31"/>
                    <w:rPr>
                      <w:rFonts w:hint="default" w:ascii="Times New Roman" w:hAnsi="Times New Roman" w:eastAsia="仿宋" w:cs="Times New Roman"/>
                      <w:color w:val="auto"/>
                      <w:kern w:val="21"/>
                      <w:sz w:val="21"/>
                      <w:szCs w:val="21"/>
                      <w:highlight w:val="none"/>
                      <w:lang w:val="en-US" w:eastAsia="zh-CN"/>
                    </w:rPr>
                  </w:pPr>
                  <w:r>
                    <w:rPr>
                      <w:rFonts w:hint="eastAsia" w:eastAsia="仿宋" w:cs="Times New Roman"/>
                      <w:color w:val="auto"/>
                      <w:kern w:val="21"/>
                      <w:sz w:val="21"/>
                      <w:szCs w:val="21"/>
                      <w:highlight w:val="none"/>
                      <w:lang w:val="en-US" w:eastAsia="zh-CN"/>
                    </w:rPr>
                    <w:t>8.81</w:t>
                  </w:r>
                </w:p>
              </w:tc>
              <w:tc>
                <w:tcPr>
                  <w:tcW w:w="376" w:type="pct"/>
                  <w:tcBorders>
                    <w:tl2br w:val="nil"/>
                    <w:tr2bl w:val="nil"/>
                  </w:tcBorders>
                  <w:shd w:val="clear" w:color="auto" w:fill="auto"/>
                  <w:vAlign w:val="center"/>
                </w:tcPr>
                <w:p w14:paraId="747BEE55">
                  <w:pPr>
                    <w:pStyle w:val="31"/>
                    <w:rPr>
                      <w:rFonts w:hint="default" w:ascii="Times New Roman" w:hAnsi="Times New Roman" w:eastAsia="仿宋" w:cs="Times New Roman"/>
                      <w:color w:val="auto"/>
                      <w:kern w:val="21"/>
                      <w:sz w:val="21"/>
                      <w:szCs w:val="21"/>
                      <w:highlight w:val="none"/>
                      <w:lang w:val="en-US" w:eastAsia="zh-CN" w:bidi="ar-SA"/>
                    </w:rPr>
                  </w:pPr>
                  <w:r>
                    <w:rPr>
                      <w:rFonts w:hint="eastAsia" w:eastAsia="仿宋" w:cs="Times New Roman"/>
                      <w:color w:val="auto"/>
                      <w:kern w:val="21"/>
                      <w:sz w:val="21"/>
                      <w:szCs w:val="21"/>
                      <w:highlight w:val="none"/>
                      <w:lang w:val="en-US" w:eastAsia="zh-CN"/>
                    </w:rPr>
                    <w:t>8.81</w:t>
                  </w:r>
                </w:p>
              </w:tc>
              <w:tc>
                <w:tcPr>
                  <w:tcW w:w="450" w:type="pct"/>
                  <w:tcBorders>
                    <w:tl2br w:val="nil"/>
                    <w:tr2bl w:val="nil"/>
                  </w:tcBorders>
                  <w:vAlign w:val="center"/>
                </w:tcPr>
                <w:p w14:paraId="7B03126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9.05</w:t>
                  </w:r>
                </w:p>
              </w:tc>
              <w:tc>
                <w:tcPr>
                  <w:tcW w:w="302" w:type="pct"/>
                  <w:tcBorders>
                    <w:tl2br w:val="nil"/>
                    <w:tr2bl w:val="nil"/>
                  </w:tcBorders>
                  <w:vAlign w:val="center"/>
                </w:tcPr>
                <w:p w14:paraId="777E1FE5">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西</w:t>
                  </w:r>
                  <w:r>
                    <w:rPr>
                      <w:rFonts w:hint="default" w:ascii="Times New Roman" w:hAnsi="Times New Roman" w:eastAsia="仿宋" w:cs="Times New Roman"/>
                      <w:color w:val="auto"/>
                      <w:sz w:val="21"/>
                      <w:szCs w:val="21"/>
                      <w:highlight w:val="none"/>
                      <w:lang w:val="en-US" w:eastAsia="zh-CN"/>
                    </w:rPr>
                    <w:t>北</w:t>
                  </w:r>
                </w:p>
              </w:tc>
            </w:tr>
            <w:tr w14:paraId="7B7DB4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tcBorders>
                    <w:tl2br w:val="nil"/>
                    <w:tr2bl w:val="nil"/>
                  </w:tcBorders>
                  <w:shd w:val="clear" w:color="auto" w:fill="auto"/>
                  <w:vAlign w:val="center"/>
                </w:tcPr>
                <w:p w14:paraId="20981B18">
                  <w:pPr>
                    <w:pStyle w:val="31"/>
                    <w:rPr>
                      <w:rFonts w:hint="default" w:ascii="Times New Roman" w:hAnsi="Times New Roman" w:eastAsia="仿宋" w:cs="Times New Roman"/>
                      <w:color w:val="auto"/>
                      <w:kern w:val="21"/>
                      <w:sz w:val="21"/>
                      <w:szCs w:val="21"/>
                      <w:highlight w:val="none"/>
                      <w:lang w:val="en-US" w:eastAsia="zh-CN"/>
                    </w:rPr>
                  </w:pPr>
                  <w:r>
                    <w:rPr>
                      <w:rFonts w:hint="default" w:ascii="Times New Roman" w:hAnsi="Times New Roman" w:eastAsia="仿宋" w:cs="Times New Roman"/>
                      <w:color w:val="auto"/>
                      <w:kern w:val="21"/>
                      <w:sz w:val="21"/>
                      <w:szCs w:val="21"/>
                      <w:highlight w:val="none"/>
                      <w:lang w:val="en-US" w:eastAsia="zh-CN"/>
                    </w:rPr>
                    <w:t>阳澄湖</w:t>
                  </w:r>
                  <w:r>
                    <w:rPr>
                      <w:rFonts w:hint="eastAsia" w:eastAsia="仿宋" w:cs="Times New Roman"/>
                      <w:color w:val="auto"/>
                      <w:kern w:val="21"/>
                      <w:sz w:val="21"/>
                      <w:szCs w:val="21"/>
                      <w:highlight w:val="none"/>
                      <w:lang w:val="en-US" w:eastAsia="zh-CN"/>
                    </w:rPr>
                    <w:t>（</w:t>
                  </w:r>
                  <w:r>
                    <w:rPr>
                      <w:rFonts w:hint="default" w:ascii="Times New Roman" w:hAnsi="Times New Roman" w:eastAsia="仿宋" w:cs="Times New Roman"/>
                      <w:color w:val="auto"/>
                      <w:kern w:val="21"/>
                      <w:sz w:val="21"/>
                      <w:szCs w:val="21"/>
                      <w:highlight w:val="none"/>
                      <w:lang w:val="en-US" w:eastAsia="zh-CN"/>
                    </w:rPr>
                    <w:t>相城区</w:t>
                  </w:r>
                  <w:r>
                    <w:rPr>
                      <w:rFonts w:hint="eastAsia" w:eastAsia="仿宋" w:cs="Times New Roman"/>
                      <w:color w:val="auto"/>
                      <w:kern w:val="21"/>
                      <w:sz w:val="21"/>
                      <w:szCs w:val="21"/>
                      <w:highlight w:val="none"/>
                      <w:lang w:val="en-US" w:eastAsia="zh-CN"/>
                    </w:rPr>
                    <w:t>）</w:t>
                  </w:r>
                  <w:r>
                    <w:rPr>
                      <w:rFonts w:hint="default" w:ascii="Times New Roman" w:hAnsi="Times New Roman" w:eastAsia="仿宋" w:cs="Times New Roman"/>
                      <w:color w:val="auto"/>
                      <w:kern w:val="21"/>
                      <w:sz w:val="21"/>
                      <w:szCs w:val="21"/>
                      <w:highlight w:val="none"/>
                      <w:lang w:val="en-US" w:eastAsia="zh-CN"/>
                    </w:rPr>
                    <w:t>重要湿地</w:t>
                  </w:r>
                </w:p>
              </w:tc>
              <w:tc>
                <w:tcPr>
                  <w:tcW w:w="469" w:type="pct"/>
                  <w:tcBorders>
                    <w:tl2br w:val="nil"/>
                    <w:tr2bl w:val="nil"/>
                  </w:tcBorders>
                  <w:shd w:val="clear" w:color="auto" w:fill="auto"/>
                  <w:vAlign w:val="center"/>
                </w:tcPr>
                <w:p w14:paraId="34D1CABC">
                  <w:pPr>
                    <w:pStyle w:val="31"/>
                    <w:rPr>
                      <w:rFonts w:hint="default" w:ascii="Times New Roman" w:hAnsi="Times New Roman" w:eastAsia="仿宋" w:cs="Times New Roman"/>
                      <w:color w:val="auto"/>
                      <w:kern w:val="21"/>
                      <w:sz w:val="21"/>
                      <w:szCs w:val="21"/>
                      <w:highlight w:val="none"/>
                      <w:lang w:val="en-US" w:eastAsia="zh-CN"/>
                    </w:rPr>
                  </w:pPr>
                  <w:r>
                    <w:rPr>
                      <w:rFonts w:hint="eastAsia" w:eastAsia="仿宋" w:cs="Times New Roman"/>
                      <w:color w:val="auto"/>
                      <w:kern w:val="21"/>
                      <w:sz w:val="21"/>
                      <w:szCs w:val="21"/>
                      <w:highlight w:val="none"/>
                      <w:lang w:val="en-US" w:eastAsia="zh-CN"/>
                    </w:rPr>
                    <w:t>湿地生态系统保护</w:t>
                  </w:r>
                </w:p>
              </w:tc>
              <w:tc>
                <w:tcPr>
                  <w:tcW w:w="525" w:type="pct"/>
                  <w:tcBorders>
                    <w:tl2br w:val="nil"/>
                    <w:tr2bl w:val="nil"/>
                  </w:tcBorders>
                  <w:shd w:val="clear" w:color="auto" w:fill="auto"/>
                  <w:vAlign w:val="center"/>
                </w:tcPr>
                <w:p w14:paraId="330184BC">
                  <w:pPr>
                    <w:pStyle w:val="31"/>
                    <w:rPr>
                      <w:rFonts w:hint="default" w:ascii="Times New Roman" w:hAnsi="Times New Roman" w:eastAsia="仿宋" w:cs="Times New Roman"/>
                      <w:color w:val="auto"/>
                      <w:kern w:val="21"/>
                      <w:sz w:val="21"/>
                      <w:szCs w:val="21"/>
                      <w:highlight w:val="none"/>
                      <w:lang w:val="en-US" w:eastAsia="zh-CN"/>
                    </w:rPr>
                  </w:pPr>
                  <w:r>
                    <w:rPr>
                      <w:rFonts w:hint="default" w:ascii="Times New Roman" w:hAnsi="Times New Roman" w:eastAsia="仿宋" w:cs="Times New Roman"/>
                      <w:color w:val="auto"/>
                      <w:sz w:val="21"/>
                      <w:szCs w:val="21"/>
                      <w:highlight w:val="none"/>
                    </w:rPr>
                    <w:t>--</w:t>
                  </w:r>
                </w:p>
              </w:tc>
              <w:tc>
                <w:tcPr>
                  <w:tcW w:w="921" w:type="pct"/>
                  <w:tcBorders>
                    <w:tl2br w:val="nil"/>
                    <w:tr2bl w:val="nil"/>
                  </w:tcBorders>
                  <w:shd w:val="clear" w:color="auto" w:fill="auto"/>
                  <w:vAlign w:val="center"/>
                </w:tcPr>
                <w:p w14:paraId="4ADF0A29">
                  <w:pPr>
                    <w:pStyle w:val="31"/>
                    <w:rPr>
                      <w:rFonts w:hint="default" w:ascii="Times New Roman" w:hAnsi="Times New Roman" w:eastAsia="仿宋" w:cs="Times New Roman"/>
                      <w:color w:val="auto"/>
                      <w:kern w:val="21"/>
                      <w:sz w:val="21"/>
                      <w:szCs w:val="21"/>
                      <w:highlight w:val="none"/>
                      <w:lang w:val="en-US" w:eastAsia="zh-CN"/>
                    </w:rPr>
                  </w:pPr>
                  <w:r>
                    <w:rPr>
                      <w:rFonts w:hint="default" w:ascii="Times New Roman" w:hAnsi="Times New Roman" w:eastAsia="仿宋" w:cs="Times New Roman"/>
                      <w:color w:val="auto"/>
                      <w:kern w:val="21"/>
                      <w:sz w:val="21"/>
                      <w:szCs w:val="21"/>
                      <w:highlight w:val="none"/>
                      <w:lang w:val="en-US" w:eastAsia="zh-CN"/>
                    </w:rPr>
                    <w:t>阳澄湖西界和北界为沿岸纵深1000米，南界为与工业园区交界处东界为昆山交界</w:t>
                  </w:r>
                </w:p>
              </w:tc>
              <w:tc>
                <w:tcPr>
                  <w:tcW w:w="741" w:type="pct"/>
                  <w:tcBorders>
                    <w:tl2br w:val="nil"/>
                    <w:tr2bl w:val="nil"/>
                  </w:tcBorders>
                  <w:shd w:val="clear" w:color="auto" w:fill="auto"/>
                  <w:vAlign w:val="center"/>
                </w:tcPr>
                <w:p w14:paraId="364E757F">
                  <w:pPr>
                    <w:pStyle w:val="31"/>
                    <w:rPr>
                      <w:rFonts w:hint="default" w:ascii="Times New Roman" w:hAnsi="Times New Roman" w:eastAsia="仿宋" w:cs="Times New Roman"/>
                      <w:color w:val="auto"/>
                      <w:kern w:val="21"/>
                      <w:sz w:val="21"/>
                      <w:szCs w:val="21"/>
                      <w:highlight w:val="none"/>
                      <w:lang w:val="en-US" w:eastAsia="zh-CN"/>
                    </w:rPr>
                  </w:pPr>
                  <w:r>
                    <w:rPr>
                      <w:rFonts w:hint="default" w:ascii="Times New Roman" w:hAnsi="Times New Roman" w:eastAsia="仿宋" w:cs="Times New Roman"/>
                      <w:color w:val="auto"/>
                      <w:kern w:val="21"/>
                      <w:sz w:val="21"/>
                      <w:szCs w:val="21"/>
                      <w:highlight w:val="none"/>
                    </w:rPr>
                    <w:t>--</w:t>
                  </w:r>
                </w:p>
              </w:tc>
              <w:tc>
                <w:tcPr>
                  <w:tcW w:w="600" w:type="pct"/>
                  <w:tcBorders>
                    <w:tl2br w:val="nil"/>
                    <w:tr2bl w:val="nil"/>
                  </w:tcBorders>
                  <w:shd w:val="clear" w:color="auto" w:fill="auto"/>
                  <w:vAlign w:val="center"/>
                </w:tcPr>
                <w:p w14:paraId="438D35B9">
                  <w:pPr>
                    <w:pStyle w:val="31"/>
                    <w:rPr>
                      <w:rFonts w:hint="default" w:ascii="Times New Roman" w:hAnsi="Times New Roman" w:eastAsia="仿宋" w:cs="Times New Roman"/>
                      <w:color w:val="auto"/>
                      <w:kern w:val="21"/>
                      <w:sz w:val="21"/>
                      <w:szCs w:val="21"/>
                      <w:highlight w:val="none"/>
                      <w:lang w:val="en-US" w:eastAsia="zh-CN"/>
                    </w:rPr>
                  </w:pPr>
                  <w:r>
                    <w:rPr>
                      <w:rFonts w:hint="eastAsia" w:eastAsia="仿宋" w:cs="Times New Roman"/>
                      <w:color w:val="auto"/>
                      <w:kern w:val="21"/>
                      <w:sz w:val="21"/>
                      <w:szCs w:val="21"/>
                      <w:highlight w:val="none"/>
                      <w:lang w:val="en-US" w:eastAsia="zh-CN"/>
                    </w:rPr>
                    <w:t>112.22</w:t>
                  </w:r>
                </w:p>
              </w:tc>
              <w:tc>
                <w:tcPr>
                  <w:tcW w:w="376" w:type="pct"/>
                  <w:tcBorders>
                    <w:tl2br w:val="nil"/>
                    <w:tr2bl w:val="nil"/>
                  </w:tcBorders>
                  <w:shd w:val="clear" w:color="auto" w:fill="auto"/>
                  <w:vAlign w:val="center"/>
                </w:tcPr>
                <w:p w14:paraId="3CA84466">
                  <w:pPr>
                    <w:pStyle w:val="31"/>
                    <w:rPr>
                      <w:rFonts w:hint="default" w:ascii="Times New Roman" w:hAnsi="Times New Roman" w:eastAsia="仿宋" w:cs="Times New Roman"/>
                      <w:color w:val="auto"/>
                      <w:kern w:val="21"/>
                      <w:sz w:val="21"/>
                      <w:szCs w:val="21"/>
                      <w:highlight w:val="none"/>
                      <w:lang w:val="en-US" w:eastAsia="zh-CN" w:bidi="ar-SA"/>
                    </w:rPr>
                  </w:pPr>
                  <w:r>
                    <w:rPr>
                      <w:rFonts w:hint="eastAsia" w:eastAsia="仿宋" w:cs="Times New Roman"/>
                      <w:color w:val="auto"/>
                      <w:kern w:val="21"/>
                      <w:sz w:val="21"/>
                      <w:szCs w:val="21"/>
                      <w:highlight w:val="none"/>
                      <w:lang w:val="en-US" w:eastAsia="zh-CN"/>
                    </w:rPr>
                    <w:t>112.22</w:t>
                  </w:r>
                </w:p>
              </w:tc>
              <w:tc>
                <w:tcPr>
                  <w:tcW w:w="450" w:type="pct"/>
                  <w:tcBorders>
                    <w:tl2br w:val="nil"/>
                    <w:tr2bl w:val="nil"/>
                  </w:tcBorders>
                  <w:vAlign w:val="center"/>
                </w:tcPr>
                <w:p w14:paraId="5D01E56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1.40</w:t>
                  </w:r>
                </w:p>
              </w:tc>
              <w:tc>
                <w:tcPr>
                  <w:tcW w:w="302" w:type="pct"/>
                  <w:tcBorders>
                    <w:tl2br w:val="nil"/>
                    <w:tr2bl w:val="nil"/>
                  </w:tcBorders>
                  <w:vAlign w:val="center"/>
                </w:tcPr>
                <w:p w14:paraId="4CB9E7D1">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东</w:t>
                  </w:r>
                </w:p>
              </w:tc>
            </w:tr>
          </w:tbl>
          <w:p w14:paraId="065815DA">
            <w:pPr>
              <w:pStyle w:val="29"/>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lang w:val="en-US" w:eastAsia="zh-CN"/>
              </w:rPr>
              <w:t>综上</w:t>
            </w:r>
            <w:r>
              <w:rPr>
                <w:rFonts w:ascii="宋体" w:hAnsi="宋体" w:eastAsia="宋体" w:cs="宋体"/>
                <w:color w:val="auto"/>
                <w:sz w:val="24"/>
                <w:szCs w:val="24"/>
                <w:highlight w:val="none"/>
              </w:rPr>
              <w:t>，本项目不在国家级生态红线及生态空间管控区域范围</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因此，</w:t>
            </w: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rPr>
              <w:t>《江苏省国家级生态保护红线规划》（苏政发</w:t>
            </w:r>
            <w:r>
              <w:rPr>
                <w:rFonts w:hint="default" w:ascii="Times New Roman" w:hAnsi="Times New Roman" w:eastAsia="宋体" w:cs="Times New Roman"/>
                <w:color w:val="auto"/>
                <w:sz w:val="24"/>
                <w:szCs w:val="24"/>
                <w:highlight w:val="none"/>
                <w:lang w:eastAsia="zh-CN"/>
              </w:rPr>
              <w:t>〔2018〕74号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rPr>
              <w:t>《省政府关于印发江苏省生态空间管控区域规划的通知》（苏政发</w:t>
            </w:r>
            <w:r>
              <w:rPr>
                <w:rFonts w:hint="eastAsia" w:ascii="Times New Roman" w:hAnsi="Times New Roman" w:eastAsia="宋体" w:cs="Times New Roman"/>
                <w:bCs/>
                <w:color w:val="auto"/>
                <w:sz w:val="24"/>
                <w:szCs w:val="24"/>
                <w:highlight w:val="none"/>
                <w:lang w:val="en-US" w:eastAsia="zh-CN"/>
              </w:rPr>
              <w:t>〔202</w:t>
            </w:r>
            <w:r>
              <w:rPr>
                <w:rFonts w:hint="eastAsia" w:ascii="Times New Roman" w:cs="Times New Roman"/>
                <w:bCs/>
                <w:color w:val="auto"/>
                <w:sz w:val="24"/>
                <w:szCs w:val="24"/>
                <w:highlight w:val="none"/>
                <w:lang w:val="en-US" w:eastAsia="zh-CN"/>
              </w:rPr>
              <w:t>0</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1号）</w:t>
            </w:r>
            <w:r>
              <w:rPr>
                <w:rFonts w:hint="eastAsia" w:ascii="Times New Roman" w:hAnsi="Times New Roman" w:eastAsia="宋体" w:cs="Times New Roman"/>
                <w:bCs/>
                <w:color w:val="auto"/>
                <w:sz w:val="24"/>
                <w:szCs w:val="24"/>
                <w:highlight w:val="none"/>
                <w:lang w:val="en-US" w:eastAsia="zh-CN"/>
              </w:rPr>
              <w:t>及《苏州市相城区202</w:t>
            </w:r>
            <w:r>
              <w:rPr>
                <w:rFonts w:hint="eastAsia" w:ascii="Times New Roman" w:cs="Times New Roman"/>
                <w:bCs/>
                <w:color w:val="auto"/>
                <w:sz w:val="24"/>
                <w:szCs w:val="24"/>
                <w:highlight w:val="none"/>
                <w:lang w:val="en-US" w:eastAsia="zh-CN"/>
              </w:rPr>
              <w:t>4</w:t>
            </w:r>
            <w:r>
              <w:rPr>
                <w:rFonts w:hint="eastAsia" w:ascii="Times New Roman" w:hAnsi="Times New Roman" w:eastAsia="宋体" w:cs="Times New Roman"/>
                <w:bCs/>
                <w:color w:val="auto"/>
                <w:sz w:val="24"/>
                <w:szCs w:val="24"/>
                <w:highlight w:val="none"/>
                <w:lang w:val="en-US" w:eastAsia="zh-CN"/>
              </w:rPr>
              <w:t>年度生态空间管控区域调整方案》相符</w:t>
            </w:r>
            <w:r>
              <w:rPr>
                <w:rFonts w:hint="default" w:ascii="Times New Roman" w:hAnsi="Times New Roman" w:eastAsia="宋体" w:cs="Times New Roman"/>
                <w:color w:val="auto"/>
                <w:sz w:val="24"/>
                <w:szCs w:val="24"/>
                <w:highlight w:val="none"/>
              </w:rPr>
              <w:t>。</w:t>
            </w:r>
          </w:p>
          <w:p w14:paraId="7C4AEE49">
            <w:pPr>
              <w:autoSpaceDE w:val="0"/>
              <w:autoSpaceDN w:val="0"/>
              <w:adjustRightInd w:val="0"/>
              <w:snapToGrid w:val="0"/>
              <w:spacing w:line="360" w:lineRule="auto"/>
              <w:jc w:val="left"/>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4</w:t>
            </w:r>
            <w:r>
              <w:rPr>
                <w:rFonts w:hint="default" w:ascii="Times New Roman" w:hAnsi="Times New Roman" w:eastAsia="宋体" w:cs="Times New Roman"/>
                <w:b/>
                <w:color w:val="auto"/>
                <w:kern w:val="0"/>
                <w:sz w:val="24"/>
                <w:szCs w:val="24"/>
                <w:highlight w:val="none"/>
              </w:rPr>
              <w:t xml:space="preserve">.2  </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环境质量底线</w:t>
            </w:r>
            <w:r>
              <w:rPr>
                <w:rFonts w:hint="eastAsia" w:ascii="宋体" w:hAnsi="宋体" w:cs="宋体"/>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lang w:val="en-US" w:eastAsia="zh-CN"/>
              </w:rPr>
              <w:t>相符性</w:t>
            </w:r>
            <w:r>
              <w:rPr>
                <w:rFonts w:hint="default" w:ascii="Times New Roman" w:hAnsi="Times New Roman" w:eastAsia="宋体" w:cs="Times New Roman"/>
                <w:b/>
                <w:color w:val="auto"/>
                <w:kern w:val="0"/>
                <w:sz w:val="24"/>
                <w:szCs w:val="24"/>
                <w:highlight w:val="none"/>
              </w:rPr>
              <w:t>分析</w:t>
            </w:r>
          </w:p>
          <w:p w14:paraId="7FB11938">
            <w:pPr>
              <w:spacing w:line="360" w:lineRule="auto"/>
              <w:ind w:firstLine="474" w:firstLineChars="200"/>
              <w:rPr>
                <w:rFonts w:hint="eastAsia" w:cs="Times New Roman"/>
                <w:color w:val="auto"/>
                <w:spacing w:val="-2"/>
                <w:kern w:val="0"/>
                <w:sz w:val="24"/>
                <w:szCs w:val="24"/>
                <w:lang w:eastAsia="zh-CN"/>
              </w:rPr>
            </w:pPr>
            <w:r>
              <w:rPr>
                <w:rFonts w:hint="default" w:ascii="Times New Roman" w:hAnsi="Times New Roman" w:eastAsia="宋体" w:cs="Times New Roman"/>
                <w:b/>
                <w:color w:val="auto"/>
                <w:spacing w:val="-2"/>
                <w:kern w:val="0"/>
                <w:sz w:val="24"/>
                <w:szCs w:val="24"/>
                <w:highlight w:val="none"/>
              </w:rPr>
              <w:t>环境空气现状：</w:t>
            </w:r>
            <w:r>
              <w:rPr>
                <w:rFonts w:hint="default" w:ascii="Times New Roman" w:hAnsi="Times New Roman" w:eastAsia="宋体" w:cs="Times New Roman"/>
                <w:color w:val="auto"/>
                <w:spacing w:val="-2"/>
                <w:kern w:val="0"/>
                <w:sz w:val="24"/>
                <w:szCs w:val="24"/>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kern w:val="0"/>
                <w:sz w:val="24"/>
                <w:szCs w:val="24"/>
              </w:rPr>
              <w:t>，2024年，苏州市全市环境空气质量平均优良天数比率为85.8%，同比上升4.4个百分点。各地优良天数比率介于81.8%~86.1%</w:t>
            </w:r>
            <w:r>
              <w:rPr>
                <w:rFonts w:hint="eastAsia" w:cs="Times New Roman"/>
                <w:color w:val="auto"/>
                <w:spacing w:val="-2"/>
                <w:kern w:val="0"/>
                <w:sz w:val="24"/>
                <w:szCs w:val="24"/>
                <w:lang w:eastAsia="zh-CN"/>
              </w:rPr>
              <w:t>；</w:t>
            </w:r>
            <w:r>
              <w:rPr>
                <w:rFonts w:hint="default" w:ascii="Times New Roman" w:hAnsi="Times New Roman" w:eastAsia="宋体" w:cs="Times New Roman"/>
                <w:color w:val="auto"/>
                <w:spacing w:val="-2"/>
                <w:kern w:val="0"/>
                <w:sz w:val="24"/>
                <w:szCs w:val="24"/>
              </w:rPr>
              <w:t>市区环境空气质量优良天数比率为84.2%，同比上升3.4个百分点</w:t>
            </w:r>
            <w:r>
              <w:rPr>
                <w:rFonts w:hint="eastAsia" w:cs="Times New Roman"/>
                <w:color w:val="auto"/>
                <w:spacing w:val="-2"/>
                <w:kern w:val="0"/>
                <w:sz w:val="24"/>
                <w:szCs w:val="24"/>
                <w:lang w:eastAsia="zh-CN"/>
              </w:rPr>
              <w:t>。</w:t>
            </w:r>
          </w:p>
          <w:p w14:paraId="53188714">
            <w:pPr>
              <w:keepNext w:val="0"/>
              <w:keepLines w:val="0"/>
              <w:pageBreakBefore w:val="0"/>
              <w:suppressLineNumbers w:val="0"/>
              <w:kinsoku/>
              <w:wordWrap/>
              <w:overflowPunct/>
              <w:topLinePunct w:val="0"/>
              <w:bidi w:val="0"/>
              <w:spacing w:before="0" w:beforeAutospacing="0" w:afterAutospacing="0" w:line="360" w:lineRule="auto"/>
              <w:ind w:left="0" w:right="0" w:firstLine="472" w:firstLineChars="200"/>
              <w:rPr>
                <w:rFonts w:hint="default" w:ascii="Times New Roman" w:hAnsi="Times New Roman" w:eastAsia="宋体" w:cs="Times New Roman"/>
                <w:bCs/>
                <w:color w:val="auto"/>
                <w:spacing w:val="-2"/>
                <w:kern w:val="0"/>
                <w:sz w:val="24"/>
                <w:szCs w:val="24"/>
                <w:highlight w:val="none"/>
              </w:rPr>
            </w:pPr>
            <w:r>
              <w:rPr>
                <w:rFonts w:hint="eastAsia" w:cs="Times New Roman"/>
                <w:color w:val="auto"/>
                <w:spacing w:val="-2"/>
                <w:kern w:val="0"/>
                <w:sz w:val="24"/>
                <w:szCs w:val="24"/>
                <w:lang w:eastAsia="zh-CN"/>
              </w:rPr>
              <w:t>2024年，苏州市区环境空气中细颗粒物（PM</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vertAlign w:val="subscript"/>
                <w:lang w:eastAsia="zh-CN"/>
              </w:rPr>
              <w:t>5</w:t>
            </w:r>
            <w:r>
              <w:rPr>
                <w:rFonts w:hint="eastAsia" w:cs="Times New Roman"/>
                <w:color w:val="auto"/>
                <w:spacing w:val="-2"/>
                <w:kern w:val="0"/>
                <w:sz w:val="24"/>
                <w:szCs w:val="24"/>
                <w:lang w:eastAsia="zh-CN"/>
              </w:rPr>
              <w:t>）年均浓度为29微克</w:t>
            </w:r>
            <w:r>
              <w:rPr>
                <w:rFonts w:hint="eastAsia" w:cs="Times New Roman"/>
                <w:color w:val="auto"/>
                <w:spacing w:val="-2"/>
                <w:kern w:val="0"/>
                <w:sz w:val="24"/>
                <w:szCs w:val="24"/>
                <w:lang w:val="en-US" w:eastAsia="zh-CN"/>
              </w:rPr>
              <w:t>/</w:t>
            </w:r>
            <w:r>
              <w:rPr>
                <w:rFonts w:hint="eastAsia" w:cs="Times New Roman"/>
                <w:color w:val="auto"/>
                <w:spacing w:val="-2"/>
                <w:kern w:val="0"/>
                <w:sz w:val="24"/>
                <w:szCs w:val="24"/>
                <w:lang w:eastAsia="zh-CN"/>
              </w:rPr>
              <w:t>立方米，同比下降3.3%；可吸入颗粒物（</w:t>
            </w:r>
            <w:r>
              <w:rPr>
                <w:rFonts w:hint="eastAsia" w:cs="Times New Roman"/>
                <w:color w:val="auto"/>
                <w:spacing w:val="-2"/>
                <w:kern w:val="0"/>
                <w:sz w:val="24"/>
                <w:szCs w:val="24"/>
                <w:lang w:val="en-US" w:eastAsia="zh-CN"/>
              </w:rPr>
              <w:t>PM</w:t>
            </w:r>
            <w:r>
              <w:rPr>
                <w:rFonts w:hint="eastAsia" w:cs="Times New Roman"/>
                <w:color w:val="auto"/>
                <w:spacing w:val="-2"/>
                <w:kern w:val="0"/>
                <w:sz w:val="24"/>
                <w:szCs w:val="24"/>
                <w:vertAlign w:val="subscript"/>
                <w:lang w:val="en-US" w:eastAsia="zh-CN"/>
              </w:rPr>
              <w:t>10</w:t>
            </w:r>
            <w:r>
              <w:rPr>
                <w:rFonts w:hint="eastAsia" w:cs="Times New Roman"/>
                <w:color w:val="auto"/>
                <w:spacing w:val="-2"/>
                <w:kern w:val="0"/>
                <w:sz w:val="24"/>
                <w:szCs w:val="24"/>
                <w:lang w:eastAsia="zh-CN"/>
              </w:rPr>
              <w:t>）年均浓度为47微克/立方米，同比下降9.6%；二氧化硫（</w:t>
            </w:r>
            <w:r>
              <w:rPr>
                <w:rFonts w:hint="eastAsia" w:cs="Times New Roman"/>
                <w:color w:val="auto"/>
                <w:spacing w:val="-2"/>
                <w:kern w:val="0"/>
                <w:sz w:val="24"/>
                <w:szCs w:val="24"/>
                <w:lang w:val="en-US" w:eastAsia="zh-CN"/>
              </w:rPr>
              <w:t>SO</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lang w:eastAsia="zh-CN"/>
              </w:rPr>
              <w:t>）年均浓度为8微克/立方米，同比持平；二氧化</w:t>
            </w:r>
            <w:r>
              <w:rPr>
                <w:rFonts w:hint="eastAsia" w:cs="Times New Roman"/>
                <w:color w:val="auto"/>
                <w:spacing w:val="-2"/>
                <w:kern w:val="0"/>
                <w:sz w:val="24"/>
                <w:szCs w:val="24"/>
                <w:lang w:val="en-US" w:eastAsia="zh-CN"/>
              </w:rPr>
              <w:t>氮（NO</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lang w:val="en-US" w:eastAsia="zh-CN"/>
              </w:rPr>
              <w:t>）年均浓度为26微克/立方米，同比下降7.1%；一氧化碳（CO）浓度为1.0毫克/立方米，同比持平；臭氧（O</w:t>
            </w:r>
            <w:r>
              <w:rPr>
                <w:rFonts w:hint="eastAsia" w:cs="Times New Roman"/>
                <w:color w:val="auto"/>
                <w:spacing w:val="-2"/>
                <w:kern w:val="0"/>
                <w:sz w:val="24"/>
                <w:szCs w:val="24"/>
                <w:vertAlign w:val="subscript"/>
                <w:lang w:val="en-US" w:eastAsia="zh-CN"/>
              </w:rPr>
              <w:t>3</w:t>
            </w:r>
            <w:r>
              <w:rPr>
                <w:rFonts w:hint="eastAsia" w:cs="Times New Roman"/>
                <w:color w:val="auto"/>
                <w:spacing w:val="-2"/>
                <w:kern w:val="0"/>
                <w:sz w:val="24"/>
                <w:szCs w:val="24"/>
                <w:lang w:val="en-US" w:eastAsia="zh-CN"/>
              </w:rPr>
              <w:t>）浓度为161微克/立方米，同比下降6.4%。</w:t>
            </w:r>
            <w:r>
              <w:rPr>
                <w:rFonts w:hint="default" w:ascii="Times New Roman" w:hAnsi="Times New Roman" w:eastAsia="宋体" w:cs="Times New Roman"/>
                <w:color w:val="auto"/>
                <w:kern w:val="0"/>
                <w:sz w:val="24"/>
                <w:szCs w:val="28"/>
              </w:rPr>
              <w:t>因此，判定苏州市</w:t>
            </w:r>
            <w:r>
              <w:rPr>
                <w:rFonts w:hint="default" w:ascii="Times New Roman" w:hAnsi="Times New Roman" w:eastAsia="宋体" w:cs="Times New Roman"/>
                <w:bCs/>
                <w:color w:val="auto"/>
                <w:spacing w:val="-2"/>
                <w:kern w:val="0"/>
                <w:sz w:val="24"/>
                <w:szCs w:val="24"/>
                <w:highlight w:val="none"/>
              </w:rPr>
              <w:t>为环境空气质量不达标区。</w:t>
            </w:r>
          </w:p>
          <w:p w14:paraId="0F9FDD2A">
            <w:pPr>
              <w:keepNext w:val="0"/>
              <w:keepLines w:val="0"/>
              <w:pageBreakBefore w:val="0"/>
              <w:suppressLineNumbers w:val="0"/>
              <w:kinsoku/>
              <w:wordWrap/>
              <w:overflowPunct/>
              <w:topLinePunct w:val="0"/>
              <w:bidi w:val="0"/>
              <w:spacing w:before="0" w:beforeAutospacing="0" w:afterAutospacing="0" w:line="360" w:lineRule="auto"/>
              <w:ind w:left="0" w:right="0" w:firstLine="472" w:firstLineChars="200"/>
              <w:rPr>
                <w:rFonts w:hint="default" w:ascii="Times New Roman" w:hAnsi="Times New Roman" w:eastAsia="宋体" w:cs="Times New Roman"/>
                <w:bCs/>
                <w:color w:val="auto"/>
                <w:spacing w:val="-2"/>
                <w:kern w:val="0"/>
                <w:sz w:val="24"/>
                <w:szCs w:val="24"/>
                <w:highlight w:val="none"/>
              </w:rPr>
            </w:pPr>
            <w:r>
              <w:rPr>
                <w:rFonts w:hint="default" w:ascii="Times New Roman" w:hAnsi="Times New Roman" w:eastAsia="宋体" w:cs="Times New Roman"/>
                <w:bCs/>
                <w:color w:val="auto"/>
                <w:spacing w:val="-2"/>
                <w:kern w:val="0"/>
                <w:sz w:val="24"/>
                <w:szCs w:val="24"/>
                <w:highlight w:val="none"/>
              </w:rPr>
              <w:t>为进一步改善环境质量，根据《苏州市空气质量持续改善行动计划实施方案》（苏府2024〔50〕号），苏州市以</w:t>
            </w:r>
            <w:r>
              <w:rPr>
                <w:rFonts w:hint="eastAsia" w:ascii="宋体" w:hAnsi="宋体" w:cs="宋体"/>
                <w:bCs/>
                <w:color w:val="auto"/>
                <w:spacing w:val="-2"/>
                <w:kern w:val="0"/>
                <w:sz w:val="24"/>
                <w:szCs w:val="24"/>
                <w:highlight w:val="none"/>
                <w:lang w:eastAsia="zh-CN"/>
              </w:rPr>
              <w:t>“</w:t>
            </w:r>
            <w:r>
              <w:rPr>
                <w:rFonts w:hint="eastAsia" w:ascii="宋体" w:hAnsi="宋体" w:eastAsia="宋体" w:cs="宋体"/>
                <w:bCs/>
                <w:color w:val="auto"/>
                <w:spacing w:val="-2"/>
                <w:kern w:val="0"/>
                <w:sz w:val="24"/>
                <w:szCs w:val="24"/>
                <w:highlight w:val="none"/>
              </w:rPr>
              <w:t>到</w:t>
            </w:r>
            <w:r>
              <w:rPr>
                <w:rFonts w:hint="default" w:ascii="Times New Roman" w:hAnsi="Times New Roman" w:eastAsia="宋体" w:cs="Times New Roman"/>
                <w:bCs/>
                <w:color w:val="auto"/>
                <w:spacing w:val="-2"/>
                <w:kern w:val="0"/>
                <w:sz w:val="24"/>
                <w:szCs w:val="24"/>
                <w:highlight w:val="none"/>
              </w:rPr>
              <w:t>2025年，全市PM</w:t>
            </w:r>
            <w:r>
              <w:rPr>
                <w:rFonts w:hint="default" w:ascii="Times New Roman" w:hAnsi="Times New Roman" w:eastAsia="宋体" w:cs="Times New Roman"/>
                <w:bCs/>
                <w:color w:val="auto"/>
                <w:spacing w:val="-2"/>
                <w:kern w:val="0"/>
                <w:sz w:val="24"/>
                <w:szCs w:val="24"/>
                <w:highlight w:val="none"/>
                <w:vertAlign w:val="subscript"/>
              </w:rPr>
              <w:t>2.5</w:t>
            </w:r>
            <w:r>
              <w:rPr>
                <w:rFonts w:hint="default" w:ascii="Times New Roman" w:hAnsi="Times New Roman" w:eastAsia="宋体" w:cs="Times New Roman"/>
                <w:bCs/>
                <w:color w:val="auto"/>
                <w:spacing w:val="-2"/>
                <w:kern w:val="0"/>
                <w:sz w:val="24"/>
                <w:szCs w:val="24"/>
                <w:highlight w:val="none"/>
              </w:rPr>
              <w:t>浓度稳定在30</w:t>
            </w:r>
            <w:r>
              <w:rPr>
                <w:rFonts w:hint="default" w:ascii="Times New Roman" w:hAnsi="Times New Roman" w:eastAsia="宋体" w:cs="Times New Roman"/>
                <w:bCs/>
                <w:color w:val="auto"/>
                <w:spacing w:val="-2"/>
                <w:kern w:val="0"/>
                <w:sz w:val="24"/>
                <w:szCs w:val="24"/>
                <w:highlight w:val="none"/>
                <w:lang w:eastAsia="zh-CN"/>
              </w:rPr>
              <w:t>μg/m</w:t>
            </w:r>
            <w:r>
              <w:rPr>
                <w:rFonts w:hint="default" w:ascii="Times New Roman" w:hAnsi="Times New Roman" w:eastAsia="宋体" w:cs="Times New Roman"/>
                <w:bCs/>
                <w:color w:val="auto"/>
                <w:spacing w:val="-2"/>
                <w:kern w:val="0"/>
                <w:sz w:val="24"/>
                <w:szCs w:val="24"/>
                <w:highlight w:val="none"/>
                <w:vertAlign w:val="superscript"/>
                <w:lang w:eastAsia="zh-CN"/>
              </w:rPr>
              <w:t>3</w:t>
            </w:r>
            <w:r>
              <w:rPr>
                <w:rFonts w:hint="default" w:ascii="Times New Roman" w:hAnsi="Times New Roman" w:eastAsia="宋体" w:cs="Times New Roman"/>
                <w:bCs/>
                <w:color w:val="auto"/>
                <w:spacing w:val="-2"/>
                <w:kern w:val="0"/>
                <w:sz w:val="24"/>
                <w:szCs w:val="24"/>
                <w:highlight w:val="none"/>
              </w:rPr>
              <w:t>以下，重度及以上污染天数控制在1天以内；氮氧化物和VOCs排放总量比2020年分别下降10%以上，完成省下达的减排目标</w:t>
            </w:r>
            <w:r>
              <w:rPr>
                <w:rFonts w:hint="eastAsia" w:ascii="宋体" w:hAnsi="宋体" w:eastAsia="宋体" w:cs="宋体"/>
                <w:bCs/>
                <w:color w:val="auto"/>
                <w:spacing w:val="-2"/>
                <w:kern w:val="0"/>
                <w:sz w:val="24"/>
                <w:szCs w:val="24"/>
                <w:highlight w:val="none"/>
              </w:rPr>
              <w:t>。</w:t>
            </w:r>
            <w:r>
              <w:rPr>
                <w:rFonts w:hint="eastAsia" w:ascii="宋体" w:hAnsi="宋体" w:cs="宋体"/>
                <w:bCs/>
                <w:color w:val="auto"/>
                <w:spacing w:val="-2"/>
                <w:kern w:val="0"/>
                <w:sz w:val="24"/>
                <w:szCs w:val="24"/>
                <w:highlight w:val="none"/>
                <w:lang w:eastAsia="zh-CN"/>
              </w:rPr>
              <w:t>”</w:t>
            </w:r>
            <w:r>
              <w:rPr>
                <w:rFonts w:hint="eastAsia" w:ascii="宋体" w:hAnsi="宋体" w:eastAsia="宋体" w:cs="宋体"/>
                <w:bCs/>
                <w:color w:val="auto"/>
                <w:spacing w:val="-2"/>
                <w:kern w:val="0"/>
                <w:sz w:val="24"/>
                <w:szCs w:val="24"/>
                <w:highlight w:val="none"/>
              </w:rPr>
              <w:t>为</w:t>
            </w:r>
            <w:r>
              <w:rPr>
                <w:rFonts w:hint="default" w:ascii="Times New Roman" w:hAnsi="Times New Roman" w:eastAsia="宋体" w:cs="Times New Roman"/>
                <w:bCs/>
                <w:color w:val="auto"/>
                <w:spacing w:val="-2"/>
                <w:kern w:val="0"/>
                <w:sz w:val="24"/>
                <w:szCs w:val="24"/>
                <w:highlight w:val="none"/>
              </w:rPr>
              <w:t>主要目标。通过采取如下措施：1）优化产业结构，促进产业绿色低碳升级（坚决遏制高耗能、高排放、低水平项目盲目上马；加快退出重点行业落后产能；推进园区、产业集群绿色低碳化改造与综合整治；优化含VOCs原辅材料和产品结构）；2）优化能源结构，加快能源清洁低碳高效发展（大力发展新能源和清洁能源；严格合理控制煤炭消费总量；持续降低重点领域能耗强度；推进燃煤锅炉关停整合和工业炉窑清洁能源替代）；3）优化交通结构，大力发展绿色运输体系（持续优化调整货物运输结构；加快提升机动车清洁化水平；强化非道路移动源综合治理）；4）强化面源污染治理，提升精细化管理水平（加强扬尘精细化管控；加强秸秆综合利用和</w:t>
            </w:r>
            <w:r>
              <w:rPr>
                <w:rFonts w:hint="eastAsia" w:cs="Times New Roman"/>
                <w:bCs/>
                <w:color w:val="auto"/>
                <w:spacing w:val="-2"/>
                <w:kern w:val="0"/>
                <w:sz w:val="24"/>
                <w:szCs w:val="24"/>
                <w:highlight w:val="none"/>
                <w:lang w:val="en-US" w:eastAsia="zh-CN"/>
              </w:rPr>
              <w:t>禁</w:t>
            </w:r>
            <w:r>
              <w:rPr>
                <w:rFonts w:hint="default" w:ascii="Times New Roman" w:hAnsi="Times New Roman" w:eastAsia="宋体" w:cs="Times New Roman"/>
                <w:bCs/>
                <w:color w:val="auto"/>
                <w:spacing w:val="-2"/>
                <w:kern w:val="0"/>
                <w:sz w:val="24"/>
                <w:szCs w:val="24"/>
                <w:highlight w:val="none"/>
              </w:rPr>
              <w:t>烧；加强烟花爆竹禁放管理）；5）强化多污染物减排，切实降低排放强度（强化VOCs全流程、全环节综合治理；推进重点行业超低排放与提标改造；开展餐饮油烟、恶臭异味专项治理；稳步推进大气氨污染防控）；6）加强机制建设，完善大气环境管理体系（实施区域联防联控和城市空气质量达标管理；完善重污染天气应对机制）；7）加强能力建设，严格执法监督（加强监测和执法监管能力建设；加强决策科技支撑）；8）健全标准规范体系，完善环境经济政策（强化标准引领；积极发挥财政金融引导作用）；9）落实各方责任，开展全民行动（加强组织领导；严格监督考核；实施全民行动）等。采取以上措施后，大气环境质量状况可以得到持续改善。</w:t>
            </w:r>
          </w:p>
          <w:p w14:paraId="4428C2E5">
            <w:pPr>
              <w:keepNext w:val="0"/>
              <w:keepLines w:val="0"/>
              <w:pageBreakBefore w:val="0"/>
              <w:suppressLineNumbers w:val="0"/>
              <w:kinsoku/>
              <w:wordWrap/>
              <w:overflowPunct/>
              <w:topLinePunct w:val="0"/>
              <w:bidi w:val="0"/>
              <w:spacing w:before="0" w:beforeAutospacing="0" w:afterAutospacing="0" w:line="360" w:lineRule="auto"/>
              <w:ind w:left="0" w:right="0" w:firstLine="47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pacing w:val="-2"/>
                <w:kern w:val="0"/>
                <w:sz w:val="24"/>
                <w:szCs w:val="24"/>
                <w:highlight w:val="none"/>
              </w:rPr>
              <w:t>水质现状：</w:t>
            </w:r>
            <w:r>
              <w:rPr>
                <w:rFonts w:hint="default" w:ascii="Times New Roman" w:hAnsi="Times New Roman" w:eastAsia="宋体" w:cs="Times New Roman"/>
                <w:color w:val="auto"/>
                <w:spacing w:val="-2"/>
                <w:kern w:val="0"/>
                <w:sz w:val="24"/>
                <w:szCs w:val="24"/>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kern w:val="0"/>
                <w:sz w:val="24"/>
                <w:szCs w:val="24"/>
              </w:rPr>
              <w:t>，</w:t>
            </w:r>
            <w:r>
              <w:rPr>
                <w:rFonts w:hint="default" w:ascii="Times New Roman" w:hAnsi="Times New Roman" w:eastAsia="宋体" w:cs="Times New Roman"/>
                <w:color w:val="auto"/>
                <w:sz w:val="24"/>
                <w:szCs w:val="24"/>
              </w:rPr>
              <w:t>2024年，全市地表水环境质量稳中向好，国、省考断面水质均达到年度考核目标要求，太湖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连续17年实现安全度夏。</w:t>
            </w:r>
          </w:p>
          <w:p w14:paraId="16701DD3">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default" w:ascii="Times New Roman" w:hAnsi="Times New Roman" w:eastAsia="宋体" w:cs="Times New Roman"/>
                <w:color w:val="auto"/>
                <w:sz w:val="24"/>
                <w:szCs w:val="24"/>
              </w:rPr>
              <w:t>根据《江苏省2024年水生态环境保护工作计划》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苏污防攻坚指办</w:t>
            </w:r>
            <w:r>
              <w:rPr>
                <w:rFonts w:hint="eastAsia"/>
                <w:color w:val="auto"/>
                <w:kern w:val="0"/>
                <w:sz w:val="24"/>
                <w:szCs w:val="24"/>
                <w:lang w:eastAsia="zh-CN"/>
              </w:rPr>
              <w:t>〔</w:t>
            </w:r>
            <w:r>
              <w:rPr>
                <w:rFonts w:hint="eastAsia"/>
                <w:color w:val="auto"/>
                <w:kern w:val="0"/>
                <w:sz w:val="24"/>
                <w:szCs w:val="24"/>
                <w:lang w:val="en-US" w:eastAsia="zh-CN"/>
              </w:rPr>
              <w:t>2024</w:t>
            </w:r>
            <w:r>
              <w:rPr>
                <w:rFonts w:hint="eastAsia"/>
                <w:color w:val="auto"/>
                <w:kern w:val="0"/>
                <w:sz w:val="24"/>
                <w:szCs w:val="24"/>
                <w:lang w:eastAsia="zh-CN"/>
              </w:rPr>
              <w:t>〕</w:t>
            </w:r>
            <w:r>
              <w:rPr>
                <w:rFonts w:hint="default" w:ascii="Times New Roman" w:hAnsi="Times New Roman" w:eastAsia="宋体" w:cs="Times New Roman"/>
                <w:color w:val="auto"/>
                <w:sz w:val="24"/>
                <w:szCs w:val="24"/>
              </w:rPr>
              <w:t>35号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，全市共13个县级及以上城市集中式饮用水水源地，均为集中式供水。2024年取水总量约为15.20亿吨，主要取水水源长江和太湖取水量分别约占取水总量的32.1%和54.3%。依据《地表水环境质量标准》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3838-2002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评价，水质均达到或优于Ⅲ类标准，全部达到考核目标要求</w:t>
            </w:r>
            <w:r>
              <w:rPr>
                <w:rFonts w:hint="eastAsia" w:cs="Times New Roman"/>
                <w:color w:val="auto"/>
                <w:sz w:val="24"/>
                <w:szCs w:val="24"/>
                <w:lang w:eastAsia="zh-CN"/>
              </w:rPr>
              <w:t>。</w:t>
            </w:r>
          </w:p>
          <w:p w14:paraId="488F72E2">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2024年，纳入“十四五”国家地表水环境质量考核的30个断面中，年均水质达到或好于《地表水环境质量标准》（GB</w:t>
            </w:r>
            <w:r>
              <w:rPr>
                <w:rFonts w:hint="eastAsia" w:cs="Times New Roman"/>
                <w:color w:val="auto"/>
                <w:sz w:val="24"/>
                <w:szCs w:val="24"/>
                <w:lang w:val="en-US" w:eastAsia="zh-CN"/>
              </w:rPr>
              <w:t xml:space="preserve"> </w:t>
            </w:r>
            <w:r>
              <w:rPr>
                <w:rFonts w:hint="eastAsia" w:cs="Times New Roman"/>
                <w:color w:val="auto"/>
                <w:sz w:val="24"/>
                <w:szCs w:val="24"/>
                <w:lang w:eastAsia="zh-CN"/>
              </w:rPr>
              <w:t>3838-2002）</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类标准的断面比例为93.3%，同比持平；未达</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类的2个断面为</w:t>
            </w:r>
            <w:r>
              <w:rPr>
                <w:rFonts w:hint="default" w:ascii="Times New Roman" w:hAnsi="Times New Roman" w:eastAsia="微软雅黑" w:cs="Times New Roman"/>
                <w:color w:val="auto"/>
                <w:sz w:val="24"/>
                <w:szCs w:val="24"/>
                <w:lang w:eastAsia="zh-CN"/>
              </w:rPr>
              <w:t>Ⅳ</w:t>
            </w:r>
            <w:r>
              <w:rPr>
                <w:rFonts w:hint="eastAsia" w:cs="Times New Roman"/>
                <w:color w:val="auto"/>
                <w:sz w:val="24"/>
                <w:szCs w:val="24"/>
                <w:lang w:eastAsia="zh-CN"/>
              </w:rPr>
              <w:t>类（均为湖泊）。年均水质达到</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类标准的断面比例为63.3%，同比上升10.0个百分点，</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类水体比例全省第一。</w:t>
            </w:r>
          </w:p>
          <w:p w14:paraId="194685FC">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2024年，纳入江苏省“十四五”水环境质量考核的80个地表水断面（含国考断面）中，年均水质达到或好于《地表水环境质量标准》（GB</w:t>
            </w:r>
            <w:r>
              <w:rPr>
                <w:rFonts w:hint="eastAsia" w:cs="Times New Roman"/>
                <w:color w:val="auto"/>
                <w:sz w:val="24"/>
                <w:szCs w:val="24"/>
                <w:lang w:val="en-US" w:eastAsia="zh-CN"/>
              </w:rPr>
              <w:t xml:space="preserve"> </w:t>
            </w:r>
            <w:r>
              <w:rPr>
                <w:rFonts w:hint="eastAsia" w:cs="Times New Roman"/>
                <w:color w:val="auto"/>
                <w:sz w:val="24"/>
                <w:szCs w:val="24"/>
                <w:lang w:eastAsia="zh-CN"/>
              </w:rPr>
              <w:t>3838-2002）</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类标准的断面比例为97.5%，同比上升2.5个百分点；未达</w:t>
            </w:r>
            <w:r>
              <w:rPr>
                <w:rFonts w:hint="default" w:ascii="Times New Roman" w:hAnsi="Times New Roman" w:cs="Times New Roman"/>
                <w:color w:val="auto"/>
                <w:sz w:val="24"/>
                <w:szCs w:val="24"/>
                <w:lang w:eastAsia="zh-CN"/>
              </w:rPr>
              <w:t>Ⅲ</w:t>
            </w:r>
            <w:r>
              <w:rPr>
                <w:rFonts w:hint="eastAsia" w:cs="Times New Roman"/>
                <w:color w:val="auto"/>
                <w:sz w:val="24"/>
                <w:szCs w:val="24"/>
                <w:lang w:eastAsia="zh-CN"/>
              </w:rPr>
              <w:t>类的2个断面为</w:t>
            </w:r>
            <w:r>
              <w:rPr>
                <w:rFonts w:hint="default" w:ascii="Times New Roman" w:hAnsi="Times New Roman" w:eastAsia="微软雅黑" w:cs="Times New Roman"/>
                <w:color w:val="auto"/>
                <w:sz w:val="24"/>
                <w:szCs w:val="24"/>
                <w:lang w:eastAsia="zh-CN"/>
              </w:rPr>
              <w:t>Ⅳ</w:t>
            </w:r>
            <w:r>
              <w:rPr>
                <w:rFonts w:hint="eastAsia" w:cs="Times New Roman"/>
                <w:color w:val="auto"/>
                <w:sz w:val="24"/>
                <w:szCs w:val="24"/>
                <w:lang w:eastAsia="zh-CN"/>
              </w:rPr>
              <w:t>类（均为湖泊）。年均水质达到</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类标准的断面比例为68.8%，同比上升2.5个百分点，</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类水体比例全省第二。</w:t>
            </w:r>
          </w:p>
          <w:p w14:paraId="3E0BA23D">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2024年，长江</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总体水质稳定在优级水平。长江干流</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各断面水质均达Ⅱ类，同比持平。主要通江河道水质均达到或优于Ⅲ类，同比持平，Ⅱ类水体断面23个，同比减少1个。</w:t>
            </w:r>
          </w:p>
          <w:p w14:paraId="7C599CF3">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总体水质为Ⅲ类。湖体高锰酸盐指数和氨氮平均浓度分别为2.8毫克/升和0.06毫克/升，保持在Ⅱ类和I类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总磷平均浓度为0.042毫克/升，保持在Ⅲ类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总氮平均浓度为1.22毫克/升</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综合营养状态指数为50.4，处于轻度富营养状态。</w:t>
            </w:r>
          </w:p>
          <w:p w14:paraId="02DF06B2">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主要入湖河流望虞河水质稳定达到Ⅱ类。</w:t>
            </w:r>
          </w:p>
          <w:p w14:paraId="16471C16">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2024年3月至10月安全度夏期间，通过卫星遥感监测发现太湖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共计出现蓝藻水华40次，同比增加7次，最大聚集面积112平方千米，平均面积21.8平方千米，与2023年相比，最大发生面积下降32.9%，平均发生面积下降42.6%。</w:t>
            </w:r>
          </w:p>
          <w:p w14:paraId="06393F56">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2024年，国考断面阳澄湖心水质保持Ⅲ类。高锰酸盐指数和</w:t>
            </w:r>
            <w:r>
              <w:rPr>
                <w:rFonts w:hint="eastAsia" w:cs="Times New Roman"/>
                <w:color w:val="auto"/>
                <w:sz w:val="24"/>
                <w:szCs w:val="24"/>
                <w:lang w:val="en-US" w:eastAsia="zh-CN"/>
              </w:rPr>
              <w:t>氨氮</w:t>
            </w:r>
            <w:r>
              <w:rPr>
                <w:rFonts w:hint="default" w:ascii="Times New Roman" w:hAnsi="Times New Roman" w:eastAsia="宋体" w:cs="Times New Roman"/>
                <w:color w:val="auto"/>
                <w:sz w:val="24"/>
                <w:szCs w:val="24"/>
              </w:rPr>
              <w:t>平均浓度为3.9毫克/升和0.05毫克/升，保持在Ⅱ类和I类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总磷平均浓度为0.047毫克/升，保持在Ⅲ类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总氮平均浓度为1.25毫克/升</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综合营养状态指数为53.1，处于轻度富营养状态。</w:t>
            </w:r>
          </w:p>
          <w:p w14:paraId="702D8115">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rPr>
                <w:rFonts w:ascii="Times New Roman" w:hAnsi="Times New Roman" w:eastAsia="宋体" w:cs="Times New Roman"/>
                <w:color w:val="auto"/>
                <w:spacing w:val="-2"/>
                <w:kern w:val="0"/>
                <w:sz w:val="24"/>
                <w:highlight w:val="none"/>
              </w:rPr>
            </w:pPr>
            <w:r>
              <w:rPr>
                <w:rFonts w:hint="default" w:ascii="Times New Roman" w:hAnsi="Times New Roman" w:eastAsia="宋体" w:cs="Times New Roman"/>
                <w:color w:val="auto"/>
                <w:sz w:val="24"/>
                <w:szCs w:val="24"/>
              </w:rPr>
              <w:t>2024年，京杭大运河</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水质稳定在优级水平。沿线5个省考及以上监测断面水质均达到Ⅲ类，同比持平。</w:t>
            </w:r>
          </w:p>
          <w:p w14:paraId="0AB84F01">
            <w:pPr>
              <w:keepNext w:val="0"/>
              <w:keepLines w:val="0"/>
              <w:pageBreakBefore w:val="0"/>
              <w:suppressLineNumbers w:val="0"/>
              <w:kinsoku/>
              <w:wordWrap/>
              <w:overflowPunct/>
              <w:topLinePunct w:val="0"/>
              <w:bidi w:val="0"/>
              <w:spacing w:before="0" w:beforeAutospacing="0" w:afterAutospacing="0" w:line="360" w:lineRule="auto"/>
              <w:ind w:left="0" w:right="0" w:firstLine="472" w:firstLineChars="200"/>
              <w:rPr>
                <w:rFonts w:hint="default" w:ascii="Times New Roman" w:hAnsi="Times New Roman" w:eastAsia="宋体" w:cs="Times New Roman"/>
                <w:color w:val="auto"/>
                <w:spacing w:val="-2"/>
                <w:kern w:val="0"/>
                <w:sz w:val="24"/>
                <w:highlight w:val="none"/>
              </w:rPr>
            </w:pPr>
            <w:r>
              <w:rPr>
                <w:rFonts w:hint="default" w:ascii="Times New Roman" w:hAnsi="Times New Roman" w:eastAsia="宋体" w:cs="Times New Roman"/>
                <w:color w:val="auto"/>
                <w:spacing w:val="-2"/>
                <w:kern w:val="0"/>
                <w:sz w:val="24"/>
                <w:highlight w:val="none"/>
              </w:rPr>
              <w:t>本项目</w:t>
            </w:r>
            <w:r>
              <w:rPr>
                <w:rFonts w:hint="eastAsia" w:cs="Times New Roman"/>
                <w:color w:val="auto"/>
                <w:spacing w:val="-2"/>
                <w:kern w:val="0"/>
                <w:sz w:val="24"/>
                <w:highlight w:val="none"/>
                <w:lang w:val="en-US" w:eastAsia="zh-CN"/>
              </w:rPr>
              <w:t>电泳线、喷粉线前处理产生的生产废水和地面清洗废水经厂区污水处理装置处理达标后与生活污水一起经市政污水管网排入苏州高铁苏水水务有限公司（苏州高铁新城污水厂）处理</w:t>
            </w:r>
            <w:r>
              <w:rPr>
                <w:rFonts w:hint="eastAsia" w:cs="Times New Roman"/>
                <w:color w:val="auto"/>
                <w:sz w:val="24"/>
                <w:szCs w:val="24"/>
                <w:highlight w:val="none"/>
                <w:lang w:val="en-US" w:eastAsia="zh-CN"/>
              </w:rPr>
              <w:t>达标后</w:t>
            </w:r>
            <w:r>
              <w:rPr>
                <w:rFonts w:hint="default" w:ascii="Times New Roman" w:hAnsi="Times New Roman" w:eastAsia="宋体" w:cs="Times New Roman"/>
                <w:color w:val="auto"/>
                <w:spacing w:val="-2"/>
                <w:kern w:val="0"/>
                <w:sz w:val="24"/>
                <w:highlight w:val="none"/>
              </w:rPr>
              <w:t>尾水排至</w:t>
            </w:r>
            <w:r>
              <w:rPr>
                <w:rFonts w:hint="eastAsia" w:cs="Times New Roman"/>
                <w:color w:val="auto"/>
                <w:spacing w:val="-2"/>
                <w:kern w:val="0"/>
                <w:sz w:val="24"/>
                <w:highlight w:val="none"/>
                <w:lang w:val="en-US" w:eastAsia="zh-CN"/>
              </w:rPr>
              <w:t>元和塘</w:t>
            </w:r>
            <w:r>
              <w:rPr>
                <w:rFonts w:hint="default" w:ascii="Times New Roman" w:hAnsi="Times New Roman" w:eastAsia="宋体" w:cs="Times New Roman"/>
                <w:color w:val="auto"/>
                <w:spacing w:val="-2"/>
                <w:kern w:val="0"/>
                <w:sz w:val="24"/>
                <w:highlight w:val="none"/>
              </w:rPr>
              <w:t>，根据《江苏省地表水（环境）功能区划（2021-2030）》（苏政复〔2022〕13号），</w:t>
            </w:r>
            <w:r>
              <w:rPr>
                <w:rFonts w:hint="eastAsia" w:cs="Times New Roman"/>
                <w:color w:val="auto"/>
                <w:spacing w:val="-2"/>
                <w:kern w:val="0"/>
                <w:sz w:val="24"/>
                <w:highlight w:val="none"/>
                <w:lang w:val="en-US" w:eastAsia="zh-CN"/>
              </w:rPr>
              <w:t>元和塘</w:t>
            </w:r>
            <w:r>
              <w:rPr>
                <w:rFonts w:hint="default" w:ascii="Times New Roman" w:hAnsi="Times New Roman" w:eastAsia="宋体" w:cs="Times New Roman"/>
                <w:color w:val="auto"/>
                <w:spacing w:val="-2"/>
                <w:kern w:val="0"/>
                <w:sz w:val="24"/>
                <w:highlight w:val="none"/>
              </w:rPr>
              <w:t>功能水质目标为</w:t>
            </w:r>
            <w:r>
              <w:rPr>
                <w:rFonts w:hint="default" w:ascii="Times New Roman" w:hAnsi="Times New Roman" w:eastAsia="微软雅黑" w:cs="Times New Roman"/>
                <w:color w:val="auto"/>
                <w:spacing w:val="-2"/>
                <w:kern w:val="0"/>
                <w:sz w:val="24"/>
                <w:highlight w:val="none"/>
              </w:rPr>
              <w:t>Ⅳ</w:t>
            </w:r>
            <w:r>
              <w:rPr>
                <w:rFonts w:hint="default" w:ascii="Times New Roman" w:hAnsi="Times New Roman" w:eastAsia="宋体" w:cs="Times New Roman"/>
                <w:color w:val="auto"/>
                <w:spacing w:val="-2"/>
                <w:kern w:val="0"/>
                <w:sz w:val="24"/>
                <w:highlight w:val="none"/>
              </w:rPr>
              <w:t>类水；执行《地表水环境质量标准》（GB</w:t>
            </w:r>
            <w:r>
              <w:rPr>
                <w:rFonts w:hint="eastAsia" w:cs="Times New Roman"/>
                <w:color w:val="auto"/>
                <w:spacing w:val="-2"/>
                <w:kern w:val="0"/>
                <w:sz w:val="24"/>
                <w:highlight w:val="none"/>
                <w:lang w:val="en-US" w:eastAsia="zh-CN"/>
              </w:rPr>
              <w:t xml:space="preserve"> </w:t>
            </w:r>
            <w:r>
              <w:rPr>
                <w:rFonts w:hint="default" w:ascii="Times New Roman" w:hAnsi="Times New Roman" w:eastAsia="宋体" w:cs="Times New Roman"/>
                <w:color w:val="auto"/>
                <w:spacing w:val="-2"/>
                <w:kern w:val="0"/>
                <w:sz w:val="24"/>
                <w:highlight w:val="none"/>
              </w:rPr>
              <w:t>3838-2002）</w:t>
            </w:r>
            <w:r>
              <w:rPr>
                <w:rFonts w:hint="default" w:ascii="Times New Roman" w:hAnsi="Times New Roman" w:eastAsia="微软雅黑" w:cs="Times New Roman"/>
                <w:color w:val="auto"/>
                <w:spacing w:val="-2"/>
                <w:kern w:val="0"/>
                <w:sz w:val="24"/>
                <w:highlight w:val="none"/>
              </w:rPr>
              <w:t>Ⅳ</w:t>
            </w:r>
            <w:r>
              <w:rPr>
                <w:rFonts w:hint="default" w:ascii="Times New Roman" w:hAnsi="Times New Roman" w:eastAsia="宋体" w:cs="Times New Roman"/>
                <w:color w:val="auto"/>
                <w:spacing w:val="-2"/>
                <w:kern w:val="0"/>
                <w:sz w:val="24"/>
                <w:highlight w:val="none"/>
              </w:rPr>
              <w:t>类标准。</w:t>
            </w:r>
          </w:p>
          <w:p w14:paraId="6EA14656">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74" w:firstLineChars="200"/>
              <w:textAlignment w:val="auto"/>
              <w:rPr>
                <w:rFonts w:hint="eastAsia" w:ascii="宋体" w:hAnsi="宋体" w:eastAsia="宋体" w:cs="宋体"/>
                <w:color w:val="auto"/>
                <w:sz w:val="24"/>
                <w:szCs w:val="24"/>
                <w:highlight w:val="none"/>
              </w:rPr>
            </w:pPr>
            <w:r>
              <w:rPr>
                <w:rFonts w:hint="default" w:ascii="Times New Roman" w:hAnsi="Times New Roman" w:eastAsia="宋体" w:cs="Times New Roman"/>
                <w:b/>
                <w:color w:val="auto"/>
                <w:spacing w:val="-2"/>
                <w:kern w:val="0"/>
                <w:sz w:val="24"/>
                <w:szCs w:val="24"/>
                <w:highlight w:val="none"/>
              </w:rPr>
              <w:t>声环境现状：</w:t>
            </w:r>
            <w:r>
              <w:rPr>
                <w:rFonts w:hint="default" w:ascii="Times New Roman" w:hAnsi="Times New Roman" w:eastAsia="宋体" w:cs="Times New Roman"/>
                <w:bCs/>
                <w:color w:val="auto"/>
                <w:spacing w:val="-2"/>
                <w:kern w:val="0"/>
                <w:sz w:val="24"/>
                <w:szCs w:val="24"/>
                <w:highlight w:val="none"/>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pacing w:val="-2"/>
                <w:kern w:val="0"/>
                <w:sz w:val="24"/>
                <w:szCs w:val="24"/>
                <w:highlight w:val="none"/>
              </w:rPr>
              <w:t>，</w:t>
            </w:r>
            <w:r>
              <w:rPr>
                <w:rFonts w:hint="default" w:ascii="Times New Roman" w:hAnsi="Times New Roman" w:eastAsia="宋体" w:cs="Times New Roman"/>
                <w:color w:val="auto"/>
                <w:sz w:val="24"/>
                <w:szCs w:val="24"/>
                <w:highlight w:val="none"/>
              </w:rPr>
              <w:t>2024年，全市声环境质量总体保持稳定。全市功能区声环境昼间质量较2023年有所下降、夜间质量较2023年有所提升，昼间区域声环境质量和道路交通声环境质量均有所改善</w:t>
            </w:r>
            <w:r>
              <w:rPr>
                <w:rFonts w:hint="eastAsia" w:ascii="宋体" w:hAnsi="宋体" w:eastAsia="宋体" w:cs="宋体"/>
                <w:color w:val="auto"/>
                <w:sz w:val="24"/>
                <w:szCs w:val="24"/>
                <w:highlight w:val="none"/>
              </w:rPr>
              <w:t>。</w:t>
            </w:r>
          </w:p>
          <w:p w14:paraId="4C0747C6">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2024年，全市昼间区域噪声平均等效声级为54.7dB(A)，同比下降0.3dB(A)，处于区域环境噪声二级</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较好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水平，评价等级持平。各地昼间噪声平均等效声级介于53.6~55.0dB(A)</w:t>
            </w:r>
            <w:r>
              <w:rPr>
                <w:rFonts w:hint="eastAsia" w:ascii="Times New Roman" w:hAnsi="Times New Roman" w:cs="Times New Roman"/>
                <w:color w:val="auto"/>
                <w:sz w:val="24"/>
                <w:szCs w:val="24"/>
                <w:highlight w:val="none"/>
                <w:lang w:eastAsia="zh-CN"/>
              </w:rPr>
              <w:t>。</w:t>
            </w:r>
          </w:p>
          <w:p w14:paraId="26C125A3">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影响全市昼间城市区域声环境质量的主要声源是社会生活噪声，所占比例达58.2%；其余依次为交通噪声、工业噪声和施工噪声，所占比例分别为24.5%、10.4%和6.9%。</w:t>
            </w:r>
          </w:p>
          <w:p w14:paraId="7DB69899">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依据《声环境质量标准》（GB</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eastAsia="zh-CN"/>
              </w:rPr>
              <w:t>3096-2008）评价，2024年，全市功能区声环境昼间、夜间平均达标率分别为95.8%和88.7%。与2023年相比，功能区声环境昼间平均达标率下降1.4个百分点，夜间平均达标率上升0.5个百分点。全市1~4a类功能区声环境昼间达标率分别为93.2%、94.1%、95.8%和100%，夜间达标率分别为79.5%、97.1%、89.6%和84.6%。</w:t>
            </w:r>
          </w:p>
          <w:p w14:paraId="2319FBBC">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rPr>
            </w:pPr>
            <w:r>
              <w:rPr>
                <w:rFonts w:hint="eastAsia" w:ascii="Times New Roman" w:hAnsi="Times New Roman" w:cs="Times New Roman"/>
                <w:color w:val="auto"/>
                <w:sz w:val="24"/>
                <w:szCs w:val="24"/>
                <w:highlight w:val="none"/>
                <w:lang w:eastAsia="zh-CN"/>
              </w:rPr>
              <w:t>2024年，全市昼间道路交通噪声平均等效声级为66.3dB(A)，同比下降0.6dB(A)交通噪声强度为一级，昼间道路交通声环境质量为好。监测路段中共有156.9千米的路段平均等效声级超出道路交通噪声强度昼间二级限值70.0dB(A)，占监测总路长的15.4%，同比下降2.0个百分点。</w:t>
            </w:r>
          </w:p>
          <w:p w14:paraId="5F66B51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电泳线酸洗废气、电泳废气、电泳烘干废气、喷粉前处理酸洗废气、喷粉烘干废气</w:t>
            </w:r>
            <w:r>
              <w:rPr>
                <w:rFonts w:hint="default" w:ascii="Times New Roman" w:hAnsi="Times New Roman" w:eastAsia="宋体" w:cs="Times New Roman"/>
                <w:color w:val="auto"/>
                <w:sz w:val="24"/>
                <w:szCs w:val="24"/>
                <w:highlight w:val="none"/>
              </w:rPr>
              <w:t>收集后通过1套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碱性</w:t>
            </w:r>
            <w:r>
              <w:rPr>
                <w:rFonts w:hint="eastAsia" w:ascii="宋体" w:hAnsi="宋体" w:eastAsia="宋体" w:cs="宋体"/>
                <w:color w:val="auto"/>
                <w:sz w:val="24"/>
                <w:szCs w:val="24"/>
                <w:highlight w:val="none"/>
              </w:rPr>
              <w:t>喷淋塔+</w:t>
            </w:r>
            <w:r>
              <w:rPr>
                <w:rFonts w:hint="eastAsia" w:ascii="宋体" w:hAnsi="宋体" w:cs="宋体"/>
                <w:color w:val="auto"/>
                <w:sz w:val="24"/>
                <w:szCs w:val="24"/>
                <w:highlight w:val="none"/>
                <w:lang w:eastAsia="zh-CN"/>
              </w:rPr>
              <w:t>干式过滤器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级活性炭吸附</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装</w:t>
            </w:r>
            <w:r>
              <w:rPr>
                <w:rFonts w:hint="default" w:ascii="Times New Roman" w:hAnsi="Times New Roman" w:eastAsia="宋体" w:cs="Times New Roman"/>
                <w:color w:val="auto"/>
                <w:sz w:val="24"/>
                <w:szCs w:val="24"/>
                <w:highlight w:val="none"/>
              </w:rPr>
              <w:t>置处理后通过</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m高DA001排气筒排放，</w:t>
            </w:r>
            <w:r>
              <w:rPr>
                <w:rFonts w:hint="eastAsia" w:cs="Times New Roman"/>
                <w:color w:val="auto"/>
                <w:sz w:val="24"/>
                <w:szCs w:val="24"/>
                <w:highlight w:val="none"/>
                <w:lang w:val="en-US" w:eastAsia="zh-CN"/>
              </w:rPr>
              <w:t>喷粉</w:t>
            </w:r>
            <w:r>
              <w:rPr>
                <w:rFonts w:hint="default" w:ascii="Times New Roman" w:hAnsi="Times New Roman" w:eastAsia="宋体" w:cs="Times New Roman"/>
                <w:color w:val="auto"/>
                <w:sz w:val="24"/>
                <w:szCs w:val="24"/>
                <w:highlight w:val="none"/>
              </w:rPr>
              <w:t>废气经滤</w:t>
            </w:r>
            <w:r>
              <w:rPr>
                <w:rFonts w:hint="eastAsia" w:cs="Times New Roman"/>
                <w:color w:val="auto"/>
                <w:sz w:val="24"/>
                <w:szCs w:val="24"/>
                <w:highlight w:val="none"/>
                <w:lang w:val="en-US" w:eastAsia="zh-CN"/>
              </w:rPr>
              <w:t>芯回收装置</w:t>
            </w:r>
            <w:r>
              <w:rPr>
                <w:rFonts w:hint="default" w:ascii="Times New Roman" w:hAnsi="Times New Roman" w:eastAsia="宋体" w:cs="Times New Roman"/>
                <w:color w:val="auto"/>
                <w:sz w:val="24"/>
                <w:szCs w:val="24"/>
                <w:highlight w:val="none"/>
              </w:rPr>
              <w:t>处理后通过</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m高DA001排气筒排放；本项目电泳线、喷粉线前处理产生的生产废水和地面清洗废水经厂区污水处理装置处理达标后与</w:t>
            </w:r>
            <w:r>
              <w:rPr>
                <w:rFonts w:hint="eastAsia" w:cs="Times New Roman"/>
                <w:color w:val="auto"/>
                <w:sz w:val="24"/>
                <w:szCs w:val="24"/>
                <w:highlight w:val="none"/>
                <w:lang w:val="en-US" w:eastAsia="zh-CN"/>
              </w:rPr>
              <w:t>纯水制备浓水</w:t>
            </w:r>
            <w:r>
              <w:rPr>
                <w:rFonts w:hint="default" w:ascii="Times New Roman" w:hAnsi="Times New Roman" w:eastAsia="宋体" w:cs="Times New Roman"/>
                <w:color w:val="auto"/>
                <w:sz w:val="24"/>
                <w:szCs w:val="24"/>
                <w:highlight w:val="none"/>
              </w:rPr>
              <w:t>一起经市政污水管网排入苏州高铁苏水水务有限公司（苏州高铁新城污水厂）处理；厂区噪声均可达标排放；固废均得到合理处置；对周围环境的影响可接受，不会改变项目所在地的环境质量现状，满足环境质量底线要求。</w:t>
            </w:r>
          </w:p>
          <w:p w14:paraId="242DAA93">
            <w:pPr>
              <w:autoSpaceDE w:val="0"/>
              <w:autoSpaceDN w:val="0"/>
              <w:adjustRightInd w:val="0"/>
              <w:snapToGrid w:val="0"/>
              <w:spacing w:line="360" w:lineRule="auto"/>
              <w:jc w:val="left"/>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4</w:t>
            </w:r>
            <w:r>
              <w:rPr>
                <w:rFonts w:hint="default" w:ascii="Times New Roman" w:hAnsi="Times New Roman" w:eastAsia="宋体" w:cs="Times New Roman"/>
                <w:b/>
                <w:color w:val="auto"/>
                <w:kern w:val="0"/>
                <w:sz w:val="24"/>
                <w:szCs w:val="24"/>
                <w:highlight w:val="none"/>
              </w:rPr>
              <w:t xml:space="preserve">.3 </w:t>
            </w:r>
            <w:r>
              <w:rPr>
                <w:rFonts w:hint="eastAsia" w:ascii="宋体" w:hAnsi="宋体" w:eastAsia="宋体" w:cs="宋体"/>
                <w:b/>
                <w:color w:val="auto"/>
                <w:kern w:val="0"/>
                <w:sz w:val="24"/>
                <w:szCs w:val="24"/>
                <w:highlight w:val="none"/>
              </w:rPr>
              <w:t xml:space="preserve"> </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资源利用上线</w:t>
            </w:r>
            <w:r>
              <w:rPr>
                <w:rFonts w:hint="eastAsia" w:ascii="宋体" w:hAnsi="宋体" w:cs="宋体"/>
                <w:b/>
                <w:color w:val="auto"/>
                <w:kern w:val="0"/>
                <w:sz w:val="24"/>
                <w:szCs w:val="24"/>
                <w:highlight w:val="none"/>
                <w:lang w:eastAsia="zh-CN"/>
              </w:rPr>
              <w:t>”</w:t>
            </w:r>
            <w:r>
              <w:rPr>
                <w:rFonts w:hint="default" w:ascii="Times New Roman" w:hAnsi="Times New Roman" w:eastAsia="宋体" w:cs="Times New Roman"/>
                <w:b/>
                <w:color w:val="auto"/>
                <w:kern w:val="0"/>
                <w:sz w:val="24"/>
                <w:szCs w:val="24"/>
                <w:highlight w:val="none"/>
              </w:rPr>
              <w:t>符合性分析</w:t>
            </w:r>
          </w:p>
          <w:p w14:paraId="06F59D8E">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本项目运营过程中将消耗一定量的电源、水资源，项目资源消耗量相对区域资源利用总量较少，符合资源利用上线要求。</w:t>
            </w:r>
          </w:p>
          <w:p w14:paraId="17A9F408">
            <w:pPr>
              <w:autoSpaceDE w:val="0"/>
              <w:autoSpaceDN w:val="0"/>
              <w:adjustRightInd w:val="0"/>
              <w:snapToGrid w:val="0"/>
              <w:spacing w:line="360" w:lineRule="auto"/>
              <w:jc w:val="left"/>
              <w:rPr>
                <w:b/>
                <w:color w:val="auto"/>
                <w:kern w:val="0"/>
                <w:sz w:val="24"/>
                <w:szCs w:val="24"/>
                <w:highlight w:val="none"/>
              </w:rPr>
            </w:pPr>
            <w:r>
              <w:rPr>
                <w:rFonts w:hint="eastAsia"/>
                <w:b/>
                <w:color w:val="auto"/>
                <w:kern w:val="0"/>
                <w:sz w:val="24"/>
                <w:szCs w:val="24"/>
                <w:highlight w:val="none"/>
                <w:lang w:val="en-US" w:eastAsia="zh-CN"/>
              </w:rPr>
              <w:t>4</w:t>
            </w:r>
            <w:r>
              <w:rPr>
                <w:b/>
                <w:color w:val="auto"/>
                <w:kern w:val="0"/>
                <w:sz w:val="24"/>
                <w:szCs w:val="24"/>
                <w:highlight w:val="none"/>
              </w:rPr>
              <w:t xml:space="preserve">.4  </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负面清单</w:t>
            </w:r>
            <w:r>
              <w:rPr>
                <w:rFonts w:hint="eastAsia" w:ascii="宋体" w:hAnsi="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符</w:t>
            </w:r>
            <w:r>
              <w:rPr>
                <w:b/>
                <w:color w:val="auto"/>
                <w:kern w:val="0"/>
                <w:sz w:val="24"/>
                <w:szCs w:val="24"/>
                <w:highlight w:val="none"/>
              </w:rPr>
              <w:t>合性分析</w:t>
            </w:r>
          </w:p>
          <w:p w14:paraId="5D1CC27C">
            <w:pPr>
              <w:spacing w:line="360" w:lineRule="auto"/>
              <w:ind w:firstLine="482" w:firstLineChars="200"/>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1</w:t>
            </w:r>
            <w:r>
              <w:rPr>
                <w:rFonts w:hint="eastAsia"/>
                <w:b/>
                <w:color w:val="auto"/>
                <w:sz w:val="24"/>
                <w:szCs w:val="24"/>
                <w:highlight w:val="none"/>
              </w:rPr>
              <w:t>）与《市场准入负面清单（20</w:t>
            </w:r>
            <w:r>
              <w:rPr>
                <w:b/>
                <w:color w:val="auto"/>
                <w:sz w:val="24"/>
                <w:szCs w:val="24"/>
                <w:highlight w:val="none"/>
              </w:rPr>
              <w:t>2</w:t>
            </w:r>
            <w:r>
              <w:rPr>
                <w:rFonts w:hint="eastAsia"/>
                <w:b/>
                <w:color w:val="auto"/>
                <w:sz w:val="24"/>
                <w:szCs w:val="24"/>
                <w:highlight w:val="none"/>
                <w:lang w:val="en-US" w:eastAsia="zh-CN"/>
              </w:rPr>
              <w:t>5</w:t>
            </w:r>
            <w:r>
              <w:rPr>
                <w:rFonts w:hint="eastAsia"/>
                <w:b/>
                <w:color w:val="auto"/>
                <w:sz w:val="24"/>
                <w:szCs w:val="24"/>
                <w:highlight w:val="none"/>
              </w:rPr>
              <w:t>年版）》相符性分析</w:t>
            </w:r>
          </w:p>
          <w:p w14:paraId="335DEDC2">
            <w:pPr>
              <w:spacing w:line="360" w:lineRule="auto"/>
              <w:ind w:firstLine="480" w:firstLineChars="200"/>
              <w:rPr>
                <w:rFonts w:hint="eastAsia"/>
                <w:color w:val="auto"/>
                <w:sz w:val="24"/>
                <w:szCs w:val="24"/>
                <w:highlight w:val="none"/>
              </w:rPr>
            </w:pPr>
            <w:r>
              <w:rPr>
                <w:rFonts w:hint="eastAsia"/>
                <w:color w:val="auto"/>
                <w:sz w:val="24"/>
                <w:szCs w:val="24"/>
                <w:highlight w:val="none"/>
              </w:rPr>
              <w:t>本项目为C3670汽车零部件及配件制造，对照《市场准入负面清单（20</w:t>
            </w:r>
            <w:r>
              <w:rPr>
                <w:color w:val="auto"/>
                <w:sz w:val="24"/>
                <w:szCs w:val="24"/>
                <w:highlight w:val="none"/>
              </w:rPr>
              <w:t>2</w:t>
            </w:r>
            <w:r>
              <w:rPr>
                <w:rFonts w:hint="eastAsia"/>
                <w:color w:val="auto"/>
                <w:sz w:val="24"/>
                <w:szCs w:val="24"/>
                <w:highlight w:val="none"/>
                <w:lang w:val="en-US" w:eastAsia="zh-CN"/>
              </w:rPr>
              <w:t>5</w:t>
            </w:r>
            <w:r>
              <w:rPr>
                <w:rFonts w:hint="eastAsia"/>
                <w:color w:val="auto"/>
                <w:sz w:val="24"/>
                <w:szCs w:val="24"/>
                <w:highlight w:val="none"/>
              </w:rPr>
              <w:t>年版）》，不属于禁止准入、许可准入事项，符合《市场准入负面清单（20</w:t>
            </w:r>
            <w:r>
              <w:rPr>
                <w:color w:val="auto"/>
                <w:sz w:val="24"/>
                <w:szCs w:val="24"/>
                <w:highlight w:val="none"/>
              </w:rPr>
              <w:t>2</w:t>
            </w:r>
            <w:r>
              <w:rPr>
                <w:rFonts w:hint="eastAsia"/>
                <w:color w:val="auto"/>
                <w:sz w:val="24"/>
                <w:szCs w:val="24"/>
                <w:highlight w:val="none"/>
                <w:lang w:val="en-US" w:eastAsia="zh-CN"/>
              </w:rPr>
              <w:t>5</w:t>
            </w:r>
            <w:r>
              <w:rPr>
                <w:rFonts w:hint="eastAsia"/>
                <w:color w:val="auto"/>
                <w:sz w:val="24"/>
                <w:szCs w:val="24"/>
                <w:highlight w:val="none"/>
              </w:rPr>
              <w:t>年版）》相关要求。</w:t>
            </w:r>
          </w:p>
          <w:p w14:paraId="3576F5BB">
            <w:pPr>
              <w:spacing w:line="360" w:lineRule="auto"/>
              <w:ind w:firstLine="482" w:firstLineChars="200"/>
              <w:rPr>
                <w:b/>
                <w:color w:val="auto"/>
                <w:sz w:val="24"/>
                <w:szCs w:val="24"/>
                <w:highlight w:val="none"/>
              </w:rPr>
            </w:pPr>
            <w:r>
              <w:rPr>
                <w:rFonts w:hint="eastAsia"/>
                <w:b/>
                <w:color w:val="auto"/>
                <w:sz w:val="24"/>
                <w:szCs w:val="24"/>
                <w:highlight w:val="none"/>
              </w:rPr>
              <w:t>（</w:t>
            </w:r>
            <w:r>
              <w:rPr>
                <w:rFonts w:hint="eastAsia"/>
                <w:b/>
                <w:color w:val="auto"/>
                <w:sz w:val="24"/>
                <w:szCs w:val="24"/>
                <w:highlight w:val="none"/>
                <w:lang w:val="en-US" w:eastAsia="zh-CN"/>
              </w:rPr>
              <w:t>2</w:t>
            </w:r>
            <w:r>
              <w:rPr>
                <w:rFonts w:hint="eastAsia"/>
                <w:b/>
                <w:color w:val="auto"/>
                <w:sz w:val="24"/>
                <w:szCs w:val="24"/>
                <w:highlight w:val="none"/>
              </w:rPr>
              <w:t>）与《＜长江经济带发展负面清单指南</w:t>
            </w:r>
            <w:r>
              <w:rPr>
                <w:rFonts w:hint="eastAsia"/>
                <w:b/>
                <w:color w:val="auto"/>
                <w:sz w:val="24"/>
                <w:szCs w:val="24"/>
                <w:highlight w:val="none"/>
                <w:lang w:eastAsia="zh-CN"/>
              </w:rPr>
              <w:t>（</w:t>
            </w:r>
            <w:r>
              <w:rPr>
                <w:rFonts w:hint="eastAsia"/>
                <w:b/>
                <w:color w:val="auto"/>
                <w:sz w:val="24"/>
                <w:szCs w:val="24"/>
                <w:highlight w:val="none"/>
              </w:rPr>
              <w:t>试行，2022年版</w:t>
            </w:r>
            <w:r>
              <w:rPr>
                <w:rFonts w:hint="eastAsia"/>
                <w:b/>
                <w:color w:val="auto"/>
                <w:sz w:val="24"/>
                <w:szCs w:val="24"/>
                <w:highlight w:val="none"/>
                <w:lang w:eastAsia="zh-CN"/>
              </w:rPr>
              <w:t>）</w:t>
            </w:r>
            <w:r>
              <w:rPr>
                <w:rFonts w:hint="eastAsia"/>
                <w:b/>
                <w:color w:val="auto"/>
                <w:sz w:val="24"/>
                <w:szCs w:val="24"/>
                <w:highlight w:val="none"/>
              </w:rPr>
              <w:t>＞江苏省实施细则》（苏长江办发</w:t>
            </w:r>
            <w:r>
              <w:rPr>
                <w:rFonts w:hint="eastAsia"/>
                <w:b/>
                <w:color w:val="auto"/>
                <w:sz w:val="24"/>
                <w:szCs w:val="24"/>
                <w:highlight w:val="none"/>
                <w:lang w:eastAsia="zh-CN"/>
              </w:rPr>
              <w:t>〔2022〕55号</w:t>
            </w:r>
            <w:r>
              <w:rPr>
                <w:rFonts w:hint="eastAsia"/>
                <w:b/>
                <w:color w:val="auto"/>
                <w:sz w:val="24"/>
                <w:szCs w:val="24"/>
                <w:highlight w:val="none"/>
              </w:rPr>
              <w:t>）相符性分析</w:t>
            </w:r>
          </w:p>
          <w:p w14:paraId="2FBDE100">
            <w:pPr>
              <w:numPr>
                <w:ilvl w:val="0"/>
                <w:numId w:val="0"/>
              </w:numPr>
              <w:tabs>
                <w:tab w:val="left" w:pos="0"/>
              </w:tabs>
              <w:adjustRightInd w:val="0"/>
              <w:snapToGrid w:val="0"/>
              <w:ind w:left="0" w:leftChars="0" w:firstLine="0" w:firstLineChars="0"/>
              <w:jc w:val="center"/>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 xml:space="preserve">表1-4 </w:t>
            </w: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sz w:val="24"/>
                <w:szCs w:val="24"/>
                <w:highlight w:val="none"/>
                <w:lang w:val="en-US" w:eastAsia="zh-CN"/>
              </w:rPr>
              <w:t>项目与《＜长江经济带发展负面清单指南（试行，2022年版）＞江苏省实施细则》（苏长江办发〔2022〕55号）相符性分析</w:t>
            </w:r>
          </w:p>
          <w:tbl>
            <w:tblPr>
              <w:tblStyle w:val="20"/>
              <w:tblW w:w="90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5664"/>
              <w:gridCol w:w="1985"/>
              <w:gridCol w:w="935"/>
            </w:tblGrid>
            <w:tr w14:paraId="1F6B0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6104" w:type="dxa"/>
                  <w:gridSpan w:val="2"/>
                  <w:tcBorders>
                    <w:tl2br w:val="nil"/>
                    <w:tr2bl w:val="nil"/>
                  </w:tcBorders>
                  <w:vAlign w:val="center"/>
                </w:tcPr>
                <w:p w14:paraId="226D7D37">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相关内容</w:t>
                  </w:r>
                </w:p>
              </w:tc>
              <w:tc>
                <w:tcPr>
                  <w:tcW w:w="1985" w:type="dxa"/>
                  <w:tcBorders>
                    <w:tl2br w:val="nil"/>
                    <w:tr2bl w:val="nil"/>
                  </w:tcBorders>
                  <w:vAlign w:val="center"/>
                </w:tcPr>
                <w:p w14:paraId="5D697401">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本项目情况</w:t>
                  </w:r>
                </w:p>
              </w:tc>
              <w:tc>
                <w:tcPr>
                  <w:tcW w:w="935" w:type="dxa"/>
                  <w:tcBorders>
                    <w:tl2br w:val="nil"/>
                    <w:tr2bl w:val="nil"/>
                  </w:tcBorders>
                  <w:vAlign w:val="center"/>
                </w:tcPr>
                <w:p w14:paraId="31944014">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相符性分析</w:t>
                  </w:r>
                </w:p>
              </w:tc>
            </w:tr>
            <w:tr w14:paraId="79E00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restart"/>
                  <w:tcBorders>
                    <w:tl2br w:val="nil"/>
                    <w:tr2bl w:val="nil"/>
                  </w:tcBorders>
                  <w:vAlign w:val="center"/>
                </w:tcPr>
                <w:p w14:paraId="66FD3D0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河段利用与岸线开发</w:t>
                  </w:r>
                </w:p>
              </w:tc>
              <w:tc>
                <w:tcPr>
                  <w:tcW w:w="5664" w:type="dxa"/>
                  <w:tcBorders>
                    <w:tl2br w:val="nil"/>
                    <w:tr2bl w:val="nil"/>
                  </w:tcBorders>
                  <w:vAlign w:val="center"/>
                </w:tcPr>
                <w:p w14:paraId="1C1B1C0C">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985" w:type="dxa"/>
                  <w:tcBorders>
                    <w:tl2br w:val="nil"/>
                    <w:tr2bl w:val="nil"/>
                  </w:tcBorders>
                  <w:vAlign w:val="center"/>
                </w:tcPr>
                <w:p w14:paraId="570FBE6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本项目不属于港口、码头项目及过长江通道项目</w:t>
                  </w:r>
                </w:p>
              </w:tc>
              <w:tc>
                <w:tcPr>
                  <w:tcW w:w="935" w:type="dxa"/>
                  <w:tcBorders>
                    <w:tl2br w:val="nil"/>
                    <w:tr2bl w:val="nil"/>
                  </w:tcBorders>
                  <w:vAlign w:val="center"/>
                </w:tcPr>
                <w:p w14:paraId="1208E25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3C6FD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230A7911">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63D355E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985" w:type="dxa"/>
                  <w:tcBorders>
                    <w:tl2br w:val="nil"/>
                    <w:tr2bl w:val="nil"/>
                  </w:tcBorders>
                  <w:vAlign w:val="center"/>
                </w:tcPr>
                <w:p w14:paraId="3D9402E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本项目所在地无自然保护区和风景名胜区</w:t>
                  </w:r>
                </w:p>
              </w:tc>
              <w:tc>
                <w:tcPr>
                  <w:tcW w:w="935" w:type="dxa"/>
                  <w:tcBorders>
                    <w:tl2br w:val="nil"/>
                    <w:tr2bl w:val="nil"/>
                  </w:tcBorders>
                  <w:vAlign w:val="center"/>
                </w:tcPr>
                <w:p w14:paraId="7240D67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32795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294703E0">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246C621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985" w:type="dxa"/>
                  <w:tcBorders>
                    <w:tl2br w:val="nil"/>
                    <w:tr2bl w:val="nil"/>
                  </w:tcBorders>
                  <w:vAlign w:val="center"/>
                </w:tcPr>
                <w:p w14:paraId="6CFB212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本项目所在地不属于饮用水水源一级保护区、二级保护区和准保护区</w:t>
                  </w:r>
                </w:p>
              </w:tc>
              <w:tc>
                <w:tcPr>
                  <w:tcW w:w="935" w:type="dxa"/>
                  <w:tcBorders>
                    <w:tl2br w:val="nil"/>
                    <w:tr2bl w:val="nil"/>
                  </w:tcBorders>
                  <w:vAlign w:val="center"/>
                </w:tcPr>
                <w:p w14:paraId="7932F1F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1C6A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7425D560">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6A77A6E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985" w:type="dxa"/>
                  <w:tcBorders>
                    <w:tl2br w:val="nil"/>
                    <w:tr2bl w:val="nil"/>
                  </w:tcBorders>
                  <w:vAlign w:val="center"/>
                </w:tcPr>
                <w:p w14:paraId="0B4BD76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本项目所在地不在水产种质资源保护区的岸线和河段范围内，不在国家湿地公园的岸线和河段范围内</w:t>
                  </w:r>
                </w:p>
              </w:tc>
              <w:tc>
                <w:tcPr>
                  <w:tcW w:w="935" w:type="dxa"/>
                  <w:tcBorders>
                    <w:tl2br w:val="nil"/>
                    <w:tr2bl w:val="nil"/>
                  </w:tcBorders>
                  <w:vAlign w:val="center"/>
                </w:tcPr>
                <w:p w14:paraId="77931CD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1F58F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1CB0CCF8">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45B40F8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985" w:type="dxa"/>
                  <w:tcBorders>
                    <w:tl2br w:val="nil"/>
                    <w:tr2bl w:val="nil"/>
                  </w:tcBorders>
                  <w:vAlign w:val="center"/>
                </w:tcPr>
                <w:p w14:paraId="27C461D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本项目所在地不属于划定的岸线保护区和保留区，不属于划定的河段保护区、保留区</w:t>
                  </w:r>
                </w:p>
              </w:tc>
              <w:tc>
                <w:tcPr>
                  <w:tcW w:w="935" w:type="dxa"/>
                  <w:tcBorders>
                    <w:tl2br w:val="nil"/>
                    <w:tr2bl w:val="nil"/>
                  </w:tcBorders>
                  <w:vAlign w:val="center"/>
                </w:tcPr>
                <w:p w14:paraId="33E97C7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2E2E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33034C03">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2087CCC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禁止未经许可在长江干支流及湖泊新设、改设或扩大排污口</w:t>
                  </w:r>
                </w:p>
              </w:tc>
              <w:tc>
                <w:tcPr>
                  <w:tcW w:w="1985" w:type="dxa"/>
                  <w:tcBorders>
                    <w:tl2br w:val="nil"/>
                    <w:tr2bl w:val="nil"/>
                  </w:tcBorders>
                  <w:vAlign w:val="center"/>
                </w:tcPr>
                <w:p w14:paraId="14C6F4C3">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本项目电泳线、喷粉线前处理产生的生产废水和地面清洗废水经厂区污水处理装置处理达标后与</w:t>
                  </w:r>
                  <w:r>
                    <w:rPr>
                      <w:rFonts w:hint="eastAsia" w:eastAsia="仿宋" w:cs="Times New Roman"/>
                      <w:color w:val="auto"/>
                      <w:sz w:val="21"/>
                      <w:szCs w:val="21"/>
                      <w:highlight w:val="none"/>
                      <w:lang w:val="en-US" w:eastAsia="zh-CN"/>
                    </w:rPr>
                    <w:t>纯水制备浓水</w:t>
                  </w:r>
                  <w:r>
                    <w:rPr>
                      <w:rFonts w:hint="default" w:ascii="Times New Roman" w:hAnsi="Times New Roman" w:eastAsia="仿宋" w:cs="Times New Roman"/>
                      <w:color w:val="auto"/>
                      <w:sz w:val="21"/>
                      <w:szCs w:val="21"/>
                      <w:highlight w:val="none"/>
                    </w:rPr>
                    <w:t>一起经市政污水管网排入苏州高铁苏水水务有限公司（苏州高铁新城污水厂）处理</w:t>
                  </w:r>
                </w:p>
              </w:tc>
              <w:tc>
                <w:tcPr>
                  <w:tcW w:w="935" w:type="dxa"/>
                  <w:tcBorders>
                    <w:tl2br w:val="nil"/>
                    <w:tr2bl w:val="nil"/>
                  </w:tcBorders>
                  <w:vAlign w:val="center"/>
                </w:tcPr>
                <w:p w14:paraId="2FA89ED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17A5D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restart"/>
                  <w:tcBorders>
                    <w:tl2br w:val="nil"/>
                    <w:tr2bl w:val="nil"/>
                  </w:tcBorders>
                  <w:vAlign w:val="center"/>
                </w:tcPr>
                <w:p w14:paraId="0684E84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区域活动</w:t>
                  </w:r>
                </w:p>
              </w:tc>
              <w:tc>
                <w:tcPr>
                  <w:tcW w:w="5664" w:type="dxa"/>
                  <w:tcBorders>
                    <w:tl2br w:val="nil"/>
                    <w:tr2bl w:val="nil"/>
                  </w:tcBorders>
                  <w:vAlign w:val="center"/>
                </w:tcPr>
                <w:p w14:paraId="33CF1C9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禁止长江干流、长江口、34个列入《率先全面禁捕的长江流域水生生物保护区名录》的水生生物保护区以及省规定的</w:t>
                  </w:r>
                  <w:r>
                    <w:rPr>
                      <w:rFonts w:hint="default" w:ascii="Times New Roman" w:hAnsi="Times New Roman" w:eastAsia="仿宋" w:cs="Times New Roman"/>
                      <w:color w:val="auto"/>
                      <w:sz w:val="21"/>
                      <w:szCs w:val="21"/>
                      <w:highlight w:val="none"/>
                      <w:lang w:eastAsia="zh-CN"/>
                    </w:rPr>
                    <w:t>其他</w:t>
                  </w:r>
                  <w:r>
                    <w:rPr>
                      <w:rFonts w:hint="default" w:ascii="Times New Roman" w:hAnsi="Times New Roman" w:eastAsia="仿宋" w:cs="Times New Roman"/>
                      <w:color w:val="auto"/>
                      <w:sz w:val="21"/>
                      <w:szCs w:val="21"/>
                      <w:highlight w:val="none"/>
                    </w:rPr>
                    <w:t>禁渔水域开展生产性捕捞</w:t>
                  </w:r>
                </w:p>
              </w:tc>
              <w:tc>
                <w:tcPr>
                  <w:tcW w:w="1985" w:type="dxa"/>
                  <w:tcBorders>
                    <w:tl2br w:val="nil"/>
                    <w:tr2bl w:val="nil"/>
                  </w:tcBorders>
                  <w:vAlign w:val="center"/>
                </w:tcPr>
                <w:p w14:paraId="2B88CD4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本项目属于工业生产项目，不涉及捕捞性生产活动</w:t>
                  </w:r>
                </w:p>
              </w:tc>
              <w:tc>
                <w:tcPr>
                  <w:tcW w:w="935" w:type="dxa"/>
                  <w:tcBorders>
                    <w:tl2br w:val="nil"/>
                    <w:tr2bl w:val="nil"/>
                  </w:tcBorders>
                  <w:vAlign w:val="center"/>
                </w:tcPr>
                <w:p w14:paraId="3A3829BC">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31FA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8" w:hRule="atLeast"/>
                <w:jc w:val="center"/>
              </w:trPr>
              <w:tc>
                <w:tcPr>
                  <w:tcW w:w="440" w:type="dxa"/>
                  <w:vMerge w:val="continue"/>
                  <w:tcBorders>
                    <w:tl2br w:val="nil"/>
                    <w:tr2bl w:val="nil"/>
                  </w:tcBorders>
                  <w:vAlign w:val="center"/>
                </w:tcPr>
                <w:p w14:paraId="514EE580">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5AC7470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禁止在距离长江干支流岸线一公里范围内新建、扩建化工园区和化工项目。长江干支流一公里按照长江干支流岸线边界（即水利部门河道管理范围边界）向陆域纵深一公里执行</w:t>
                  </w:r>
                </w:p>
              </w:tc>
              <w:tc>
                <w:tcPr>
                  <w:tcW w:w="1985" w:type="dxa"/>
                  <w:tcBorders>
                    <w:tl2br w:val="nil"/>
                    <w:tr2bl w:val="nil"/>
                  </w:tcBorders>
                  <w:vAlign w:val="center"/>
                </w:tcPr>
                <w:p w14:paraId="29FD989D">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w:t>
                  </w:r>
                  <w:r>
                    <w:rPr>
                      <w:rFonts w:hint="eastAsia" w:eastAsia="仿宋" w:cs="Times New Roman"/>
                      <w:color w:val="auto"/>
                      <w:sz w:val="21"/>
                      <w:szCs w:val="21"/>
                      <w:highlight w:val="none"/>
                      <w:lang w:val="en-US" w:eastAsia="zh-CN"/>
                    </w:rPr>
                    <w:t>为C3670汽车零部件及配件制造</w:t>
                  </w:r>
                  <w:r>
                    <w:rPr>
                      <w:rFonts w:hint="default" w:ascii="Times New Roman" w:hAnsi="Times New Roman" w:eastAsia="仿宋" w:cs="Times New Roman"/>
                      <w:color w:val="auto"/>
                      <w:sz w:val="21"/>
                      <w:szCs w:val="21"/>
                      <w:highlight w:val="none"/>
                      <w:lang w:val="en-US" w:eastAsia="zh-CN"/>
                    </w:rPr>
                    <w:t>，不属于化工项目，且本项目不在</w:t>
                  </w:r>
                  <w:r>
                    <w:rPr>
                      <w:rFonts w:hint="default" w:ascii="Times New Roman" w:hAnsi="Times New Roman" w:eastAsia="仿宋" w:cs="Times New Roman"/>
                      <w:color w:val="auto"/>
                      <w:sz w:val="21"/>
                      <w:szCs w:val="21"/>
                      <w:highlight w:val="none"/>
                    </w:rPr>
                    <w:t>长江干支流岸线一公里范围</w:t>
                  </w:r>
                </w:p>
              </w:tc>
              <w:tc>
                <w:tcPr>
                  <w:tcW w:w="935" w:type="dxa"/>
                  <w:tcBorders>
                    <w:tl2br w:val="nil"/>
                    <w:tr2bl w:val="nil"/>
                  </w:tcBorders>
                  <w:vAlign w:val="center"/>
                </w:tcPr>
                <w:p w14:paraId="00D47F2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C46C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20661441">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0723CDF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禁止在长江干流岸线三公里范围内新建、改建、扩建尾矿库、冶炼渣库和磷石膏库，以提升安全、生态环境保护水平为目的的改建除外</w:t>
                  </w:r>
                </w:p>
              </w:tc>
              <w:tc>
                <w:tcPr>
                  <w:tcW w:w="1985" w:type="dxa"/>
                  <w:tcBorders>
                    <w:tl2br w:val="nil"/>
                    <w:tr2bl w:val="nil"/>
                  </w:tcBorders>
                  <w:vAlign w:val="center"/>
                </w:tcPr>
                <w:p w14:paraId="03A15A18">
                  <w:pPr>
                    <w:pStyle w:val="31"/>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本项目</w:t>
                  </w:r>
                  <w:r>
                    <w:rPr>
                      <w:rFonts w:hint="eastAsia" w:eastAsia="仿宋" w:cs="Times New Roman"/>
                      <w:color w:val="auto"/>
                      <w:sz w:val="21"/>
                      <w:szCs w:val="21"/>
                      <w:highlight w:val="none"/>
                      <w:lang w:val="en-US" w:eastAsia="zh-CN"/>
                    </w:rPr>
                    <w:t>C3670汽车零部件及配件制造</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rPr>
                    <w:t>不属于尾矿库、冶炼渣库和磷石膏库等禁止类项目</w:t>
                  </w:r>
                </w:p>
              </w:tc>
              <w:tc>
                <w:tcPr>
                  <w:tcW w:w="935" w:type="dxa"/>
                  <w:tcBorders>
                    <w:tl2br w:val="nil"/>
                    <w:tr2bl w:val="nil"/>
                  </w:tcBorders>
                  <w:vAlign w:val="center"/>
                </w:tcPr>
                <w:p w14:paraId="600A0AA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6106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414EB5FB">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03A8445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禁止在太湖流域一、二、三级保护区内开展《江苏省太湖水污染防治条例》禁止的投资建设活动</w:t>
                  </w:r>
                </w:p>
              </w:tc>
              <w:tc>
                <w:tcPr>
                  <w:tcW w:w="1985" w:type="dxa"/>
                  <w:tcBorders>
                    <w:tl2br w:val="nil"/>
                    <w:tr2bl w:val="nil"/>
                  </w:tcBorders>
                  <w:vAlign w:val="center"/>
                </w:tcPr>
                <w:p w14:paraId="69517AA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本项目不属于《江苏省太湖水污染防治条例》禁止建设的项目</w:t>
                  </w:r>
                </w:p>
              </w:tc>
              <w:tc>
                <w:tcPr>
                  <w:tcW w:w="935" w:type="dxa"/>
                  <w:tcBorders>
                    <w:tl2br w:val="nil"/>
                    <w:tr2bl w:val="nil"/>
                  </w:tcBorders>
                  <w:vAlign w:val="center"/>
                </w:tcPr>
                <w:p w14:paraId="75DACDA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9B44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1DFE6E1D">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44D3173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禁止在沿江地区新建、扩建未纳入国家和省布局规划的燃煤发电项目</w:t>
                  </w:r>
                </w:p>
              </w:tc>
              <w:tc>
                <w:tcPr>
                  <w:tcW w:w="1985" w:type="dxa"/>
                  <w:tcBorders>
                    <w:tl2br w:val="nil"/>
                    <w:tr2bl w:val="nil"/>
                  </w:tcBorders>
                  <w:vAlign w:val="center"/>
                </w:tcPr>
                <w:p w14:paraId="712E7A2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本项目不属于燃煤发电项目</w:t>
                  </w:r>
                </w:p>
              </w:tc>
              <w:tc>
                <w:tcPr>
                  <w:tcW w:w="935" w:type="dxa"/>
                  <w:tcBorders>
                    <w:tl2br w:val="nil"/>
                    <w:tr2bl w:val="nil"/>
                  </w:tcBorders>
                  <w:vAlign w:val="center"/>
                </w:tcPr>
                <w:p w14:paraId="1F11674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45C73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14163D93">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3444FC7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禁止在合规园区外新建、扩建钢铁、石化、化工、焦化、建材、有色、制浆造纸等高污染项目。合规园区名录按照《〈长江经济带发展负面清单指南（试行，2022年版）〉江苏省实施细则合规园区名录》执行</w:t>
                  </w:r>
                </w:p>
              </w:tc>
              <w:tc>
                <w:tcPr>
                  <w:tcW w:w="1985" w:type="dxa"/>
                  <w:tcBorders>
                    <w:tl2br w:val="nil"/>
                    <w:tr2bl w:val="nil"/>
                  </w:tcBorders>
                  <w:vAlign w:val="center"/>
                </w:tcPr>
                <w:p w14:paraId="5595D5F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本项目不属于钢铁、石化、化工、焦化、建材、有色、制浆造纸等高污染项目</w:t>
                  </w:r>
                </w:p>
              </w:tc>
              <w:tc>
                <w:tcPr>
                  <w:tcW w:w="935" w:type="dxa"/>
                  <w:tcBorders>
                    <w:tl2br w:val="nil"/>
                    <w:tr2bl w:val="nil"/>
                  </w:tcBorders>
                  <w:vAlign w:val="center"/>
                </w:tcPr>
                <w:p w14:paraId="703F41A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1CE35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06F5D16C">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1F6FE19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禁止在取消化工定位的园区（集中区）内新建化工项目</w:t>
                  </w:r>
                </w:p>
              </w:tc>
              <w:tc>
                <w:tcPr>
                  <w:tcW w:w="1985" w:type="dxa"/>
                  <w:tcBorders>
                    <w:tl2br w:val="nil"/>
                    <w:tr2bl w:val="nil"/>
                  </w:tcBorders>
                  <w:vAlign w:val="center"/>
                </w:tcPr>
                <w:p w14:paraId="222F4BE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本项目不属于化工项目</w:t>
                  </w:r>
                </w:p>
              </w:tc>
              <w:tc>
                <w:tcPr>
                  <w:tcW w:w="935" w:type="dxa"/>
                  <w:tcBorders>
                    <w:tl2br w:val="nil"/>
                    <w:tr2bl w:val="nil"/>
                  </w:tcBorders>
                  <w:vAlign w:val="center"/>
                </w:tcPr>
                <w:p w14:paraId="0B7EDCA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099E7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59182D79">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0F955F2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禁止在化工企业周边建设不符合安全距离规定的劳动密集型的非化工项目和其他人员密集的公共设施项目</w:t>
                  </w:r>
                </w:p>
              </w:tc>
              <w:tc>
                <w:tcPr>
                  <w:tcW w:w="1985" w:type="dxa"/>
                  <w:tcBorders>
                    <w:tl2br w:val="nil"/>
                    <w:tr2bl w:val="nil"/>
                  </w:tcBorders>
                  <w:vAlign w:val="center"/>
                </w:tcPr>
                <w:p w14:paraId="706F95E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本项目周围无化工企业</w:t>
                  </w:r>
                </w:p>
              </w:tc>
              <w:tc>
                <w:tcPr>
                  <w:tcW w:w="935" w:type="dxa"/>
                  <w:tcBorders>
                    <w:tl2br w:val="nil"/>
                    <w:tr2bl w:val="nil"/>
                  </w:tcBorders>
                  <w:vAlign w:val="center"/>
                </w:tcPr>
                <w:p w14:paraId="03D7D1F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53E75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restart"/>
                  <w:tcBorders>
                    <w:tl2br w:val="nil"/>
                    <w:tr2bl w:val="nil"/>
                  </w:tcBorders>
                  <w:vAlign w:val="center"/>
                </w:tcPr>
                <w:p w14:paraId="2093960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产业发展</w:t>
                  </w:r>
                </w:p>
              </w:tc>
              <w:tc>
                <w:tcPr>
                  <w:tcW w:w="5664" w:type="dxa"/>
                  <w:tcBorders>
                    <w:tl2br w:val="nil"/>
                    <w:tr2bl w:val="nil"/>
                  </w:tcBorders>
                  <w:vAlign w:val="center"/>
                </w:tcPr>
                <w:p w14:paraId="58EFC0D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禁止新建、扩建不符合国家和省产业政策的尿素、磷铵、电石、烧碱、聚氯乙烯、纯碱等行业新增产能项目</w:t>
                  </w:r>
                </w:p>
              </w:tc>
              <w:tc>
                <w:tcPr>
                  <w:tcW w:w="1985" w:type="dxa"/>
                  <w:tcBorders>
                    <w:tl2br w:val="nil"/>
                    <w:tr2bl w:val="nil"/>
                  </w:tcBorders>
                  <w:vAlign w:val="center"/>
                </w:tcPr>
                <w:p w14:paraId="00C5F5B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本项目不属于尿素、磷铵、电石、烧碱、聚氯乙烯、纯碱等建设项目</w:t>
                  </w:r>
                </w:p>
              </w:tc>
              <w:tc>
                <w:tcPr>
                  <w:tcW w:w="935" w:type="dxa"/>
                  <w:tcBorders>
                    <w:tl2br w:val="nil"/>
                    <w:tr2bl w:val="nil"/>
                  </w:tcBorders>
                  <w:vAlign w:val="center"/>
                </w:tcPr>
                <w:p w14:paraId="456F24E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1906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6DB6E182">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1BF62A7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禁止新建、改建、扩建高毒、高残留以及对环境影响大的农药原药</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化学合成类</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项目，禁止新建、扩建不符合国家和省产业政策的农药、医药和染料中间体化工项目</w:t>
                  </w:r>
                </w:p>
              </w:tc>
              <w:tc>
                <w:tcPr>
                  <w:tcW w:w="1985" w:type="dxa"/>
                  <w:tcBorders>
                    <w:tl2br w:val="nil"/>
                    <w:tr2bl w:val="nil"/>
                  </w:tcBorders>
                  <w:vAlign w:val="center"/>
                </w:tcPr>
                <w:p w14:paraId="4DC8FDC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本项目不属于农药、医药和染料中间体化工项目</w:t>
                  </w:r>
                </w:p>
              </w:tc>
              <w:tc>
                <w:tcPr>
                  <w:tcW w:w="935" w:type="dxa"/>
                  <w:tcBorders>
                    <w:tl2br w:val="nil"/>
                    <w:tr2bl w:val="nil"/>
                  </w:tcBorders>
                  <w:vAlign w:val="center"/>
                </w:tcPr>
                <w:p w14:paraId="32BC017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51E86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4C3C7812">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46D735C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禁止新建、扩建不符合国家石化、现代煤化工等产业布局规划的项目，禁止新建独立焦化项目</w:t>
                  </w:r>
                </w:p>
              </w:tc>
              <w:tc>
                <w:tcPr>
                  <w:tcW w:w="1985" w:type="dxa"/>
                  <w:tcBorders>
                    <w:tl2br w:val="nil"/>
                    <w:tr2bl w:val="nil"/>
                  </w:tcBorders>
                  <w:vAlign w:val="center"/>
                </w:tcPr>
                <w:p w14:paraId="493650E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本项目不属于石化、现代煤化工、独立焦化项目</w:t>
                  </w:r>
                </w:p>
              </w:tc>
              <w:tc>
                <w:tcPr>
                  <w:tcW w:w="935" w:type="dxa"/>
                  <w:tcBorders>
                    <w:tl2br w:val="nil"/>
                    <w:tr2bl w:val="nil"/>
                  </w:tcBorders>
                  <w:vAlign w:val="center"/>
                </w:tcPr>
                <w:p w14:paraId="43CAB0A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7AF3B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5BFF367F">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68DA811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禁止新建</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985" w:type="dxa"/>
                  <w:tcBorders>
                    <w:tl2br w:val="nil"/>
                    <w:tr2bl w:val="nil"/>
                  </w:tcBorders>
                  <w:vAlign w:val="center"/>
                </w:tcPr>
                <w:p w14:paraId="2197898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本项目不属于现行法律</w:t>
                  </w:r>
                  <w:r>
                    <w:rPr>
                      <w:rFonts w:hint="default" w:ascii="Times New Roman" w:hAnsi="Times New Roman" w:eastAsia="仿宋" w:cs="Times New Roman"/>
                      <w:color w:val="auto"/>
                      <w:sz w:val="21"/>
                      <w:szCs w:val="21"/>
                      <w:highlight w:val="none"/>
                      <w:lang w:val="en-US" w:eastAsia="zh-CN"/>
                    </w:rPr>
                    <w:t>法规和相关政策</w:t>
                  </w:r>
                  <w:r>
                    <w:rPr>
                      <w:rFonts w:hint="default" w:ascii="Times New Roman" w:hAnsi="Times New Roman" w:eastAsia="仿宋" w:cs="Times New Roman"/>
                      <w:color w:val="auto"/>
                      <w:sz w:val="21"/>
                      <w:szCs w:val="21"/>
                      <w:highlight w:val="none"/>
                    </w:rPr>
                    <w:t>规定的限制类﹑淘汰类、禁止类项目</w:t>
                  </w:r>
                </w:p>
              </w:tc>
              <w:tc>
                <w:tcPr>
                  <w:tcW w:w="935" w:type="dxa"/>
                  <w:tcBorders>
                    <w:tl2br w:val="nil"/>
                    <w:tr2bl w:val="nil"/>
                  </w:tcBorders>
                  <w:vAlign w:val="center"/>
                </w:tcPr>
                <w:p w14:paraId="4D84CE8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1AAB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73E0FE55">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1989F33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禁止新建、扩建不符合国家产能置换要求的严重过剩产能行业的项目。禁止新建、扩建不符合要求的高耗能高排放项目</w:t>
                  </w:r>
                </w:p>
              </w:tc>
              <w:tc>
                <w:tcPr>
                  <w:tcW w:w="1985" w:type="dxa"/>
                  <w:tcBorders>
                    <w:tl2br w:val="nil"/>
                    <w:tr2bl w:val="nil"/>
                  </w:tcBorders>
                  <w:vAlign w:val="center"/>
                </w:tcPr>
                <w:p w14:paraId="5C43A9C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本项目不属于国家产能置换要求的严重过剩产能行业的项目，亦不属于高耗能高排放项目</w:t>
                  </w:r>
                </w:p>
              </w:tc>
              <w:tc>
                <w:tcPr>
                  <w:tcW w:w="935" w:type="dxa"/>
                  <w:tcBorders>
                    <w:tl2br w:val="nil"/>
                    <w:tr2bl w:val="nil"/>
                  </w:tcBorders>
                  <w:vAlign w:val="center"/>
                </w:tcPr>
                <w:p w14:paraId="2AD5A86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1A253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0" w:type="dxa"/>
                  <w:vMerge w:val="continue"/>
                  <w:tcBorders>
                    <w:tl2br w:val="nil"/>
                    <w:tr2bl w:val="nil"/>
                  </w:tcBorders>
                  <w:vAlign w:val="center"/>
                </w:tcPr>
                <w:p w14:paraId="6C783BD1">
                  <w:pPr>
                    <w:pStyle w:val="31"/>
                    <w:rPr>
                      <w:rFonts w:hint="default" w:ascii="Times New Roman" w:hAnsi="Times New Roman" w:eastAsia="仿宋" w:cs="Times New Roman"/>
                      <w:color w:val="auto"/>
                      <w:sz w:val="21"/>
                      <w:szCs w:val="21"/>
                      <w:highlight w:val="none"/>
                    </w:rPr>
                  </w:pPr>
                </w:p>
              </w:tc>
              <w:tc>
                <w:tcPr>
                  <w:tcW w:w="5664" w:type="dxa"/>
                  <w:tcBorders>
                    <w:tl2br w:val="nil"/>
                    <w:tr2bl w:val="nil"/>
                  </w:tcBorders>
                  <w:vAlign w:val="center"/>
                </w:tcPr>
                <w:p w14:paraId="5B9BAAA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法律法规及相关政策文件有更加严格规定的从其规定</w:t>
                  </w:r>
                </w:p>
              </w:tc>
              <w:tc>
                <w:tcPr>
                  <w:tcW w:w="1985" w:type="dxa"/>
                  <w:tcBorders>
                    <w:tl2br w:val="nil"/>
                    <w:tr2bl w:val="nil"/>
                  </w:tcBorders>
                  <w:vAlign w:val="center"/>
                </w:tcPr>
                <w:p w14:paraId="7DEE878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本项目遵守相应法律法规及相关政策文件的要求</w:t>
                  </w:r>
                </w:p>
              </w:tc>
              <w:tc>
                <w:tcPr>
                  <w:tcW w:w="935" w:type="dxa"/>
                  <w:tcBorders>
                    <w:tl2br w:val="nil"/>
                    <w:tr2bl w:val="nil"/>
                  </w:tcBorders>
                  <w:vAlign w:val="center"/>
                </w:tcPr>
                <w:p w14:paraId="42D2557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bl>
          <w:p w14:paraId="18303226">
            <w:pPr>
              <w:keepNext w:val="0"/>
              <w:keepLines w:val="0"/>
              <w:suppressLineNumbers w:val="0"/>
              <w:spacing w:before="0" w:beforeAutospacing="0" w:after="0" w:afterAutospacing="0" w:line="360" w:lineRule="auto"/>
              <w:ind w:left="0" w:right="0" w:firstLine="482" w:firstLineChars="200"/>
              <w:rPr>
                <w:rFonts w:hint="default"/>
                <w:b/>
                <w:bCs/>
                <w:color w:val="auto"/>
                <w:sz w:val="24"/>
                <w:szCs w:val="24"/>
                <w:highlight w:val="none"/>
                <w:shd w:val="clear" w:color="auto" w:fill="FFFFFF"/>
              </w:rPr>
            </w:pPr>
            <w:r>
              <w:rPr>
                <w:rFonts w:hint="eastAsia"/>
                <w:b/>
                <w:bCs/>
                <w:color w:val="auto"/>
                <w:sz w:val="24"/>
                <w:szCs w:val="24"/>
                <w:highlight w:val="none"/>
                <w:shd w:val="clear" w:color="auto" w:fill="FFFFFF"/>
                <w:lang w:eastAsia="zh-CN"/>
              </w:rPr>
              <w:t>（</w:t>
            </w:r>
            <w:r>
              <w:rPr>
                <w:rFonts w:hint="eastAsia"/>
                <w:b/>
                <w:bCs/>
                <w:color w:val="auto"/>
                <w:sz w:val="24"/>
                <w:szCs w:val="24"/>
                <w:highlight w:val="none"/>
                <w:shd w:val="clear" w:color="auto" w:fill="FFFFFF"/>
                <w:lang w:val="en-US" w:eastAsia="zh-CN"/>
              </w:rPr>
              <w:t>3</w:t>
            </w:r>
            <w:r>
              <w:rPr>
                <w:rFonts w:hint="eastAsia"/>
                <w:b/>
                <w:bCs/>
                <w:color w:val="auto"/>
                <w:sz w:val="24"/>
                <w:szCs w:val="24"/>
                <w:highlight w:val="none"/>
                <w:shd w:val="clear" w:color="auto" w:fill="FFFFFF"/>
                <w:lang w:eastAsia="zh-CN"/>
              </w:rPr>
              <w:t>）</w:t>
            </w:r>
            <w:r>
              <w:rPr>
                <w:rFonts w:hint="default"/>
                <w:b/>
                <w:bCs/>
                <w:color w:val="auto"/>
                <w:sz w:val="24"/>
                <w:szCs w:val="24"/>
                <w:highlight w:val="none"/>
                <w:shd w:val="clear" w:color="auto" w:fill="FFFFFF"/>
              </w:rPr>
              <w:t>与《江苏省</w:t>
            </w:r>
            <w:r>
              <w:rPr>
                <w:rFonts w:hint="eastAsia" w:ascii="宋体" w:hAnsi="宋体" w:cs="宋体"/>
                <w:b/>
                <w:bCs/>
                <w:color w:val="auto"/>
                <w:sz w:val="24"/>
                <w:szCs w:val="24"/>
                <w:highlight w:val="none"/>
                <w:shd w:val="clear" w:color="auto" w:fill="FFFFFF"/>
                <w:lang w:eastAsia="zh-CN"/>
              </w:rPr>
              <w:t>“</w:t>
            </w:r>
            <w:r>
              <w:rPr>
                <w:rFonts w:hint="eastAsia" w:ascii="宋体" w:hAnsi="宋体" w:eastAsia="宋体" w:cs="宋体"/>
                <w:b/>
                <w:bCs/>
                <w:color w:val="auto"/>
                <w:sz w:val="24"/>
                <w:szCs w:val="24"/>
                <w:highlight w:val="none"/>
                <w:shd w:val="clear" w:color="auto" w:fill="FFFFFF"/>
              </w:rPr>
              <w:t>三线一单</w:t>
            </w:r>
            <w:r>
              <w:rPr>
                <w:rFonts w:hint="eastAsia" w:ascii="宋体" w:hAnsi="宋体" w:cs="宋体"/>
                <w:b/>
                <w:bCs/>
                <w:color w:val="auto"/>
                <w:sz w:val="24"/>
                <w:szCs w:val="24"/>
                <w:highlight w:val="none"/>
                <w:shd w:val="clear" w:color="auto" w:fill="FFFFFF"/>
                <w:lang w:eastAsia="zh-CN"/>
              </w:rPr>
              <w:t>”</w:t>
            </w:r>
            <w:r>
              <w:rPr>
                <w:rFonts w:hint="default"/>
                <w:b/>
                <w:bCs/>
                <w:color w:val="auto"/>
                <w:sz w:val="24"/>
                <w:szCs w:val="24"/>
                <w:highlight w:val="none"/>
                <w:shd w:val="clear" w:color="auto" w:fill="FFFFFF"/>
              </w:rPr>
              <w:t>生态环境分区管控方案的通知》（苏政发</w:t>
            </w:r>
            <w:r>
              <w:rPr>
                <w:rFonts w:hint="eastAsia"/>
                <w:b/>
                <w:bCs/>
                <w:color w:val="auto"/>
                <w:sz w:val="24"/>
                <w:szCs w:val="24"/>
                <w:highlight w:val="none"/>
                <w:shd w:val="clear" w:color="auto" w:fill="FFFFFF"/>
                <w:lang w:eastAsia="zh-CN"/>
              </w:rPr>
              <w:t>〔2020〕49号</w:t>
            </w:r>
            <w:r>
              <w:rPr>
                <w:rFonts w:hint="default"/>
                <w:b/>
                <w:bCs/>
                <w:color w:val="auto"/>
                <w:sz w:val="24"/>
                <w:szCs w:val="24"/>
                <w:highlight w:val="none"/>
                <w:shd w:val="clear" w:color="auto" w:fill="FFFFFF"/>
              </w:rPr>
              <w:t>）、</w:t>
            </w:r>
            <w:r>
              <w:rPr>
                <w:rFonts w:hint="default"/>
                <w:b/>
                <w:bCs/>
                <w:color w:val="auto"/>
                <w:sz w:val="24"/>
                <w:szCs w:val="24"/>
                <w:highlight w:val="none"/>
                <w:shd w:val="clear" w:color="auto" w:fill="FFFFFF"/>
                <w:lang w:eastAsia="zh-CN"/>
              </w:rPr>
              <w:t>《</w:t>
            </w:r>
            <w:r>
              <w:rPr>
                <w:rFonts w:hint="default"/>
                <w:b/>
                <w:bCs/>
                <w:color w:val="auto"/>
                <w:sz w:val="24"/>
                <w:szCs w:val="24"/>
                <w:highlight w:val="none"/>
                <w:shd w:val="clear" w:color="auto" w:fill="FFFFFF"/>
                <w:lang w:val="en-US" w:eastAsia="zh-CN"/>
              </w:rPr>
              <w:t>江苏省2023年度生态环境分区管控动态更新成果公告</w:t>
            </w:r>
            <w:r>
              <w:rPr>
                <w:rFonts w:hint="default"/>
                <w:b/>
                <w:bCs/>
                <w:color w:val="auto"/>
                <w:sz w:val="24"/>
                <w:szCs w:val="24"/>
                <w:highlight w:val="none"/>
                <w:shd w:val="clear" w:color="auto" w:fill="FFFFFF"/>
                <w:lang w:eastAsia="zh-CN"/>
              </w:rPr>
              <w:t>》</w:t>
            </w:r>
            <w:r>
              <w:rPr>
                <w:rFonts w:hint="default"/>
                <w:b/>
                <w:bCs/>
                <w:color w:val="auto"/>
                <w:sz w:val="24"/>
                <w:szCs w:val="24"/>
                <w:highlight w:val="none"/>
                <w:shd w:val="clear" w:color="auto" w:fill="FFFFFF"/>
              </w:rPr>
              <w:t>相符性分析</w:t>
            </w:r>
          </w:p>
          <w:p w14:paraId="731C82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color w:val="auto"/>
                <w:kern w:val="0"/>
                <w:sz w:val="24"/>
                <w:szCs w:val="24"/>
                <w:highlight w:val="none"/>
              </w:rPr>
            </w:pPr>
            <w:r>
              <w:rPr>
                <w:rFonts w:hint="eastAsia"/>
                <w:color w:val="auto"/>
                <w:kern w:val="0"/>
                <w:sz w:val="24"/>
                <w:szCs w:val="24"/>
                <w:highlight w:val="none"/>
              </w:rPr>
              <w:t>本项目</w:t>
            </w:r>
            <w:r>
              <w:rPr>
                <w:rFonts w:hint="eastAsia" w:ascii="Times New Roman" w:hAnsi="Times New Roman" w:eastAsia="宋体" w:cs="Times New Roman"/>
                <w:color w:val="auto"/>
                <w:kern w:val="0"/>
                <w:sz w:val="24"/>
                <w:szCs w:val="24"/>
                <w:highlight w:val="none"/>
                <w:lang w:val="en-US" w:eastAsia="zh-CN"/>
              </w:rPr>
              <w:t>位于江苏省苏州市相城区元春路353号，属于太</w:t>
            </w:r>
            <w:r>
              <w:rPr>
                <w:rFonts w:hint="eastAsia"/>
                <w:color w:val="auto"/>
                <w:kern w:val="0"/>
                <w:sz w:val="24"/>
                <w:szCs w:val="24"/>
                <w:highlight w:val="none"/>
              </w:rPr>
              <w:t>湖流域与长江流域，为重点区域（流域），对照</w:t>
            </w:r>
            <w:r>
              <w:rPr>
                <w:rFonts w:hint="eastAsia"/>
                <w:color w:val="auto"/>
                <w:kern w:val="0"/>
                <w:sz w:val="24"/>
                <w:szCs w:val="24"/>
                <w:highlight w:val="none"/>
                <w:lang w:eastAsia="zh-CN"/>
              </w:rPr>
              <w:t>《</w:t>
            </w:r>
            <w:r>
              <w:rPr>
                <w:rFonts w:hint="eastAsia"/>
                <w:color w:val="auto"/>
                <w:kern w:val="0"/>
                <w:sz w:val="24"/>
                <w:szCs w:val="24"/>
                <w:highlight w:val="none"/>
                <w:lang w:val="en-US" w:eastAsia="zh-CN"/>
              </w:rPr>
              <w:t>江苏省2023年度生态环境分区管控动态更新成果公告</w:t>
            </w:r>
            <w:r>
              <w:rPr>
                <w:rFonts w:hint="eastAsia"/>
                <w:color w:val="auto"/>
                <w:kern w:val="0"/>
                <w:sz w:val="24"/>
                <w:szCs w:val="24"/>
                <w:highlight w:val="none"/>
                <w:lang w:eastAsia="zh-CN"/>
              </w:rPr>
              <w:t>》、</w:t>
            </w:r>
            <w:r>
              <w:rPr>
                <w:rFonts w:hint="eastAsia"/>
                <w:color w:val="auto"/>
                <w:kern w:val="0"/>
                <w:sz w:val="24"/>
                <w:szCs w:val="24"/>
                <w:highlight w:val="none"/>
              </w:rPr>
              <w:t>江苏省省域生态环境管控要求及江苏省重点区域（流域）生态环境分区管控要求，具体分析如下表。</w:t>
            </w:r>
          </w:p>
          <w:p w14:paraId="0F376FCB">
            <w:pPr>
              <w:numPr>
                <w:ilvl w:val="0"/>
                <w:numId w:val="0"/>
              </w:numPr>
              <w:tabs>
                <w:tab w:val="left" w:pos="0"/>
              </w:tabs>
              <w:adjustRightInd w:val="0"/>
              <w:snapToGrid w:val="0"/>
              <w:ind w:left="0" w:leftChars="0" w:firstLine="0" w:firstLine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 xml:space="preserve">表1-5 </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sz w:val="24"/>
                <w:szCs w:val="24"/>
                <w:highlight w:val="none"/>
                <w:lang w:val="en-US" w:eastAsia="zh-CN"/>
              </w:rPr>
              <w:t>项目与《江苏省省域生态环境管控要求》相符性分析</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726"/>
              <w:gridCol w:w="6290"/>
              <w:gridCol w:w="1472"/>
              <w:gridCol w:w="653"/>
            </w:tblGrid>
            <w:tr w14:paraId="269D4D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397" w:type="pct"/>
                  <w:tcBorders>
                    <w:tl2br w:val="nil"/>
                    <w:tr2bl w:val="nil"/>
                  </w:tcBorders>
                  <w:vAlign w:val="center"/>
                </w:tcPr>
                <w:p w14:paraId="0AE5ADF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管控类别</w:t>
                  </w:r>
                </w:p>
              </w:tc>
              <w:tc>
                <w:tcPr>
                  <w:tcW w:w="3439" w:type="pct"/>
                  <w:tcBorders>
                    <w:tl2br w:val="nil"/>
                    <w:tr2bl w:val="nil"/>
                  </w:tcBorders>
                  <w:vAlign w:val="center"/>
                </w:tcPr>
                <w:p w14:paraId="284E80F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重点管控要求</w:t>
                  </w:r>
                </w:p>
              </w:tc>
              <w:tc>
                <w:tcPr>
                  <w:tcW w:w="805" w:type="pct"/>
                  <w:tcBorders>
                    <w:tl2br w:val="nil"/>
                    <w:tr2bl w:val="nil"/>
                  </w:tcBorders>
                  <w:vAlign w:val="center"/>
                </w:tcPr>
                <w:p w14:paraId="66B66715">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val="en-US" w:eastAsia="zh-CN"/>
                    </w:rPr>
                    <w:t>本项目情况</w:t>
                  </w:r>
                </w:p>
              </w:tc>
              <w:tc>
                <w:tcPr>
                  <w:tcW w:w="357" w:type="pct"/>
                  <w:tcBorders>
                    <w:tl2br w:val="nil"/>
                    <w:tr2bl w:val="nil"/>
                  </w:tcBorders>
                  <w:vAlign w:val="center"/>
                </w:tcPr>
                <w:p w14:paraId="362171E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相符性</w:t>
                  </w:r>
                </w:p>
              </w:tc>
            </w:tr>
            <w:tr w14:paraId="64E31D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397" w:type="pct"/>
                  <w:tcBorders>
                    <w:tl2br w:val="nil"/>
                    <w:tr2bl w:val="nil"/>
                  </w:tcBorders>
                  <w:vAlign w:val="center"/>
                </w:tcPr>
                <w:p w14:paraId="7CF5569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3439" w:type="pct"/>
                  <w:tcBorders>
                    <w:tl2br w:val="nil"/>
                    <w:tr2bl w:val="nil"/>
                  </w:tcBorders>
                  <w:vAlign w:val="center"/>
                </w:tcPr>
                <w:p w14:paraId="6B08E93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default" w:ascii="Times New Roman" w:hAnsi="Times New Roman" w:eastAsia="仿宋" w:cs="Times New Roman"/>
                      <w:color w:val="auto"/>
                      <w:sz w:val="21"/>
                      <w:szCs w:val="21"/>
                      <w:highlight w:val="none"/>
                      <w:lang w:eastAsia="zh-CN"/>
                    </w:rPr>
                    <w:t>〔2023〕880号</w:t>
                  </w:r>
                  <w:r>
                    <w:rPr>
                      <w:rFonts w:hint="default" w:ascii="Times New Roman" w:hAnsi="Times New Roman" w:eastAsia="仿宋" w:cs="Times New Roman"/>
                      <w:color w:val="auto"/>
                      <w:sz w:val="21"/>
                      <w:szCs w:val="21"/>
                      <w:highlight w:val="none"/>
                    </w:rPr>
                    <w:t>）、《江苏省国土空间规划（2021—2035年）》（国函〔2023〕69号），坚持节约优先、保护优先、自然恢复为主的方针，以改善生态环境质量为核心，以保障和维护生态功能为主线，统筹</w:t>
                  </w:r>
                  <w:r>
                    <w:rPr>
                      <w:rFonts w:hint="default" w:ascii="Times New Roman" w:hAnsi="Times New Roman" w:eastAsia="仿宋" w:cs="Times New Roman"/>
                      <w:color w:val="auto"/>
                      <w:sz w:val="21"/>
                      <w:szCs w:val="21"/>
                      <w:highlight w:val="none"/>
                      <w:lang w:eastAsia="zh-CN"/>
                    </w:rPr>
                    <w:t>山水林田湖草沙一体化保护</w:t>
                  </w:r>
                  <w:r>
                    <w:rPr>
                      <w:rFonts w:hint="default" w:ascii="Times New Roman" w:hAnsi="Times New Roman" w:eastAsia="仿宋" w:cs="Times New Roman"/>
                      <w:color w:val="auto"/>
                      <w:sz w:val="21"/>
                      <w:szCs w:val="21"/>
                      <w:highlight w:val="none"/>
                    </w:rPr>
                    <w:t>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4FE748D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2.牢牢把握推动长江经济带发</w:t>
                  </w:r>
                  <w:r>
                    <w:rPr>
                      <w:rFonts w:hint="eastAsia" w:ascii="仿宋" w:hAnsi="仿宋" w:eastAsia="仿宋" w:cs="仿宋"/>
                      <w:color w:val="auto"/>
                      <w:sz w:val="21"/>
                      <w:szCs w:val="21"/>
                      <w:highlight w:val="none"/>
                    </w:rPr>
                    <w:t>展</w:t>
                  </w:r>
                  <w:r>
                    <w:rPr>
                      <w:rFonts w:hint="eastAsia" w:ascii="仿宋" w:hAnsi="仿宋" w:eastAsia="仿宋" w:cs="仿宋"/>
                      <w:color w:val="auto"/>
                      <w:sz w:val="21"/>
                      <w:szCs w:val="21"/>
                      <w:highlight w:val="none"/>
                      <w:lang w:eastAsia="zh-CN"/>
                    </w:rPr>
                    <w:t>“共抓大保护、不搞大开发”</w:t>
                  </w:r>
                  <w:r>
                    <w:rPr>
                      <w:rFonts w:hint="default" w:ascii="Times New Roman" w:hAnsi="Times New Roman" w:eastAsia="仿宋" w:cs="Times New Roman"/>
                      <w:color w:val="auto"/>
                      <w:sz w:val="21"/>
                      <w:szCs w:val="21"/>
                      <w:highlight w:val="none"/>
                    </w:rPr>
                    <w:t>战略导向，对省域范围内需要重点保护的岸线、河段和区域实行严格管控，管住控好排放量大、耗能高、产能过剩的产业，推动长江经济带高质量发展。</w:t>
                  </w:r>
                </w:p>
                <w:p w14:paraId="76E1DE3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3.大幅压减沿长江干支流两侧1公里范围内、环境敏感区域、城镇人口密集区、化工园区外和规模以下化工生产企业，着力破解</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重化围江</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突出问题，高起点同步推进沿江地区战略性转型和沿海地区战略性布局。</w:t>
                  </w:r>
                </w:p>
                <w:p w14:paraId="521768E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671F6BD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805" w:type="pct"/>
                  <w:tcBorders>
                    <w:tl2br w:val="nil"/>
                    <w:tr2bl w:val="nil"/>
                  </w:tcBorders>
                  <w:vAlign w:val="center"/>
                </w:tcPr>
                <w:p w14:paraId="3B79B4E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本项目位于江苏省苏州市相城区元春路353号，不会对生态空间管控区域造成影响，且本项目</w:t>
                  </w:r>
                  <w:r>
                    <w:rPr>
                      <w:rFonts w:hint="eastAsia" w:eastAsia="仿宋" w:cs="Times New Roman"/>
                      <w:color w:val="auto"/>
                      <w:sz w:val="21"/>
                      <w:szCs w:val="21"/>
                      <w:highlight w:val="none"/>
                      <w:lang w:val="en-US" w:eastAsia="zh-CN"/>
                    </w:rPr>
                    <w:t>为汽车零部件及配件制造</w:t>
                  </w:r>
                  <w:r>
                    <w:rPr>
                      <w:rFonts w:hint="eastAsia"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rPr>
                    <w:t>不属于钢铁、重大基础设施项目</w:t>
                  </w:r>
                  <w:r>
                    <w:rPr>
                      <w:rFonts w:hint="default" w:ascii="Times New Roman" w:hAnsi="Times New Roman" w:eastAsia="仿宋" w:cs="Times New Roman"/>
                      <w:color w:val="auto"/>
                      <w:sz w:val="21"/>
                      <w:szCs w:val="21"/>
                      <w:highlight w:val="none"/>
                      <w:lang w:eastAsia="zh-CN"/>
                    </w:rPr>
                    <w:t>。</w:t>
                  </w:r>
                </w:p>
              </w:tc>
              <w:tc>
                <w:tcPr>
                  <w:tcW w:w="357" w:type="pct"/>
                  <w:tcBorders>
                    <w:tl2br w:val="nil"/>
                    <w:tr2bl w:val="nil"/>
                  </w:tcBorders>
                  <w:vAlign w:val="center"/>
                </w:tcPr>
                <w:p w14:paraId="531D4ED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0AD0A6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397" w:type="pct"/>
                  <w:tcBorders>
                    <w:tl2br w:val="nil"/>
                    <w:tr2bl w:val="nil"/>
                  </w:tcBorders>
                  <w:vAlign w:val="center"/>
                </w:tcPr>
                <w:p w14:paraId="417E0CF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3439" w:type="pct"/>
                  <w:tcBorders>
                    <w:tl2br w:val="nil"/>
                    <w:tr2bl w:val="nil"/>
                  </w:tcBorders>
                  <w:vAlign w:val="center"/>
                </w:tcPr>
                <w:p w14:paraId="1BC4429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533A583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2.2025年，主要污染物排放减排完成国家下达任务，单位工业增加值二氧化碳排放量下降20%，主要高耗能行业单位产品二氧化碳排放达到世界先进水平。实施氮氧化物（NO</w:t>
                  </w:r>
                  <w:r>
                    <w:rPr>
                      <w:rFonts w:hint="default" w:ascii="Times New Roman" w:hAnsi="Times New Roman" w:eastAsia="仿宋" w:cs="Times New Roman"/>
                      <w:color w:val="auto"/>
                      <w:sz w:val="21"/>
                      <w:szCs w:val="21"/>
                      <w:highlight w:val="none"/>
                      <w:vertAlign w:val="subscript"/>
                    </w:rPr>
                    <w:t>x</w:t>
                  </w:r>
                  <w:r>
                    <w:rPr>
                      <w:rFonts w:hint="default" w:ascii="Times New Roman" w:hAnsi="Times New Roman" w:eastAsia="仿宋" w:cs="Times New Roman"/>
                      <w:color w:val="auto"/>
                      <w:sz w:val="21"/>
                      <w:szCs w:val="21"/>
                      <w:highlight w:val="none"/>
                    </w:rPr>
                    <w:t>）和VOCs协同减排，推进多污染物和关联区域</w:t>
                  </w:r>
                  <w:r>
                    <w:rPr>
                      <w:rFonts w:hint="default" w:ascii="Times New Roman" w:hAnsi="Times New Roman" w:eastAsia="仿宋" w:cs="Times New Roman"/>
                      <w:color w:val="auto"/>
                      <w:sz w:val="21"/>
                      <w:szCs w:val="21"/>
                      <w:highlight w:val="none"/>
                      <w:lang w:eastAsia="zh-CN"/>
                    </w:rPr>
                    <w:t>联</w:t>
                  </w:r>
                  <w:r>
                    <w:rPr>
                      <w:rFonts w:hint="default" w:ascii="Times New Roman" w:hAnsi="Times New Roman" w:eastAsia="仿宋" w:cs="Times New Roman"/>
                      <w:color w:val="auto"/>
                      <w:sz w:val="21"/>
                      <w:szCs w:val="21"/>
                      <w:highlight w:val="none"/>
                    </w:rPr>
                    <w:t>防联控。</w:t>
                  </w:r>
                </w:p>
              </w:tc>
              <w:tc>
                <w:tcPr>
                  <w:tcW w:w="805" w:type="pct"/>
                  <w:tcBorders>
                    <w:tl2br w:val="nil"/>
                    <w:tr2bl w:val="nil"/>
                  </w:tcBorders>
                  <w:vAlign w:val="center"/>
                </w:tcPr>
                <w:p w14:paraId="00562D6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本项目不属于高耗能行业，不会突破生态环境承载力</w:t>
                  </w:r>
                  <w:r>
                    <w:rPr>
                      <w:rFonts w:hint="default" w:ascii="Times New Roman" w:hAnsi="Times New Roman" w:eastAsia="仿宋" w:cs="Times New Roman"/>
                      <w:color w:val="auto"/>
                      <w:sz w:val="21"/>
                      <w:szCs w:val="21"/>
                      <w:highlight w:val="none"/>
                      <w:lang w:eastAsia="zh-CN"/>
                    </w:rPr>
                    <w:t>。</w:t>
                  </w:r>
                </w:p>
              </w:tc>
              <w:tc>
                <w:tcPr>
                  <w:tcW w:w="357" w:type="pct"/>
                  <w:tcBorders>
                    <w:tl2br w:val="nil"/>
                    <w:tr2bl w:val="nil"/>
                  </w:tcBorders>
                  <w:vAlign w:val="center"/>
                </w:tcPr>
                <w:p w14:paraId="7F5673E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4A1D3C0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397" w:type="pct"/>
                  <w:tcBorders>
                    <w:tl2br w:val="nil"/>
                    <w:tr2bl w:val="nil"/>
                  </w:tcBorders>
                  <w:vAlign w:val="center"/>
                </w:tcPr>
                <w:p w14:paraId="0556012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3439" w:type="pct"/>
                  <w:tcBorders>
                    <w:tl2br w:val="nil"/>
                    <w:tr2bl w:val="nil"/>
                  </w:tcBorders>
                  <w:vAlign w:val="center"/>
                </w:tcPr>
                <w:p w14:paraId="4F77E45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1.强化饮用水水源环境风险管控。县级以上城市全部建成应急水源或双源供水。</w:t>
                  </w:r>
                </w:p>
                <w:p w14:paraId="457EB73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9483A4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3.强化环境事故应急管理。深化跨部门、跨区域环境应急协调联动，分区域建立环境应急物资储备库。各级工业园区（集聚区）和企业的环境应急装备和储备物资应纳入储备体系。</w:t>
                  </w:r>
                </w:p>
                <w:p w14:paraId="52F0D2EB">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805" w:type="pct"/>
                  <w:tcBorders>
                    <w:tl2br w:val="nil"/>
                    <w:tr2bl w:val="nil"/>
                  </w:tcBorders>
                  <w:vAlign w:val="center"/>
                </w:tcPr>
                <w:p w14:paraId="7BD8576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本项目不涉及</w:t>
                  </w:r>
                  <w:r>
                    <w:rPr>
                      <w:rFonts w:hint="default" w:ascii="Times New Roman" w:hAnsi="Times New Roman" w:eastAsia="仿宋" w:cs="Times New Roman"/>
                      <w:color w:val="auto"/>
                      <w:sz w:val="21"/>
                      <w:szCs w:val="21"/>
                      <w:highlight w:val="none"/>
                      <w:lang w:eastAsia="zh-CN"/>
                    </w:rPr>
                    <w:t>。</w:t>
                  </w:r>
                </w:p>
              </w:tc>
              <w:tc>
                <w:tcPr>
                  <w:tcW w:w="357" w:type="pct"/>
                  <w:tcBorders>
                    <w:tl2br w:val="nil"/>
                    <w:tr2bl w:val="nil"/>
                  </w:tcBorders>
                  <w:vAlign w:val="center"/>
                </w:tcPr>
                <w:p w14:paraId="6D21E25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43FFE84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397" w:type="pct"/>
                  <w:tcBorders>
                    <w:tl2br w:val="nil"/>
                    <w:tr2bl w:val="nil"/>
                  </w:tcBorders>
                  <w:vAlign w:val="center"/>
                </w:tcPr>
                <w:p w14:paraId="714DEFEC">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资源利用效率要求</w:t>
                  </w:r>
                </w:p>
              </w:tc>
              <w:tc>
                <w:tcPr>
                  <w:tcW w:w="3439" w:type="pct"/>
                  <w:tcBorders>
                    <w:tl2br w:val="nil"/>
                    <w:tr2bl w:val="nil"/>
                  </w:tcBorders>
                  <w:vAlign w:val="center"/>
                </w:tcPr>
                <w:p w14:paraId="55FA192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1.水资源利用总量及效率要求：到2025年，全省用水总量控制在525.9亿立方米以内，万元地区生产总值用水量、万元工业增加值用水量下降完成国家下达目标，农田灌溉水有效利用系数提高到0.625。</w:t>
                  </w:r>
                </w:p>
                <w:p w14:paraId="76A5020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2.土地资源总量要求：到2025年，江苏省耕地保有量不低于5977万亩，其中永久基本农田保护面积不低于5344万亩。</w:t>
                  </w:r>
                </w:p>
                <w:p w14:paraId="334AC9B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3.禁燃区要求：在禁燃区内，禁止销售、燃用高污染燃料；禁止新建、扩建燃用高污染燃料的设施，已建成的，应当在城市人民政府规定的期限内改用天然气、页岩气、液化石油气、电或者其他清洁能源。</w:t>
                  </w:r>
                </w:p>
              </w:tc>
              <w:tc>
                <w:tcPr>
                  <w:tcW w:w="805" w:type="pct"/>
                  <w:tcBorders>
                    <w:tl2br w:val="nil"/>
                    <w:tr2bl w:val="nil"/>
                  </w:tcBorders>
                  <w:vAlign w:val="center"/>
                </w:tcPr>
                <w:p w14:paraId="572933F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用水主要为</w:t>
                  </w:r>
                  <w:r>
                    <w:rPr>
                      <w:rFonts w:hint="eastAsia" w:eastAsia="仿宋" w:cs="Times New Roman"/>
                      <w:color w:val="auto"/>
                      <w:sz w:val="21"/>
                      <w:szCs w:val="21"/>
                      <w:highlight w:val="none"/>
                      <w:lang w:val="en-US" w:eastAsia="zh-CN"/>
                    </w:rPr>
                    <w:t>喷粉前处理用水、电泳线用水、喷淋塔用水、纯水制备用水、地面清洗用水</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rPr>
                    <w:t>生产过程使用电</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天然气</w:t>
                  </w:r>
                  <w:r>
                    <w:rPr>
                      <w:rFonts w:hint="default" w:ascii="Times New Roman" w:hAnsi="Times New Roman" w:eastAsia="仿宋" w:cs="Times New Roman"/>
                      <w:color w:val="auto"/>
                      <w:sz w:val="21"/>
                      <w:szCs w:val="21"/>
                      <w:highlight w:val="none"/>
                    </w:rPr>
                    <w:t>等清洁能源</w:t>
                  </w:r>
                  <w:r>
                    <w:rPr>
                      <w:rFonts w:hint="default" w:ascii="Times New Roman" w:hAnsi="Times New Roman" w:eastAsia="仿宋" w:cs="Times New Roman"/>
                      <w:color w:val="auto"/>
                      <w:sz w:val="21"/>
                      <w:szCs w:val="21"/>
                      <w:highlight w:val="none"/>
                      <w:lang w:eastAsia="zh-CN"/>
                    </w:rPr>
                    <w:t>。</w:t>
                  </w:r>
                </w:p>
              </w:tc>
              <w:tc>
                <w:tcPr>
                  <w:tcW w:w="357" w:type="pct"/>
                  <w:tcBorders>
                    <w:tl2br w:val="nil"/>
                    <w:tr2bl w:val="nil"/>
                  </w:tcBorders>
                  <w:vAlign w:val="center"/>
                </w:tcPr>
                <w:p w14:paraId="743938C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bl>
          <w:p w14:paraId="28392C5F">
            <w:pPr>
              <w:keepNext w:val="0"/>
              <w:keepLines w:val="0"/>
              <w:suppressLineNumbers w:val="0"/>
              <w:spacing w:before="0" w:beforeAutospacing="0" w:after="0" w:afterAutospacing="0" w:line="240" w:lineRule="auto"/>
              <w:ind w:left="0" w:right="0"/>
              <w:jc w:val="center"/>
              <w:rPr>
                <w:rFonts w:hint="default"/>
                <w:b/>
                <w:bCs/>
                <w:color w:val="auto"/>
                <w:kern w:val="0"/>
                <w:sz w:val="24"/>
                <w:szCs w:val="24"/>
                <w:highlight w:val="none"/>
              </w:rPr>
            </w:pPr>
            <w:r>
              <w:rPr>
                <w:rFonts w:hint="default"/>
                <w:b/>
                <w:bCs/>
                <w:color w:val="auto"/>
                <w:kern w:val="0"/>
                <w:sz w:val="24"/>
                <w:szCs w:val="24"/>
                <w:highlight w:val="none"/>
              </w:rPr>
              <w:t>表</w:t>
            </w:r>
            <w:r>
              <w:rPr>
                <w:rFonts w:hint="eastAsia"/>
                <w:b/>
                <w:bCs/>
                <w:color w:val="auto"/>
                <w:kern w:val="0"/>
                <w:sz w:val="24"/>
                <w:szCs w:val="24"/>
                <w:highlight w:val="none"/>
                <w:lang w:val="en-US" w:eastAsia="zh-CN"/>
              </w:rPr>
              <w:t xml:space="preserve">1-6  </w:t>
            </w:r>
            <w:r>
              <w:rPr>
                <w:rFonts w:hint="default"/>
                <w:b/>
                <w:bCs/>
                <w:color w:val="auto"/>
                <w:kern w:val="0"/>
                <w:sz w:val="24"/>
                <w:szCs w:val="24"/>
                <w:highlight w:val="none"/>
              </w:rPr>
              <w:t>项目与《江苏省重点区域</w:t>
            </w:r>
            <w:r>
              <w:rPr>
                <w:rFonts w:hint="eastAsia"/>
                <w:b/>
                <w:bCs/>
                <w:color w:val="auto"/>
                <w:kern w:val="0"/>
                <w:sz w:val="24"/>
                <w:szCs w:val="24"/>
                <w:highlight w:val="none"/>
                <w:lang w:eastAsia="zh-CN"/>
              </w:rPr>
              <w:t>（</w:t>
            </w:r>
            <w:r>
              <w:rPr>
                <w:rFonts w:hint="default"/>
                <w:b/>
                <w:bCs/>
                <w:color w:val="auto"/>
                <w:kern w:val="0"/>
                <w:sz w:val="24"/>
                <w:szCs w:val="24"/>
                <w:highlight w:val="none"/>
              </w:rPr>
              <w:t>流域</w:t>
            </w:r>
            <w:r>
              <w:rPr>
                <w:rFonts w:hint="eastAsia"/>
                <w:b/>
                <w:bCs/>
                <w:color w:val="auto"/>
                <w:kern w:val="0"/>
                <w:sz w:val="24"/>
                <w:szCs w:val="24"/>
                <w:highlight w:val="none"/>
                <w:lang w:eastAsia="zh-CN"/>
              </w:rPr>
              <w:t>）</w:t>
            </w:r>
            <w:r>
              <w:rPr>
                <w:rFonts w:hint="default"/>
                <w:b/>
                <w:bCs/>
                <w:color w:val="auto"/>
                <w:kern w:val="0"/>
                <w:sz w:val="24"/>
                <w:szCs w:val="24"/>
                <w:highlight w:val="none"/>
              </w:rPr>
              <w:t>生态环境分区管控要求》相符性分析</w:t>
            </w:r>
          </w:p>
          <w:tbl>
            <w:tblPr>
              <w:tblStyle w:val="21"/>
              <w:tblW w:w="9096"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687"/>
              <w:gridCol w:w="5118"/>
              <w:gridCol w:w="2619"/>
              <w:gridCol w:w="672"/>
            </w:tblGrid>
            <w:tr w14:paraId="619EA0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87" w:type="dxa"/>
                  <w:tcBorders>
                    <w:tl2br w:val="nil"/>
                    <w:tr2bl w:val="nil"/>
                  </w:tcBorders>
                  <w:vAlign w:val="center"/>
                </w:tcPr>
                <w:p w14:paraId="346804F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管控类别</w:t>
                  </w:r>
                </w:p>
              </w:tc>
              <w:tc>
                <w:tcPr>
                  <w:tcW w:w="5118" w:type="dxa"/>
                  <w:tcBorders>
                    <w:tl2br w:val="nil"/>
                    <w:tr2bl w:val="nil"/>
                  </w:tcBorders>
                  <w:vAlign w:val="center"/>
                </w:tcPr>
                <w:p w14:paraId="15924F8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重点管控要求</w:t>
                  </w:r>
                </w:p>
              </w:tc>
              <w:tc>
                <w:tcPr>
                  <w:tcW w:w="2619" w:type="dxa"/>
                  <w:tcBorders>
                    <w:tl2br w:val="nil"/>
                    <w:tr2bl w:val="nil"/>
                  </w:tcBorders>
                  <w:vAlign w:val="center"/>
                </w:tcPr>
                <w:p w14:paraId="29015D1C">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val="en-US" w:eastAsia="zh-CN"/>
                    </w:rPr>
                    <w:t>本项目情况</w:t>
                  </w:r>
                </w:p>
              </w:tc>
              <w:tc>
                <w:tcPr>
                  <w:tcW w:w="672" w:type="dxa"/>
                  <w:tcBorders>
                    <w:tl2br w:val="nil"/>
                    <w:tr2bl w:val="nil"/>
                  </w:tcBorders>
                  <w:vAlign w:val="center"/>
                </w:tcPr>
                <w:p w14:paraId="7485AB6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相符性</w:t>
                  </w:r>
                </w:p>
              </w:tc>
            </w:tr>
            <w:tr w14:paraId="3ADD751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9096" w:type="dxa"/>
                  <w:gridSpan w:val="4"/>
                  <w:tcBorders>
                    <w:tl2br w:val="nil"/>
                    <w:tr2bl w:val="nil"/>
                  </w:tcBorders>
                  <w:vAlign w:val="center"/>
                </w:tcPr>
                <w:p w14:paraId="6F24F36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一、长江流域</w:t>
                  </w:r>
                </w:p>
              </w:tc>
            </w:tr>
            <w:tr w14:paraId="4F37E3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7" w:type="dxa"/>
                  <w:tcBorders>
                    <w:tl2br w:val="nil"/>
                    <w:tr2bl w:val="nil"/>
                  </w:tcBorders>
                  <w:vAlign w:val="center"/>
                </w:tcPr>
                <w:p w14:paraId="0A25976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5118" w:type="dxa"/>
                  <w:tcBorders>
                    <w:tl2br w:val="nil"/>
                    <w:tr2bl w:val="nil"/>
                  </w:tcBorders>
                  <w:vAlign w:val="center"/>
                </w:tcPr>
                <w:p w14:paraId="5F2D8B8E">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1．始终把长江生态修复放在首位，坚持共抓大保护、不搞大开发，引导长江流域产业转型升级和布局优化调整，实现科学发展、有序发展、高质量发展。</w:t>
                  </w:r>
                </w:p>
                <w:p w14:paraId="714FA835">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17F4DDCF">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27EE1F0C">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7529E8D2">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5．禁止新建独立焦化项目。</w:t>
                  </w:r>
                </w:p>
              </w:tc>
              <w:tc>
                <w:tcPr>
                  <w:tcW w:w="2619" w:type="dxa"/>
                  <w:tcBorders>
                    <w:tl2br w:val="nil"/>
                    <w:tr2bl w:val="nil"/>
                  </w:tcBorders>
                  <w:vAlign w:val="center"/>
                </w:tcPr>
                <w:p w14:paraId="63D5BBD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本项目位于江苏省苏州市相城区元春路353</w:t>
                  </w:r>
                  <w:r>
                    <w:rPr>
                      <w:rFonts w:hint="eastAsia" w:eastAsia="仿宋" w:cs="Times New Roman"/>
                      <w:color w:val="auto"/>
                      <w:sz w:val="21"/>
                      <w:szCs w:val="21"/>
                      <w:highlight w:val="none"/>
                      <w:lang w:val="en-US" w:eastAsia="zh-CN"/>
                    </w:rPr>
                    <w:t>号</w:t>
                  </w:r>
                  <w:r>
                    <w:rPr>
                      <w:rFonts w:hint="default" w:ascii="Times New Roman" w:hAnsi="Times New Roman" w:eastAsia="仿宋" w:cs="Times New Roman"/>
                      <w:color w:val="auto"/>
                      <w:sz w:val="21"/>
                      <w:szCs w:val="21"/>
                      <w:highlight w:val="none"/>
                    </w:rPr>
                    <w:t>，不属于生态保护红线和永久基本农田范围内，不属于化学工业园区</w:t>
                  </w:r>
                  <w:r>
                    <w:rPr>
                      <w:rFonts w:hint="eastAsia" w:eastAsia="仿宋" w:cs="Times New Roman"/>
                      <w:color w:val="auto"/>
                      <w:sz w:val="21"/>
                      <w:szCs w:val="21"/>
                      <w:highlight w:val="none"/>
                      <w:lang w:eastAsia="zh-CN"/>
                    </w:rPr>
                    <w:t>，以</w:t>
                  </w:r>
                  <w:r>
                    <w:rPr>
                      <w:rFonts w:hint="default" w:ascii="Times New Roman" w:hAnsi="Times New Roman" w:eastAsia="仿宋" w:cs="Times New Roman"/>
                      <w:color w:val="auto"/>
                      <w:sz w:val="21"/>
                      <w:szCs w:val="21"/>
                      <w:highlight w:val="none"/>
                    </w:rPr>
                    <w:t>大宗进口油气资源为原料的石油加工、石油化工、基础有机无机化工、煤化工项目、危化品码头、港口项目、过江干线通道项目、独立焦化项目</w:t>
                  </w:r>
                  <w:r>
                    <w:rPr>
                      <w:rFonts w:hint="default" w:ascii="Times New Roman" w:hAnsi="Times New Roman" w:eastAsia="仿宋" w:cs="Times New Roman"/>
                      <w:color w:val="auto"/>
                      <w:sz w:val="21"/>
                      <w:szCs w:val="21"/>
                      <w:highlight w:val="none"/>
                      <w:lang w:eastAsia="zh-CN"/>
                    </w:rPr>
                    <w:t>。</w:t>
                  </w:r>
                </w:p>
              </w:tc>
              <w:tc>
                <w:tcPr>
                  <w:tcW w:w="672" w:type="dxa"/>
                  <w:tcBorders>
                    <w:tl2br w:val="nil"/>
                    <w:tr2bl w:val="nil"/>
                  </w:tcBorders>
                  <w:vAlign w:val="center"/>
                </w:tcPr>
                <w:p w14:paraId="709FCBA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2CCEA5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66BCF07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5118" w:type="dxa"/>
                  <w:tcBorders>
                    <w:tl2br w:val="nil"/>
                    <w:tr2bl w:val="nil"/>
                  </w:tcBorders>
                  <w:vAlign w:val="center"/>
                </w:tcPr>
                <w:p w14:paraId="79616B61">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1．根据《江苏省长江水污染防治条例》实施污染物总量控制制度。</w:t>
                  </w:r>
                </w:p>
                <w:p w14:paraId="29614EE4">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2．全面加强和规范长江入河排污口管理，有效管控入河污染物排放，形成权责清晰、监控到位、管理规范的长江入河排污口监管体系，加快改善长江水环境质量。</w:t>
                  </w:r>
                </w:p>
              </w:tc>
              <w:tc>
                <w:tcPr>
                  <w:tcW w:w="2619" w:type="dxa"/>
                  <w:tcBorders>
                    <w:tl2br w:val="nil"/>
                    <w:tr2bl w:val="nil"/>
                  </w:tcBorders>
                  <w:vAlign w:val="center"/>
                </w:tcPr>
                <w:p w14:paraId="151C54F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本项目实施污染物总量控制制度，不突破环境容量及生态环境承载力</w:t>
                  </w:r>
                  <w:r>
                    <w:rPr>
                      <w:rFonts w:hint="default" w:ascii="Times New Roman" w:hAnsi="Times New Roman" w:eastAsia="仿宋" w:cs="Times New Roman"/>
                      <w:color w:val="auto"/>
                      <w:sz w:val="21"/>
                      <w:szCs w:val="21"/>
                      <w:highlight w:val="none"/>
                      <w:lang w:val="en-US" w:eastAsia="zh-CN"/>
                    </w:rPr>
                    <w:t>。</w:t>
                  </w:r>
                </w:p>
              </w:tc>
              <w:tc>
                <w:tcPr>
                  <w:tcW w:w="672" w:type="dxa"/>
                  <w:tcBorders>
                    <w:tl2br w:val="nil"/>
                    <w:tr2bl w:val="nil"/>
                  </w:tcBorders>
                  <w:vAlign w:val="center"/>
                </w:tcPr>
                <w:p w14:paraId="3B6E1E5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相符</w:t>
                  </w:r>
                </w:p>
              </w:tc>
            </w:tr>
            <w:tr w14:paraId="019D5BA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17B58C7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5118" w:type="dxa"/>
                  <w:tcBorders>
                    <w:tl2br w:val="nil"/>
                    <w:tr2bl w:val="nil"/>
                  </w:tcBorders>
                  <w:vAlign w:val="center"/>
                </w:tcPr>
                <w:p w14:paraId="2AD9C99B">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1．防范沿江环境风险。深化沿江石化、化工、医药、纺织、印染、化纤、危化品和石油类仓储、涉重金属和危险废物处置等重点企业环境风险防控。</w:t>
                  </w:r>
                </w:p>
                <w:p w14:paraId="00181122">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2．加强饮用水水源保护。优化水源保护区划定，推动饮用水水源地规范化建设。</w:t>
                  </w:r>
                </w:p>
              </w:tc>
              <w:tc>
                <w:tcPr>
                  <w:tcW w:w="2619" w:type="dxa"/>
                  <w:tcBorders>
                    <w:tl2br w:val="nil"/>
                    <w:tr2bl w:val="nil"/>
                  </w:tcBorders>
                  <w:vAlign w:val="center"/>
                </w:tcPr>
                <w:p w14:paraId="3656065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项目不属于沿江石化、化工、医药、纺织、印染、化纤、危化品和石油类仓储、涉重金属和危险废物处置等重点企业</w:t>
                  </w:r>
                  <w:r>
                    <w:rPr>
                      <w:rFonts w:hint="default" w:ascii="Times New Roman" w:hAnsi="Times New Roman" w:eastAsia="仿宋" w:cs="Times New Roman"/>
                      <w:color w:val="auto"/>
                      <w:sz w:val="21"/>
                      <w:szCs w:val="21"/>
                      <w:highlight w:val="none"/>
                      <w:lang w:eastAsia="zh-CN"/>
                    </w:rPr>
                    <w:t>。</w:t>
                  </w:r>
                </w:p>
              </w:tc>
              <w:tc>
                <w:tcPr>
                  <w:tcW w:w="672" w:type="dxa"/>
                  <w:tcBorders>
                    <w:tl2br w:val="nil"/>
                    <w:tr2bl w:val="nil"/>
                  </w:tcBorders>
                  <w:vAlign w:val="center"/>
                </w:tcPr>
                <w:p w14:paraId="51C5311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相符</w:t>
                  </w:r>
                </w:p>
              </w:tc>
            </w:tr>
            <w:tr w14:paraId="2564945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4BB7F14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资源利用效率要求</w:t>
                  </w:r>
                </w:p>
              </w:tc>
              <w:tc>
                <w:tcPr>
                  <w:tcW w:w="5118" w:type="dxa"/>
                  <w:tcBorders>
                    <w:tl2br w:val="nil"/>
                    <w:tr2bl w:val="nil"/>
                  </w:tcBorders>
                  <w:vAlign w:val="center"/>
                </w:tcPr>
                <w:p w14:paraId="6AB044B3">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619" w:type="dxa"/>
                  <w:tcBorders>
                    <w:tl2br w:val="nil"/>
                    <w:tr2bl w:val="nil"/>
                  </w:tcBorders>
                  <w:vAlign w:val="center"/>
                </w:tcPr>
                <w:p w14:paraId="0748764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本项目位于江苏省苏州市相城区元春路353号，不在长江干流岸线和重要支流岸线管控范围内</w:t>
                  </w:r>
                  <w:r>
                    <w:rPr>
                      <w:rFonts w:hint="default" w:ascii="Times New Roman" w:hAnsi="Times New Roman" w:eastAsia="仿宋" w:cs="Times New Roman"/>
                      <w:color w:val="auto"/>
                      <w:sz w:val="21"/>
                      <w:szCs w:val="21"/>
                      <w:highlight w:val="none"/>
                      <w:lang w:eastAsia="zh-CN"/>
                    </w:rPr>
                    <w:t>。</w:t>
                  </w:r>
                </w:p>
              </w:tc>
              <w:tc>
                <w:tcPr>
                  <w:tcW w:w="672" w:type="dxa"/>
                  <w:tcBorders>
                    <w:tl2br w:val="nil"/>
                    <w:tr2bl w:val="nil"/>
                  </w:tcBorders>
                  <w:vAlign w:val="center"/>
                </w:tcPr>
                <w:p w14:paraId="62B6E1E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相符</w:t>
                  </w:r>
                </w:p>
              </w:tc>
            </w:tr>
            <w:tr w14:paraId="0CAEE3E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9096" w:type="dxa"/>
                  <w:gridSpan w:val="4"/>
                  <w:tcBorders>
                    <w:tl2br w:val="nil"/>
                    <w:tr2bl w:val="nil"/>
                  </w:tcBorders>
                  <w:vAlign w:val="center"/>
                </w:tcPr>
                <w:p w14:paraId="1FC1B18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二、太湖流域</w:t>
                  </w:r>
                </w:p>
              </w:tc>
            </w:tr>
            <w:tr w14:paraId="0302190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73D5687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5118" w:type="dxa"/>
                  <w:tcBorders>
                    <w:tl2br w:val="nil"/>
                    <w:tr2bl w:val="nil"/>
                  </w:tcBorders>
                  <w:vAlign w:val="center"/>
                </w:tcPr>
                <w:p w14:paraId="5D15E211">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B8E869C">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2．在太湖流域一级保护区，禁止新建、扩建向水体排放污染物的建设项目，禁止新建、扩建畜禽养殖场，禁止新建、扩建高尔夫球场、水上游乐等开发项目以及设置水上餐饮经营设施。</w:t>
                  </w:r>
                </w:p>
                <w:p w14:paraId="15CEDFBF">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3．在太湖流域二级保护区，禁止新建、扩建化工、医药生产项目，禁止新建、扩建污水集中处理设施排污口以外的排污口。</w:t>
                  </w:r>
                </w:p>
              </w:tc>
              <w:tc>
                <w:tcPr>
                  <w:tcW w:w="2619" w:type="dxa"/>
                  <w:tcBorders>
                    <w:tl2br w:val="nil"/>
                    <w:tr2bl w:val="nil"/>
                  </w:tcBorders>
                  <w:vAlign w:val="center"/>
                </w:tcPr>
                <w:p w14:paraId="3C6A6A6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本项目与太湖湖体最近距离约</w:t>
                  </w:r>
                  <w:r>
                    <w:rPr>
                      <w:rFonts w:hint="eastAsia" w:eastAsia="仿宋" w:cs="Times New Roman"/>
                      <w:color w:val="auto"/>
                      <w:sz w:val="21"/>
                      <w:szCs w:val="21"/>
                      <w:highlight w:val="none"/>
                      <w:lang w:val="en-US" w:eastAsia="zh-CN"/>
                    </w:rPr>
                    <w:t>26.3</w:t>
                  </w:r>
                  <w:r>
                    <w:rPr>
                      <w:rFonts w:hint="default" w:ascii="Times New Roman" w:hAnsi="Times New Roman" w:eastAsia="仿宋" w:cs="Times New Roman"/>
                      <w:color w:val="auto"/>
                      <w:sz w:val="21"/>
                      <w:szCs w:val="21"/>
                      <w:highlight w:val="none"/>
                    </w:rPr>
                    <w:t>km，属于太湖流域三级保护区，</w:t>
                  </w:r>
                  <w:r>
                    <w:rPr>
                      <w:rFonts w:hint="eastAsia" w:eastAsia="仿宋" w:cs="Times New Roman"/>
                      <w:color w:val="auto"/>
                      <w:sz w:val="21"/>
                      <w:szCs w:val="21"/>
                      <w:highlight w:val="none"/>
                      <w:lang w:val="en-US" w:eastAsia="zh-CN"/>
                    </w:rPr>
                    <w:t>本项目为C3670汽车零部件及配件制造</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yellow"/>
                    </w:rPr>
                    <w:t>已认定属于太湖流域战略性新兴产业类别</w:t>
                  </w:r>
                  <w:r>
                    <w:rPr>
                      <w:rFonts w:hint="eastAsia" w:eastAsia="仿宋" w:cs="Times New Roman"/>
                      <w:color w:val="auto"/>
                      <w:sz w:val="21"/>
                      <w:szCs w:val="21"/>
                      <w:highlight w:val="yellow"/>
                      <w:lang w:eastAsia="zh-CN"/>
                    </w:rPr>
                    <w:t>（</w:t>
                  </w:r>
                  <w:r>
                    <w:rPr>
                      <w:rFonts w:hint="eastAsia" w:eastAsia="仿宋" w:cs="Times New Roman"/>
                      <w:color w:val="auto"/>
                      <w:sz w:val="21"/>
                      <w:szCs w:val="21"/>
                      <w:highlight w:val="yellow"/>
                      <w:lang w:val="en-US" w:eastAsia="zh-CN"/>
                    </w:rPr>
                    <w:t>还未认定</w:t>
                  </w:r>
                  <w:r>
                    <w:rPr>
                      <w:rFonts w:hint="eastAsia" w:eastAsia="仿宋" w:cs="Times New Roman"/>
                      <w:color w:val="auto"/>
                      <w:sz w:val="21"/>
                      <w:szCs w:val="21"/>
                      <w:highlight w:val="yellow"/>
                      <w:lang w:eastAsia="zh-CN"/>
                    </w:rPr>
                    <w:t>）</w:t>
                  </w:r>
                  <w:r>
                    <w:rPr>
                      <w:rFonts w:hint="default" w:ascii="Times New Roman" w:hAnsi="Times New Roman" w:eastAsia="仿宋" w:cs="Times New Roman"/>
                      <w:color w:val="auto"/>
                      <w:sz w:val="21"/>
                      <w:szCs w:val="21"/>
                      <w:highlight w:val="none"/>
                    </w:rPr>
                    <w:t>，不涉及禁止建设的行业，满足文件要求不属于太湖流域禁止的行业项目。</w:t>
                  </w:r>
                </w:p>
              </w:tc>
              <w:tc>
                <w:tcPr>
                  <w:tcW w:w="672" w:type="dxa"/>
                  <w:tcBorders>
                    <w:tl2br w:val="nil"/>
                    <w:tr2bl w:val="nil"/>
                  </w:tcBorders>
                  <w:vAlign w:val="center"/>
                </w:tcPr>
                <w:p w14:paraId="2706452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相符</w:t>
                  </w:r>
                </w:p>
              </w:tc>
            </w:tr>
            <w:tr w14:paraId="5EF6218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2EF6767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5118" w:type="dxa"/>
                  <w:tcBorders>
                    <w:tl2br w:val="nil"/>
                    <w:tr2bl w:val="nil"/>
                  </w:tcBorders>
                  <w:vAlign w:val="center"/>
                </w:tcPr>
                <w:p w14:paraId="402A687A">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城镇污水处理厂、纺织工业、化学工业、造纸工业、钢铁工业、电镀工业和食品工业的污水处理设施执行《太湖地区城镇污水处理厂及重点工业行业主要水污染物排放限值》。</w:t>
                  </w:r>
                </w:p>
              </w:tc>
              <w:tc>
                <w:tcPr>
                  <w:tcW w:w="2619" w:type="dxa"/>
                  <w:tcBorders>
                    <w:tl2br w:val="nil"/>
                    <w:tr2bl w:val="nil"/>
                  </w:tcBorders>
                  <w:vAlign w:val="center"/>
                </w:tcPr>
                <w:p w14:paraId="35F6D63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本项目为C3670汽车零部件及配件制造，本项目</w:t>
                  </w:r>
                  <w:r>
                    <w:rPr>
                      <w:rFonts w:hint="default" w:ascii="Times New Roman" w:hAnsi="Times New Roman" w:eastAsia="仿宋" w:cs="Times New Roman"/>
                      <w:color w:val="auto"/>
                      <w:sz w:val="21"/>
                      <w:szCs w:val="21"/>
                      <w:highlight w:val="none"/>
                    </w:rPr>
                    <w:t>不属于所列行业</w:t>
                  </w:r>
                  <w:r>
                    <w:rPr>
                      <w:rFonts w:hint="default" w:ascii="Times New Roman" w:hAnsi="Times New Roman" w:eastAsia="仿宋" w:cs="Times New Roman"/>
                      <w:color w:val="auto"/>
                      <w:sz w:val="21"/>
                      <w:szCs w:val="21"/>
                      <w:highlight w:val="none"/>
                      <w:lang w:eastAsia="zh-CN"/>
                    </w:rPr>
                    <w:t>。</w:t>
                  </w:r>
                </w:p>
              </w:tc>
              <w:tc>
                <w:tcPr>
                  <w:tcW w:w="672" w:type="dxa"/>
                  <w:tcBorders>
                    <w:tl2br w:val="nil"/>
                    <w:tr2bl w:val="nil"/>
                  </w:tcBorders>
                  <w:vAlign w:val="center"/>
                </w:tcPr>
                <w:p w14:paraId="504E0D7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相符</w:t>
                  </w:r>
                </w:p>
              </w:tc>
            </w:tr>
            <w:tr w14:paraId="5B47960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6BFFA52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5118" w:type="dxa"/>
                  <w:tcBorders>
                    <w:tl2br w:val="nil"/>
                    <w:tr2bl w:val="nil"/>
                  </w:tcBorders>
                  <w:vAlign w:val="center"/>
                </w:tcPr>
                <w:p w14:paraId="496F8077">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1．运输剧毒物质、危险化学品的船舶不得进入太湖。</w:t>
                  </w:r>
                </w:p>
                <w:p w14:paraId="55A0312B">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2．禁止向太湖流域水体排放或者倾倒油类、酸液、碱液、剧毒废渣废液、含放射性废渣废液、含病原体</w:t>
                  </w:r>
                  <w:r>
                    <w:rPr>
                      <w:rFonts w:hint="default" w:ascii="Times New Roman" w:hAnsi="Times New Roman" w:eastAsia="仿宋" w:cs="Times New Roman"/>
                      <w:color w:val="auto"/>
                      <w:sz w:val="21"/>
                      <w:szCs w:val="21"/>
                      <w:highlight w:val="none"/>
                      <w:lang w:eastAsia="zh-CN"/>
                    </w:rPr>
                    <w:t>污水</w:t>
                  </w:r>
                  <w:r>
                    <w:rPr>
                      <w:rFonts w:hint="default" w:ascii="Times New Roman" w:hAnsi="Times New Roman" w:eastAsia="仿宋" w:cs="Times New Roman"/>
                      <w:color w:val="auto"/>
                      <w:sz w:val="21"/>
                      <w:szCs w:val="21"/>
                      <w:highlight w:val="none"/>
                    </w:rPr>
                    <w:t>、工业废渣以及其他废弃物。</w:t>
                  </w:r>
                </w:p>
                <w:p w14:paraId="7D8B1396">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3．加强太湖流域生态环境风险应急管控，着力提高防控太湖蓝藻水华风险预警和应急处置能力。</w:t>
                  </w:r>
                </w:p>
              </w:tc>
              <w:tc>
                <w:tcPr>
                  <w:tcW w:w="2619" w:type="dxa"/>
                  <w:tcBorders>
                    <w:tl2br w:val="nil"/>
                    <w:tr2bl w:val="nil"/>
                  </w:tcBorders>
                  <w:vAlign w:val="center"/>
                </w:tcPr>
                <w:p w14:paraId="5B7B60F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本项目不涉及。</w:t>
                  </w:r>
                </w:p>
              </w:tc>
              <w:tc>
                <w:tcPr>
                  <w:tcW w:w="672" w:type="dxa"/>
                  <w:tcBorders>
                    <w:tl2br w:val="nil"/>
                    <w:tr2bl w:val="nil"/>
                  </w:tcBorders>
                  <w:vAlign w:val="center"/>
                </w:tcPr>
                <w:p w14:paraId="777FD8F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相符</w:t>
                  </w:r>
                </w:p>
              </w:tc>
            </w:tr>
            <w:tr w14:paraId="7C8CBD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tl2br w:val="nil"/>
                    <w:tr2bl w:val="nil"/>
                  </w:tcBorders>
                  <w:vAlign w:val="center"/>
                </w:tcPr>
                <w:p w14:paraId="4FE5689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资源利用效率要求</w:t>
                  </w:r>
                </w:p>
              </w:tc>
              <w:tc>
                <w:tcPr>
                  <w:tcW w:w="5118" w:type="dxa"/>
                  <w:tcBorders>
                    <w:tl2br w:val="nil"/>
                    <w:tr2bl w:val="nil"/>
                  </w:tcBorders>
                  <w:vAlign w:val="center"/>
                </w:tcPr>
                <w:p w14:paraId="2EEA7BF1">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1．严格用水定额管理制度，推进取用水规范化管理，科学制定用水定额并动态调整，对超过用水定额标准的企业分类分步先期实施节水改造，鼓励重点用水企业、园区建立智慧用水管理系统。</w:t>
                  </w:r>
                </w:p>
                <w:p w14:paraId="74A19587">
                  <w:pPr>
                    <w:keepNext w:val="0"/>
                    <w:keepLines w:val="0"/>
                    <w:widowControl w:val="0"/>
                    <w:suppressLineNumbers w:val="0"/>
                    <w:spacing w:before="0" w:beforeAutospacing="0" w:after="0" w:afterAutospacing="0" w:line="240" w:lineRule="auto"/>
                    <w:ind w:left="0" w:right="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2．推进新孟河、新沟河、望虞河、走马塘等河道联合调度，科学调控太湖水位。</w:t>
                  </w:r>
                </w:p>
              </w:tc>
              <w:tc>
                <w:tcPr>
                  <w:tcW w:w="2619" w:type="dxa"/>
                  <w:tcBorders>
                    <w:tl2br w:val="nil"/>
                    <w:tr2bl w:val="nil"/>
                  </w:tcBorders>
                  <w:vAlign w:val="center"/>
                </w:tcPr>
                <w:p w14:paraId="75F2591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本项目运营过程中将消耗一定量的水资源，水资源消耗量相对区域资源利用总量较少，不会影响居民生活用水。</w:t>
                  </w:r>
                </w:p>
              </w:tc>
              <w:tc>
                <w:tcPr>
                  <w:tcW w:w="672" w:type="dxa"/>
                  <w:tcBorders>
                    <w:tl2br w:val="nil"/>
                    <w:tr2bl w:val="nil"/>
                  </w:tcBorders>
                  <w:vAlign w:val="center"/>
                </w:tcPr>
                <w:p w14:paraId="2E1EAE2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相符</w:t>
                  </w:r>
                </w:p>
              </w:tc>
            </w:tr>
          </w:tbl>
          <w:p w14:paraId="50519380">
            <w:pPr>
              <w:keepNext w:val="0"/>
              <w:keepLines w:val="0"/>
              <w:suppressLineNumbers w:val="0"/>
              <w:spacing w:before="0" w:beforeAutospacing="0" w:after="0" w:afterAutospacing="0" w:line="360" w:lineRule="auto"/>
              <w:ind w:left="0" w:right="0" w:firstLine="482" w:firstLineChars="200"/>
              <w:rPr>
                <w:rFonts w:hint="eastAsia"/>
                <w:b/>
                <w:bCs/>
                <w:color w:val="auto"/>
                <w:sz w:val="24"/>
                <w:szCs w:val="24"/>
                <w:highlight w:val="none"/>
                <w:shd w:val="clear" w:color="auto" w:fill="FFFFFF"/>
                <w:lang w:eastAsia="zh-CN"/>
              </w:rPr>
            </w:pPr>
            <w:r>
              <w:rPr>
                <w:rFonts w:hint="eastAsia"/>
                <w:b/>
                <w:bCs/>
                <w:color w:val="auto"/>
                <w:sz w:val="24"/>
                <w:szCs w:val="24"/>
                <w:highlight w:val="none"/>
                <w:shd w:val="clear" w:color="auto" w:fill="FFFFFF"/>
              </w:rPr>
              <w:t>（</w:t>
            </w:r>
            <w:r>
              <w:rPr>
                <w:rFonts w:hint="eastAsia"/>
                <w:b/>
                <w:bCs/>
                <w:color w:val="auto"/>
                <w:sz w:val="24"/>
                <w:szCs w:val="24"/>
                <w:highlight w:val="none"/>
                <w:shd w:val="clear" w:color="auto" w:fill="FFFFFF"/>
                <w:lang w:val="en-US" w:eastAsia="zh-CN"/>
              </w:rPr>
              <w:t>4</w:t>
            </w:r>
            <w:r>
              <w:rPr>
                <w:rFonts w:hint="eastAsia"/>
                <w:b/>
                <w:bCs/>
                <w:color w:val="auto"/>
                <w:sz w:val="24"/>
                <w:szCs w:val="24"/>
                <w:highlight w:val="none"/>
                <w:shd w:val="clear" w:color="auto" w:fill="FFFFFF"/>
              </w:rPr>
              <w:t>）</w:t>
            </w:r>
            <w:r>
              <w:rPr>
                <w:rFonts w:hint="default"/>
                <w:b/>
                <w:bCs/>
                <w:color w:val="auto"/>
                <w:sz w:val="24"/>
                <w:szCs w:val="24"/>
                <w:highlight w:val="none"/>
                <w:shd w:val="clear" w:color="auto" w:fill="FFFFFF"/>
              </w:rPr>
              <w:t>与《苏州市</w:t>
            </w:r>
            <w:r>
              <w:rPr>
                <w:rFonts w:hint="eastAsia" w:ascii="宋体" w:hAnsi="宋体" w:cs="宋体"/>
                <w:b/>
                <w:bCs/>
                <w:color w:val="auto"/>
                <w:sz w:val="24"/>
                <w:szCs w:val="24"/>
                <w:highlight w:val="none"/>
                <w:shd w:val="clear" w:color="auto" w:fill="FFFFFF"/>
                <w:lang w:eastAsia="zh-CN"/>
              </w:rPr>
              <w:t>“</w:t>
            </w:r>
            <w:r>
              <w:rPr>
                <w:rFonts w:hint="eastAsia" w:ascii="宋体" w:hAnsi="宋体" w:eastAsia="宋体" w:cs="宋体"/>
                <w:b/>
                <w:bCs/>
                <w:color w:val="auto"/>
                <w:sz w:val="24"/>
                <w:szCs w:val="24"/>
                <w:highlight w:val="none"/>
                <w:shd w:val="clear" w:color="auto" w:fill="FFFFFF"/>
              </w:rPr>
              <w:t>三线一单</w:t>
            </w:r>
            <w:r>
              <w:rPr>
                <w:rFonts w:hint="eastAsia" w:ascii="宋体" w:hAnsi="宋体" w:cs="宋体"/>
                <w:b/>
                <w:bCs/>
                <w:color w:val="auto"/>
                <w:sz w:val="24"/>
                <w:szCs w:val="24"/>
                <w:highlight w:val="none"/>
                <w:shd w:val="clear" w:color="auto" w:fill="FFFFFF"/>
                <w:lang w:eastAsia="zh-CN"/>
              </w:rPr>
              <w:t>”</w:t>
            </w:r>
            <w:r>
              <w:rPr>
                <w:rFonts w:hint="default"/>
                <w:b/>
                <w:bCs/>
                <w:color w:val="auto"/>
                <w:sz w:val="24"/>
                <w:szCs w:val="24"/>
                <w:highlight w:val="none"/>
                <w:shd w:val="clear" w:color="auto" w:fill="FFFFFF"/>
              </w:rPr>
              <w:t>生态环境分区管控实施方案》（苏环办字〔2020〕313号）</w:t>
            </w:r>
            <w:r>
              <w:rPr>
                <w:rFonts w:hint="eastAsia"/>
                <w:b/>
                <w:bCs/>
                <w:color w:val="auto"/>
                <w:sz w:val="24"/>
                <w:szCs w:val="24"/>
                <w:highlight w:val="none"/>
                <w:shd w:val="clear" w:color="auto" w:fill="FFFFFF"/>
                <w:lang w:eastAsia="zh-CN"/>
              </w:rPr>
              <w:t>、《苏州市2023年度生态环境分区管控动态更新成果》相符性分析</w:t>
            </w:r>
          </w:p>
          <w:p w14:paraId="06A805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eastAsia="宋体"/>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rPr>
              <w:t>生产地址</w:t>
            </w:r>
            <w:r>
              <w:rPr>
                <w:rFonts w:hint="eastAsia" w:ascii="Times New Roman" w:hAnsi="Times New Roman" w:eastAsia="宋体" w:cs="Times New Roman"/>
                <w:color w:val="auto"/>
                <w:sz w:val="24"/>
                <w:szCs w:val="24"/>
                <w:highlight w:val="none"/>
                <w:lang w:val="en-US" w:eastAsia="zh-CN"/>
              </w:rPr>
              <w:t>为江苏省苏州市相城区元春路353号</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位于</w:t>
            </w:r>
            <w:r>
              <w:rPr>
                <w:rFonts w:hint="eastAsia"/>
                <w:color w:val="auto"/>
                <w:sz w:val="24"/>
                <w:szCs w:val="24"/>
                <w:highlight w:val="none"/>
                <w:lang w:val="en-US" w:eastAsia="zh-CN"/>
              </w:rPr>
              <w:t>江苏省相城高新技术产业开发区（太平产业园）</w:t>
            </w:r>
            <w:r>
              <w:rPr>
                <w:rFonts w:hint="eastAsia"/>
                <w:color w:val="auto"/>
                <w:sz w:val="24"/>
                <w:szCs w:val="24"/>
                <w:highlight w:val="none"/>
                <w:lang w:eastAsia="zh-CN"/>
              </w:rPr>
              <w:t>，</w:t>
            </w:r>
            <w:r>
              <w:rPr>
                <w:rFonts w:hint="eastAsia"/>
                <w:color w:val="auto"/>
                <w:sz w:val="24"/>
                <w:szCs w:val="24"/>
                <w:highlight w:val="none"/>
              </w:rPr>
              <w:t>对照《苏州市</w:t>
            </w:r>
            <w:r>
              <w:rPr>
                <w:rFonts w:hint="eastAsia"/>
                <w:color w:val="auto"/>
                <w:sz w:val="24"/>
                <w:szCs w:val="24"/>
                <w:highlight w:val="none"/>
                <w:lang w:eastAsia="zh-CN"/>
              </w:rPr>
              <w:t>“</w:t>
            </w:r>
            <w:r>
              <w:rPr>
                <w:rFonts w:hint="eastAsia"/>
                <w:color w:val="auto"/>
                <w:sz w:val="24"/>
                <w:szCs w:val="24"/>
                <w:highlight w:val="none"/>
              </w:rPr>
              <w:t>三线一单</w:t>
            </w:r>
            <w:r>
              <w:rPr>
                <w:rFonts w:hint="eastAsia"/>
                <w:color w:val="auto"/>
                <w:sz w:val="24"/>
                <w:szCs w:val="24"/>
                <w:highlight w:val="none"/>
                <w:lang w:eastAsia="zh-CN"/>
              </w:rPr>
              <w:t>”</w:t>
            </w:r>
            <w:r>
              <w:rPr>
                <w:rFonts w:hint="eastAsia"/>
                <w:color w:val="auto"/>
                <w:sz w:val="24"/>
                <w:szCs w:val="24"/>
                <w:highlight w:val="none"/>
              </w:rPr>
              <w:t>生态环境分区管控实施方案》（苏环办字〔2020〕313号）中</w:t>
            </w:r>
            <w:r>
              <w:rPr>
                <w:rFonts w:hint="eastAsia"/>
                <w:color w:val="auto"/>
                <w:sz w:val="24"/>
                <w:szCs w:val="24"/>
                <w:highlight w:val="none"/>
                <w:lang w:eastAsia="zh-CN"/>
              </w:rPr>
              <w:t>“</w:t>
            </w:r>
            <w:r>
              <w:rPr>
                <w:rFonts w:hint="eastAsia"/>
                <w:color w:val="auto"/>
                <w:sz w:val="24"/>
                <w:szCs w:val="24"/>
                <w:highlight w:val="none"/>
              </w:rPr>
              <w:t>苏州市环境管控单元名录</w:t>
            </w:r>
            <w:r>
              <w:rPr>
                <w:rFonts w:hint="eastAsia"/>
                <w:color w:val="auto"/>
                <w:sz w:val="24"/>
                <w:szCs w:val="24"/>
                <w:highlight w:val="none"/>
                <w:lang w:eastAsia="zh-CN"/>
              </w:rPr>
              <w:t>”</w:t>
            </w:r>
            <w:r>
              <w:rPr>
                <w:rFonts w:hint="eastAsia"/>
                <w:color w:val="auto"/>
                <w:sz w:val="24"/>
                <w:szCs w:val="24"/>
                <w:highlight w:val="none"/>
                <w:lang w:val="en-US" w:eastAsia="zh-CN"/>
              </w:rPr>
              <w:t>和《苏州市2023年度生态环境分区管控动态更新成果》</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lang w:val="en-US" w:eastAsia="zh-CN"/>
              </w:rPr>
              <w:t>江苏省相城高新技术产业开发区（太平产业园）（1.94km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w:t>
            </w:r>
            <w:r>
              <w:rPr>
                <w:rFonts w:hint="eastAsia"/>
                <w:color w:val="auto"/>
                <w:sz w:val="24"/>
                <w:szCs w:val="24"/>
                <w:highlight w:val="none"/>
                <w:lang w:eastAsia="zh-CN"/>
              </w:rPr>
              <w:t>”</w:t>
            </w:r>
            <w:r>
              <w:rPr>
                <w:rFonts w:hint="default"/>
                <w:color w:val="auto"/>
                <w:sz w:val="24"/>
                <w:szCs w:val="24"/>
                <w:highlight w:val="none"/>
              </w:rPr>
              <w:t>属于其规定的重点管控单元</w:t>
            </w:r>
            <w:r>
              <w:rPr>
                <w:rFonts w:hint="eastAsia"/>
                <w:color w:val="auto"/>
                <w:sz w:val="24"/>
                <w:szCs w:val="24"/>
                <w:highlight w:val="none"/>
                <w:lang w:eastAsia="zh-CN"/>
              </w:rPr>
              <w:t>（</w:t>
            </w:r>
            <w:r>
              <w:rPr>
                <w:rFonts w:hint="eastAsia"/>
                <w:color w:val="auto"/>
                <w:sz w:val="24"/>
                <w:szCs w:val="24"/>
                <w:highlight w:val="none"/>
                <w:lang w:val="en-US" w:eastAsia="zh-CN"/>
              </w:rPr>
              <w:t>附图8</w:t>
            </w:r>
            <w:r>
              <w:rPr>
                <w:rFonts w:hint="eastAsia"/>
                <w:color w:val="auto"/>
                <w:sz w:val="24"/>
                <w:szCs w:val="24"/>
                <w:highlight w:val="none"/>
                <w:lang w:eastAsia="zh-CN"/>
              </w:rPr>
              <w:t>）</w:t>
            </w:r>
            <w:r>
              <w:rPr>
                <w:rFonts w:hint="default"/>
                <w:color w:val="auto"/>
                <w:sz w:val="24"/>
                <w:szCs w:val="24"/>
                <w:highlight w:val="none"/>
              </w:rPr>
              <w:t>。</w:t>
            </w:r>
            <w:r>
              <w:rPr>
                <w:rFonts w:hint="eastAsia"/>
                <w:color w:val="auto"/>
                <w:sz w:val="24"/>
                <w:szCs w:val="24"/>
                <w:highlight w:val="none"/>
                <w:lang w:val="en-US" w:eastAsia="zh-CN"/>
              </w:rPr>
              <w:t>对照苏州市市域生态环境管控要求及苏州市重点管控单元生态环境准入清单，具体分析如下。</w:t>
            </w:r>
          </w:p>
          <w:p w14:paraId="17416A6C">
            <w:pPr>
              <w:pStyle w:val="32"/>
              <w:keepNext/>
              <w:keepLines/>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与</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苏州市市域生态环境管控要求</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相符性分析</w:t>
            </w:r>
          </w:p>
          <w:tbl>
            <w:tblPr>
              <w:tblStyle w:val="20"/>
              <w:tblW w:w="9116" w:type="dxa"/>
              <w:tblInd w:w="-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6"/>
              <w:gridCol w:w="4503"/>
              <w:gridCol w:w="3252"/>
              <w:gridCol w:w="845"/>
            </w:tblGrid>
            <w:tr w14:paraId="7273D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52" w:type="pct"/>
                  <w:gridSpan w:val="2"/>
                  <w:tcBorders>
                    <w:tl2br w:val="nil"/>
                    <w:tr2bl w:val="nil"/>
                  </w:tcBorders>
                  <w:vAlign w:val="center"/>
                </w:tcPr>
                <w:p w14:paraId="2C201F6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生态环境管控要求</w:t>
                  </w:r>
                </w:p>
              </w:tc>
              <w:tc>
                <w:tcPr>
                  <w:tcW w:w="1783" w:type="pct"/>
                  <w:tcBorders>
                    <w:tl2br w:val="nil"/>
                    <w:tr2bl w:val="nil"/>
                  </w:tcBorders>
                  <w:vAlign w:val="center"/>
                </w:tcPr>
                <w:p w14:paraId="43E0557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本项目情况</w:t>
                  </w:r>
                </w:p>
              </w:tc>
              <w:tc>
                <w:tcPr>
                  <w:tcW w:w="463" w:type="pct"/>
                  <w:tcBorders>
                    <w:tl2br w:val="nil"/>
                    <w:tr2bl w:val="nil"/>
                  </w:tcBorders>
                  <w:vAlign w:val="center"/>
                </w:tcPr>
                <w:p w14:paraId="14E3510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相符性</w:t>
                  </w:r>
                </w:p>
              </w:tc>
            </w:tr>
            <w:tr w14:paraId="07E19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restart"/>
                  <w:tcBorders>
                    <w:tl2br w:val="nil"/>
                    <w:tr2bl w:val="nil"/>
                  </w:tcBorders>
                  <w:vAlign w:val="center"/>
                </w:tcPr>
                <w:p w14:paraId="0F0CD8B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2469" w:type="pct"/>
                  <w:tcBorders>
                    <w:tl2br w:val="nil"/>
                    <w:tr2bl w:val="nil"/>
                  </w:tcBorders>
                  <w:vAlign w:val="center"/>
                </w:tcPr>
                <w:p w14:paraId="001BACD3">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按照《自然资源部生态环境部国家林业和草原局关于加强生态保护红线管理的通知（试行）》（自然资发〔2022〕142号）、《省政府关于印发江苏省生态空间管控区域规划的通知》（苏政发〔2020〕1号）、《关于进一步加强生态保护红线监督</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管理的通知》（苏自然函〔202</w:t>
                  </w:r>
                  <w:r>
                    <w:rPr>
                      <w:rFonts w:hint="eastAsia" w:ascii="Times New Roman" w:hAnsi="Times New Roman" w:eastAsia="仿宋" w:cs="Times New Roman"/>
                      <w:color w:val="auto"/>
                      <w:sz w:val="21"/>
                      <w:szCs w:val="21"/>
                      <w:highlight w:val="none"/>
                      <w:lang w:val="en-US" w:eastAsia="zh-CN"/>
                    </w:rPr>
                    <w:t>3</w:t>
                  </w:r>
                  <w:r>
                    <w:rPr>
                      <w:rFonts w:hint="default" w:ascii="Times New Roman" w:hAnsi="Times New Roman" w:eastAsia="仿宋" w:cs="Times New Roman"/>
                      <w:color w:val="auto"/>
                      <w:sz w:val="21"/>
                      <w:szCs w:val="21"/>
                      <w:highlight w:val="none"/>
                      <w:lang w:val="en-US" w:eastAsia="zh-CN"/>
                    </w:rPr>
                    <w:t>〕880号）、《苏州市国土空间总体规划（2021-2035年）》，坚持节约优先、保护优先、自然恢复为主的方针，以改善生态环境质量为核心，以保障和维护生态功能为主线，统筹山水林田湖草沙一体化保护和修复，严守生态保护红线，实行最严格的生态空间管控制度，确保全市生态功能不降低、面积不减少、性质不改变，切实维护生态安全。</w:t>
                  </w:r>
                </w:p>
              </w:tc>
              <w:tc>
                <w:tcPr>
                  <w:tcW w:w="1783" w:type="pct"/>
                  <w:tcBorders>
                    <w:tl2br w:val="nil"/>
                    <w:tr2bl w:val="nil"/>
                  </w:tcBorders>
                  <w:vAlign w:val="center"/>
                </w:tcPr>
                <w:p w14:paraId="12E18D44">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本项目不在生态保护</w:t>
                  </w:r>
                  <w:r>
                    <w:rPr>
                      <w:rFonts w:hint="default" w:ascii="Times New Roman" w:hAnsi="Times New Roman" w:eastAsia="仿宋" w:cs="Times New Roman"/>
                      <w:color w:val="auto"/>
                      <w:sz w:val="21"/>
                      <w:szCs w:val="21"/>
                      <w:highlight w:val="none"/>
                      <w:lang w:val="en-US" w:eastAsia="zh-CN"/>
                    </w:rPr>
                    <w:t>红线</w:t>
                  </w:r>
                  <w:r>
                    <w:rPr>
                      <w:rFonts w:hint="default" w:ascii="Times New Roman" w:hAnsi="Times New Roman" w:eastAsia="仿宋" w:cs="Times New Roman"/>
                      <w:color w:val="auto"/>
                      <w:sz w:val="21"/>
                      <w:szCs w:val="21"/>
                      <w:highlight w:val="none"/>
                      <w:lang w:eastAsia="zh-CN"/>
                    </w:rPr>
                    <w:t>及</w:t>
                  </w:r>
                  <w:r>
                    <w:rPr>
                      <w:rFonts w:hint="default" w:ascii="Times New Roman" w:hAnsi="Times New Roman" w:eastAsia="仿宋" w:cs="Times New Roman"/>
                      <w:color w:val="auto"/>
                      <w:sz w:val="21"/>
                      <w:szCs w:val="21"/>
                      <w:highlight w:val="none"/>
                      <w:lang w:val="en-US" w:eastAsia="zh-CN"/>
                    </w:rPr>
                    <w:t>生态空间管控区范围</w:t>
                  </w:r>
                  <w:r>
                    <w:rPr>
                      <w:rFonts w:hint="default" w:ascii="Times New Roman" w:hAnsi="Times New Roman" w:eastAsia="仿宋" w:cs="Times New Roman"/>
                      <w:color w:val="auto"/>
                      <w:sz w:val="21"/>
                      <w:szCs w:val="21"/>
                      <w:highlight w:val="none"/>
                      <w:lang w:eastAsia="zh-CN"/>
                    </w:rPr>
                    <w:t>内。</w:t>
                  </w:r>
                </w:p>
              </w:tc>
              <w:tc>
                <w:tcPr>
                  <w:tcW w:w="463" w:type="pct"/>
                  <w:tcBorders>
                    <w:tl2br w:val="nil"/>
                    <w:tr2bl w:val="nil"/>
                  </w:tcBorders>
                  <w:vAlign w:val="center"/>
                </w:tcPr>
                <w:p w14:paraId="572A246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2800E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6572D08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32ACA7B9">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全市太湖、阳澄湖保护区执行《江苏省太湖水污染防治条例》《苏州市阳澄湖水源水质保护条例》等文件要求。</w:t>
                  </w:r>
                </w:p>
              </w:tc>
              <w:tc>
                <w:tcPr>
                  <w:tcW w:w="1783" w:type="pct"/>
                  <w:tcBorders>
                    <w:tl2br w:val="nil"/>
                    <w:tr2bl w:val="nil"/>
                  </w:tcBorders>
                  <w:vAlign w:val="center"/>
                </w:tcPr>
                <w:p w14:paraId="1697F91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本项目位于太湖流域三级保护区，阳澄湖</w:t>
                  </w:r>
                  <w:r>
                    <w:rPr>
                      <w:rFonts w:hint="eastAsia" w:eastAsia="仿宋" w:cs="Times New Roman"/>
                      <w:color w:val="auto"/>
                      <w:sz w:val="21"/>
                      <w:szCs w:val="21"/>
                      <w:highlight w:val="none"/>
                      <w:lang w:val="en-US" w:eastAsia="zh-CN"/>
                    </w:rPr>
                    <w:t>三级保护区</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本项目主要为汽车零部件及配件制造</w:t>
                  </w:r>
                  <w:r>
                    <w:rPr>
                      <w:rFonts w:hint="default" w:ascii="Times New Roman" w:hAnsi="Times New Roman" w:eastAsia="仿宋" w:cs="Times New Roman"/>
                      <w:color w:val="auto"/>
                      <w:sz w:val="21"/>
                      <w:szCs w:val="21"/>
                      <w:highlight w:val="none"/>
                      <w:lang w:val="en-US" w:eastAsia="zh-CN"/>
                    </w:rPr>
                    <w:t>，与《江苏省太湖水污染防治条例》《苏州市阳澄湖水源水质保护条例》相符。</w:t>
                  </w:r>
                </w:p>
              </w:tc>
              <w:tc>
                <w:tcPr>
                  <w:tcW w:w="463" w:type="pct"/>
                  <w:tcBorders>
                    <w:tl2br w:val="nil"/>
                    <w:tr2bl w:val="nil"/>
                  </w:tcBorders>
                  <w:vAlign w:val="center"/>
                </w:tcPr>
                <w:p w14:paraId="0F87993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37EB0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48EAEE8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7039FFBB">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严格执行《〈长江经济带发展负面清单指南（试行，2022年版）〉江苏省实施细则》（苏长江办发〔2022〕55号）中相关要求。</w:t>
                  </w:r>
                </w:p>
              </w:tc>
              <w:tc>
                <w:tcPr>
                  <w:tcW w:w="1783" w:type="pct"/>
                  <w:tcBorders>
                    <w:tl2br w:val="nil"/>
                    <w:tr2bl w:val="nil"/>
                  </w:tcBorders>
                  <w:vAlign w:val="center"/>
                </w:tcPr>
                <w:p w14:paraId="7C9186F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本项目不在《〈长江经济带发展负面清单指南（试行，2022年版）〉江苏省实施细则》（苏长江办发〔2022〕55号）所列禁止项目。</w:t>
                  </w:r>
                </w:p>
              </w:tc>
              <w:tc>
                <w:tcPr>
                  <w:tcW w:w="463" w:type="pct"/>
                  <w:tcBorders>
                    <w:tl2br w:val="nil"/>
                    <w:tr2bl w:val="nil"/>
                  </w:tcBorders>
                  <w:vAlign w:val="center"/>
                </w:tcPr>
                <w:p w14:paraId="32BB1C9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5EBB9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283" w:type="pct"/>
                  <w:vMerge w:val="continue"/>
                  <w:tcBorders>
                    <w:tl2br w:val="nil"/>
                    <w:tr2bl w:val="nil"/>
                  </w:tcBorders>
                  <w:vAlign w:val="center"/>
                </w:tcPr>
                <w:p w14:paraId="145820C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3E0D7909">
                  <w:pPr>
                    <w:pStyle w:val="9"/>
                    <w:keepNext w:val="0"/>
                    <w:keepLines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禁止引进列入《苏州市产业发展导向目录》禁止类、淘汰类的产业。</w:t>
                  </w:r>
                </w:p>
              </w:tc>
              <w:tc>
                <w:tcPr>
                  <w:tcW w:w="1783" w:type="pct"/>
                  <w:tcBorders>
                    <w:tl2br w:val="nil"/>
                    <w:tr2bl w:val="nil"/>
                  </w:tcBorders>
                  <w:vAlign w:val="center"/>
                </w:tcPr>
                <w:p w14:paraId="7577BDF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本项目不在《苏州市产业发展导向目录》中禁止类、淘汰类产业目录中。</w:t>
                  </w:r>
                </w:p>
              </w:tc>
              <w:tc>
                <w:tcPr>
                  <w:tcW w:w="463" w:type="pct"/>
                  <w:tcBorders>
                    <w:tl2br w:val="nil"/>
                    <w:tr2bl w:val="nil"/>
                  </w:tcBorders>
                  <w:vAlign w:val="center"/>
                </w:tcPr>
                <w:p w14:paraId="17A1C8C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4C6E1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40253526">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2469" w:type="pct"/>
                  <w:tcBorders>
                    <w:tl2br w:val="nil"/>
                    <w:tr2bl w:val="nil"/>
                  </w:tcBorders>
                  <w:vAlign w:val="center"/>
                </w:tcPr>
                <w:p w14:paraId="41F4C3EB">
                  <w:pPr>
                    <w:pStyle w:val="9"/>
                    <w:keepNext w:val="0"/>
                    <w:keepLines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坚持生态环境质量只能更好、不能变坏，实施污染物总量控制，以环境容量定产业、定项目、定规模，确保开发建设行为不突破生态环境承载力。</w:t>
                  </w:r>
                </w:p>
              </w:tc>
              <w:tc>
                <w:tcPr>
                  <w:tcW w:w="1783" w:type="pct"/>
                  <w:vMerge w:val="restart"/>
                  <w:tcBorders>
                    <w:tl2br w:val="nil"/>
                    <w:tr2bl w:val="nil"/>
                  </w:tcBorders>
                  <w:vAlign w:val="center"/>
                </w:tcPr>
                <w:p w14:paraId="6153D034">
                  <w:pPr>
                    <w:pStyle w:val="9"/>
                    <w:keepNext w:val="0"/>
                    <w:keepLines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本项目大气污染物在</w:t>
                  </w:r>
                  <w:r>
                    <w:rPr>
                      <w:rFonts w:hint="eastAsia" w:eastAsia="仿宋" w:cs="Times New Roman"/>
                      <w:color w:val="auto"/>
                      <w:sz w:val="21"/>
                      <w:szCs w:val="21"/>
                      <w:highlight w:val="none"/>
                      <w:lang w:val="en-US" w:eastAsia="zh-CN"/>
                    </w:rPr>
                    <w:t>太平街道</w:t>
                  </w:r>
                  <w:r>
                    <w:rPr>
                      <w:rFonts w:hint="default" w:ascii="Times New Roman" w:hAnsi="Times New Roman" w:eastAsia="仿宋" w:cs="Times New Roman"/>
                      <w:color w:val="auto"/>
                      <w:sz w:val="21"/>
                      <w:szCs w:val="21"/>
                      <w:highlight w:val="none"/>
                      <w:lang w:val="en-US" w:eastAsia="zh-CN"/>
                    </w:rPr>
                    <w:t>内平衡，水污染物在苏州高铁苏水水务有限公司</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苏州高铁新城污水厂</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厂内平衡，不会超出总量控制要求。</w:t>
                  </w:r>
                </w:p>
              </w:tc>
              <w:tc>
                <w:tcPr>
                  <w:tcW w:w="463" w:type="pct"/>
                  <w:vMerge w:val="restart"/>
                  <w:tcBorders>
                    <w:tl2br w:val="nil"/>
                    <w:tr2bl w:val="nil"/>
                  </w:tcBorders>
                  <w:vAlign w:val="center"/>
                </w:tcPr>
                <w:p w14:paraId="6C99ED7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1DE0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283" w:type="pct"/>
                  <w:vMerge w:val="continue"/>
                  <w:tcBorders>
                    <w:tl2br w:val="nil"/>
                    <w:tr2bl w:val="nil"/>
                  </w:tcBorders>
                  <w:vAlign w:val="center"/>
                </w:tcPr>
                <w:p w14:paraId="46B9685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4EA6ABCA">
                  <w:pPr>
                    <w:pStyle w:val="9"/>
                    <w:keepNext w:val="0"/>
                    <w:keepLines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2025 年苏州市主要污染物排放量达到省定要求。</w:t>
                  </w:r>
                </w:p>
              </w:tc>
              <w:tc>
                <w:tcPr>
                  <w:tcW w:w="1783" w:type="pct"/>
                  <w:vMerge w:val="continue"/>
                  <w:tcBorders>
                    <w:tl2br w:val="nil"/>
                    <w:tr2bl w:val="nil"/>
                  </w:tcBorders>
                  <w:vAlign w:val="center"/>
                </w:tcPr>
                <w:p w14:paraId="67D27C3F">
                  <w:pPr>
                    <w:pStyle w:val="9"/>
                    <w:keepNext w:val="0"/>
                    <w:keepLines w:val="0"/>
                    <w:suppressLineNumbers w:val="0"/>
                    <w:adjustRightInd w:val="0"/>
                    <w:snapToGrid w:val="0"/>
                    <w:spacing w:before="0" w:beforeAutospacing="0" w:after="0" w:afterAutospacing="0" w:line="240" w:lineRule="auto"/>
                    <w:ind w:left="0" w:leftChars="0" w:right="0"/>
                    <w:jc w:val="left"/>
                    <w:rPr>
                      <w:rFonts w:hint="default" w:ascii="Times New Roman" w:hAnsi="Times New Roman" w:eastAsia="仿宋" w:cs="Times New Roman"/>
                      <w:color w:val="auto"/>
                      <w:sz w:val="21"/>
                      <w:szCs w:val="21"/>
                      <w:highlight w:val="none"/>
                      <w:lang w:val="en-US" w:eastAsia="zh-CN"/>
                    </w:rPr>
                  </w:pPr>
                </w:p>
              </w:tc>
              <w:tc>
                <w:tcPr>
                  <w:tcW w:w="463" w:type="pct"/>
                  <w:vMerge w:val="continue"/>
                  <w:tcBorders>
                    <w:tl2br w:val="nil"/>
                    <w:tr2bl w:val="nil"/>
                  </w:tcBorders>
                  <w:vAlign w:val="center"/>
                </w:tcPr>
                <w:p w14:paraId="01D0BF84">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43E4B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7D18967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2469" w:type="pct"/>
                  <w:tcBorders>
                    <w:tl2br w:val="nil"/>
                    <w:tr2bl w:val="nil"/>
                  </w:tcBorders>
                  <w:vAlign w:val="center"/>
                </w:tcPr>
                <w:p w14:paraId="776C234C">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强化饮用水水源环境风险管控。县级以上城市全部建成应急水源或双源供水。</w:t>
                  </w:r>
                </w:p>
              </w:tc>
              <w:tc>
                <w:tcPr>
                  <w:tcW w:w="1783" w:type="pct"/>
                  <w:tcBorders>
                    <w:tl2br w:val="nil"/>
                    <w:tr2bl w:val="nil"/>
                  </w:tcBorders>
                  <w:vAlign w:val="center"/>
                </w:tcPr>
                <w:p w14:paraId="503C095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0"/>
                      <w:sz w:val="21"/>
                      <w:szCs w:val="21"/>
                      <w:highlight w:val="none"/>
                    </w:rPr>
                    <w:t>本项目不会影响饮用水水源环境</w:t>
                  </w:r>
                  <w:r>
                    <w:rPr>
                      <w:rFonts w:hint="default" w:ascii="Times New Roman" w:hAnsi="Times New Roman" w:eastAsia="仿宋" w:cs="Times New Roman"/>
                      <w:color w:val="auto"/>
                      <w:kern w:val="0"/>
                      <w:sz w:val="21"/>
                      <w:szCs w:val="21"/>
                      <w:highlight w:val="none"/>
                      <w:lang w:eastAsia="zh-CN"/>
                    </w:rPr>
                    <w:t>。</w:t>
                  </w:r>
                </w:p>
              </w:tc>
              <w:tc>
                <w:tcPr>
                  <w:tcW w:w="463" w:type="pct"/>
                  <w:tcBorders>
                    <w:tl2br w:val="nil"/>
                    <w:tr2bl w:val="nil"/>
                  </w:tcBorders>
                  <w:vAlign w:val="center"/>
                </w:tcPr>
                <w:p w14:paraId="7D75397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符合</w:t>
                  </w:r>
                </w:p>
              </w:tc>
            </w:tr>
            <w:tr w14:paraId="4CD01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6" w:hRule="atLeast"/>
              </w:trPr>
              <w:tc>
                <w:tcPr>
                  <w:tcW w:w="283" w:type="pct"/>
                  <w:vMerge w:val="continue"/>
                  <w:tcBorders>
                    <w:tl2br w:val="nil"/>
                    <w:tr2bl w:val="nil"/>
                  </w:tcBorders>
                  <w:vAlign w:val="center"/>
                </w:tcPr>
                <w:p w14:paraId="653761E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20652E47">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落实《苏州市突发环境事件应急预案》。完善市、县级市（区）两级突发环境事件应急响应体系，定期组织演练，提高应急处置能力。</w:t>
                  </w:r>
                </w:p>
              </w:tc>
              <w:tc>
                <w:tcPr>
                  <w:tcW w:w="1783" w:type="pct"/>
                  <w:tcBorders>
                    <w:tl2br w:val="nil"/>
                    <w:tr2bl w:val="nil"/>
                  </w:tcBorders>
                  <w:vAlign w:val="center"/>
                </w:tcPr>
                <w:p w14:paraId="75EB045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本项目建成后将进行突发环境事件应急预案修编并进行应急演练，与上级应急预案建立响应体系。</w:t>
                  </w:r>
                </w:p>
              </w:tc>
              <w:tc>
                <w:tcPr>
                  <w:tcW w:w="463" w:type="pct"/>
                  <w:tcBorders>
                    <w:tl2br w:val="nil"/>
                    <w:tr2bl w:val="nil"/>
                  </w:tcBorders>
                  <w:vAlign w:val="center"/>
                </w:tcPr>
                <w:p w14:paraId="0C0A3A9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符合</w:t>
                  </w:r>
                </w:p>
              </w:tc>
            </w:tr>
            <w:tr w14:paraId="48EAE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143B303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 开发 效率 要求</w:t>
                  </w:r>
                </w:p>
              </w:tc>
              <w:tc>
                <w:tcPr>
                  <w:tcW w:w="2469" w:type="pct"/>
                  <w:tcBorders>
                    <w:tl2br w:val="nil"/>
                    <w:tr2bl w:val="nil"/>
                  </w:tcBorders>
                  <w:vAlign w:val="center"/>
                </w:tcPr>
                <w:p w14:paraId="6975645A">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2025年苏州市用水总量不得超过103亿立方米。</w:t>
                  </w:r>
                </w:p>
              </w:tc>
              <w:tc>
                <w:tcPr>
                  <w:tcW w:w="1783" w:type="pct"/>
                  <w:tcBorders>
                    <w:tl2br w:val="nil"/>
                    <w:tr2bl w:val="nil"/>
                  </w:tcBorders>
                  <w:vAlign w:val="center"/>
                </w:tcPr>
                <w:p w14:paraId="4CF86B4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本项目使用新鲜水来自区域供水管网，不会突破资源利用上线。</w:t>
                  </w:r>
                </w:p>
              </w:tc>
              <w:tc>
                <w:tcPr>
                  <w:tcW w:w="463" w:type="pct"/>
                  <w:tcBorders>
                    <w:tl2br w:val="nil"/>
                    <w:tr2bl w:val="nil"/>
                  </w:tcBorders>
                  <w:vAlign w:val="center"/>
                </w:tcPr>
                <w:p w14:paraId="3C4FF608">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2CE9A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0AB08F4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0995B993">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2025年，苏州市耕地保有量完成国家下达任务。</w:t>
                  </w:r>
                </w:p>
              </w:tc>
              <w:tc>
                <w:tcPr>
                  <w:tcW w:w="1783" w:type="pct"/>
                  <w:tcBorders>
                    <w:tl2br w:val="nil"/>
                    <w:tr2bl w:val="nil"/>
                  </w:tcBorders>
                  <w:vAlign w:val="center"/>
                </w:tcPr>
                <w:p w14:paraId="60C3E36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本项目不涉及。</w:t>
                  </w:r>
                </w:p>
              </w:tc>
              <w:tc>
                <w:tcPr>
                  <w:tcW w:w="463" w:type="pct"/>
                  <w:tcBorders>
                    <w:tl2br w:val="nil"/>
                    <w:tr2bl w:val="nil"/>
                  </w:tcBorders>
                  <w:vAlign w:val="center"/>
                </w:tcPr>
                <w:p w14:paraId="0192971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002F6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23A7A41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2454B3FA">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禁燃区禁止新建、扩建燃用高污染燃料的项目和设施，已建成的应逐步或依法限期改用天然气、电或者其他清洁能源。</w:t>
                  </w:r>
                </w:p>
              </w:tc>
              <w:tc>
                <w:tcPr>
                  <w:tcW w:w="1783" w:type="pct"/>
                  <w:tcBorders>
                    <w:tl2br w:val="nil"/>
                    <w:tr2bl w:val="nil"/>
                  </w:tcBorders>
                  <w:vAlign w:val="center"/>
                </w:tcPr>
                <w:p w14:paraId="1C36939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本项目营运过程中使用电能，不使用高污染燃料。</w:t>
                  </w:r>
                </w:p>
              </w:tc>
              <w:tc>
                <w:tcPr>
                  <w:tcW w:w="463" w:type="pct"/>
                  <w:tcBorders>
                    <w:tl2br w:val="nil"/>
                    <w:tr2bl w:val="nil"/>
                  </w:tcBorders>
                  <w:vAlign w:val="center"/>
                </w:tcPr>
                <w:p w14:paraId="25A8202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bl>
          <w:p w14:paraId="48313833">
            <w:pPr>
              <w:pStyle w:val="32"/>
              <w:keepNext/>
              <w:keepLines/>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rPr>
              <w:t>项目与《</w:t>
            </w:r>
            <w:r>
              <w:rPr>
                <w:rFonts w:hint="eastAsia" w:ascii="Times New Roman" w:hAnsi="Times New Roman" w:eastAsia="宋体" w:cs="Times New Roman"/>
                <w:b/>
                <w:bCs/>
                <w:color w:val="auto"/>
                <w:sz w:val="24"/>
                <w:szCs w:val="24"/>
                <w:highlight w:val="none"/>
              </w:rPr>
              <w:t>苏州市重点管控单元生态环境准入清单</w:t>
            </w:r>
            <w:r>
              <w:rPr>
                <w:rFonts w:hint="default" w:ascii="Times New Roman" w:hAnsi="Times New Roman" w:eastAsia="宋体" w:cs="Times New Roman"/>
                <w:b/>
                <w:bCs/>
                <w:color w:val="auto"/>
                <w:sz w:val="24"/>
                <w:szCs w:val="24"/>
                <w:highlight w:val="none"/>
              </w:rPr>
              <w:t>》相符性分析</w:t>
            </w:r>
          </w:p>
          <w:tbl>
            <w:tblPr>
              <w:tblStyle w:val="20"/>
              <w:tblW w:w="5000" w:type="pct"/>
              <w:tblInd w:w="-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8"/>
              <w:gridCol w:w="4518"/>
              <w:gridCol w:w="3263"/>
              <w:gridCol w:w="847"/>
            </w:tblGrid>
            <w:tr w14:paraId="7AC7C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752" w:type="pct"/>
                  <w:gridSpan w:val="2"/>
                  <w:tcBorders>
                    <w:tl2br w:val="nil"/>
                    <w:tr2bl w:val="nil"/>
                  </w:tcBorders>
                  <w:vAlign w:val="center"/>
                </w:tcPr>
                <w:p w14:paraId="5CD1771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生态环境管控要求</w:t>
                  </w:r>
                </w:p>
              </w:tc>
              <w:tc>
                <w:tcPr>
                  <w:tcW w:w="1783" w:type="pct"/>
                  <w:tcBorders>
                    <w:tl2br w:val="nil"/>
                    <w:tr2bl w:val="nil"/>
                  </w:tcBorders>
                  <w:vAlign w:val="center"/>
                </w:tcPr>
                <w:p w14:paraId="10DE070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本项目情况</w:t>
                  </w:r>
                </w:p>
              </w:tc>
              <w:tc>
                <w:tcPr>
                  <w:tcW w:w="463" w:type="pct"/>
                  <w:tcBorders>
                    <w:tl2br w:val="nil"/>
                    <w:tr2bl w:val="nil"/>
                  </w:tcBorders>
                  <w:vAlign w:val="center"/>
                </w:tcPr>
                <w:p w14:paraId="778391B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相符性</w:t>
                  </w:r>
                </w:p>
              </w:tc>
            </w:tr>
            <w:tr w14:paraId="75C57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restart"/>
                  <w:tcBorders>
                    <w:tl2br w:val="nil"/>
                    <w:tr2bl w:val="nil"/>
                  </w:tcBorders>
                  <w:vAlign w:val="center"/>
                </w:tcPr>
                <w:p w14:paraId="465FB04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空间布局约束</w:t>
                  </w:r>
                </w:p>
              </w:tc>
              <w:tc>
                <w:tcPr>
                  <w:tcW w:w="2469" w:type="pct"/>
                  <w:tcBorders>
                    <w:tl2br w:val="nil"/>
                    <w:tr2bl w:val="nil"/>
                  </w:tcBorders>
                  <w:vAlign w:val="center"/>
                </w:tcPr>
                <w:p w14:paraId="6857C2E2">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禁止引进列入《产业结构调整指导目录》《江苏省工业和信息产业结构调整指导目录》《江苏省工业和信息产业结构调整限制、淘汰目录及能耗限额》淘汰类的产业</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禁止引进列入《外商投资产业指导目录》禁止类的产业</w:t>
                  </w:r>
                </w:p>
              </w:tc>
              <w:tc>
                <w:tcPr>
                  <w:tcW w:w="1783" w:type="pct"/>
                  <w:tcBorders>
                    <w:tl2br w:val="nil"/>
                    <w:tr2bl w:val="nil"/>
                  </w:tcBorders>
                  <w:vAlign w:val="center"/>
                </w:tcPr>
                <w:p w14:paraId="6CF694C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本项目为内资项目，未列入《产业结构调整指导目录》《江苏省工业和信息产业结构调整指导目录》《江苏省工业和信息产业结构调整、限制、淘汰目录及能耗限额》淘汰类产业，为允许类产业</w:t>
                  </w:r>
                </w:p>
              </w:tc>
              <w:tc>
                <w:tcPr>
                  <w:tcW w:w="463" w:type="pct"/>
                  <w:tcBorders>
                    <w:tl2br w:val="nil"/>
                    <w:tr2bl w:val="nil"/>
                  </w:tcBorders>
                  <w:vAlign w:val="center"/>
                </w:tcPr>
                <w:p w14:paraId="310E2A7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14AE7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1628D9A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4C527C3D">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严格执行园区总体规划及规划环评中提出的空间布局和产业准入要求，禁止引进不符合园区产业定位的项目</w:t>
                  </w:r>
                </w:p>
              </w:tc>
              <w:tc>
                <w:tcPr>
                  <w:tcW w:w="1783" w:type="pct"/>
                  <w:tcBorders>
                    <w:tl2br w:val="nil"/>
                    <w:tr2bl w:val="nil"/>
                  </w:tcBorders>
                  <w:vAlign w:val="center"/>
                </w:tcPr>
                <w:p w14:paraId="0B3DDE2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本项目为汽车零部件及配件制造项目，符合太平产业园产业定位</w:t>
                  </w:r>
                </w:p>
              </w:tc>
              <w:tc>
                <w:tcPr>
                  <w:tcW w:w="463" w:type="pct"/>
                  <w:tcBorders>
                    <w:tl2br w:val="nil"/>
                    <w:tr2bl w:val="nil"/>
                  </w:tcBorders>
                  <w:vAlign w:val="center"/>
                </w:tcPr>
                <w:p w14:paraId="7F4DCEB6">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75381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31A8B60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63D2CB63">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严格执行《江苏省太湖水污染防治条例》的分级保护要求，禁止引进不符合《条例》要求的项目</w:t>
                  </w:r>
                </w:p>
              </w:tc>
              <w:tc>
                <w:tcPr>
                  <w:tcW w:w="1783" w:type="pct"/>
                  <w:tcBorders>
                    <w:tl2br w:val="nil"/>
                    <w:tr2bl w:val="nil"/>
                  </w:tcBorders>
                  <w:vAlign w:val="center"/>
                </w:tcPr>
                <w:p w14:paraId="3CCF214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本项目位于太湖流域三级保护区，从事C3670汽车零部件及配件制造，不属于太湖流域三级保护区禁止建设项目。因此，本项目的建设符合《江苏省太湖水污染防治条例》的有关规定</w:t>
                  </w:r>
                </w:p>
              </w:tc>
              <w:tc>
                <w:tcPr>
                  <w:tcW w:w="463" w:type="pct"/>
                  <w:tcBorders>
                    <w:tl2br w:val="nil"/>
                    <w:tr2bl w:val="nil"/>
                  </w:tcBorders>
                  <w:vAlign w:val="center"/>
                </w:tcPr>
                <w:p w14:paraId="2B651978">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7333F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283" w:type="pct"/>
                  <w:vMerge w:val="continue"/>
                  <w:tcBorders>
                    <w:tl2br w:val="nil"/>
                    <w:tr2bl w:val="nil"/>
                  </w:tcBorders>
                  <w:vAlign w:val="center"/>
                </w:tcPr>
                <w:p w14:paraId="631102C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shd w:val="clear" w:color="auto" w:fill="auto"/>
                  <w:vAlign w:val="center"/>
                </w:tcPr>
                <w:p w14:paraId="7802A5E2">
                  <w:pPr>
                    <w:pStyle w:val="9"/>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严格执行《阳澄湖水源水质保护条例》相关管控要求</w:t>
                  </w:r>
                </w:p>
              </w:tc>
              <w:tc>
                <w:tcPr>
                  <w:tcW w:w="1783" w:type="pct"/>
                  <w:tcBorders>
                    <w:tl2br w:val="nil"/>
                    <w:tr2bl w:val="nil"/>
                  </w:tcBorders>
                  <w:shd w:val="clear" w:color="auto" w:fill="auto"/>
                  <w:vAlign w:val="center"/>
                </w:tcPr>
                <w:p w14:paraId="6571A65A">
                  <w:pPr>
                    <w:pStyle w:val="13"/>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本项目位于阳澄湖三级保护区，本项目不属于化工、制革、制药、造纸、电镀</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含线路板蚀刻</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、印染、洗毛、酿造、冶炼</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含焦化</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、炼油、化学品贮存和危险废物贮存、处置、利用项目，符合《阳澄湖水源水质保护条例》相关管控要求</w:t>
                  </w:r>
                </w:p>
              </w:tc>
              <w:tc>
                <w:tcPr>
                  <w:tcW w:w="463" w:type="pct"/>
                  <w:tcBorders>
                    <w:tl2br w:val="nil"/>
                    <w:tr2bl w:val="nil"/>
                  </w:tcBorders>
                  <w:vAlign w:val="center"/>
                </w:tcPr>
                <w:p w14:paraId="1B26703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3CABD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283" w:type="pct"/>
                  <w:vMerge w:val="continue"/>
                  <w:tcBorders>
                    <w:tl2br w:val="nil"/>
                    <w:tr2bl w:val="nil"/>
                  </w:tcBorders>
                  <w:vAlign w:val="center"/>
                </w:tcPr>
                <w:p w14:paraId="563AF73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11B51CA9">
                  <w:pPr>
                    <w:pStyle w:val="9"/>
                    <w:keepNext w:val="0"/>
                    <w:keepLines w:val="0"/>
                    <w:suppressLineNumbers w:val="0"/>
                    <w:adjustRightInd w:val="0"/>
                    <w:snapToGrid w:val="0"/>
                    <w:spacing w:before="0" w:beforeAutospacing="0" w:after="0" w:afterAutospacing="0" w:line="240" w:lineRule="auto"/>
                    <w:ind w:left="0" w:leftChars="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严格执行《中华人民共和国长江保护法》</w:t>
                  </w:r>
                </w:p>
              </w:tc>
              <w:tc>
                <w:tcPr>
                  <w:tcW w:w="1783" w:type="pct"/>
                  <w:tcBorders>
                    <w:tl2br w:val="nil"/>
                    <w:tr2bl w:val="nil"/>
                  </w:tcBorders>
                  <w:vAlign w:val="center"/>
                </w:tcPr>
                <w:p w14:paraId="131FCD12">
                  <w:pPr>
                    <w:pStyle w:val="13"/>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本项目严格执行《中华人民共和国长江保护法》管控要求</w:t>
                  </w:r>
                </w:p>
              </w:tc>
              <w:tc>
                <w:tcPr>
                  <w:tcW w:w="463" w:type="pct"/>
                  <w:tcBorders>
                    <w:tl2br w:val="nil"/>
                    <w:tr2bl w:val="nil"/>
                  </w:tcBorders>
                  <w:vAlign w:val="center"/>
                </w:tcPr>
                <w:p w14:paraId="69EB21E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29383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283" w:type="pct"/>
                  <w:vMerge w:val="continue"/>
                  <w:tcBorders>
                    <w:tl2br w:val="nil"/>
                    <w:tr2bl w:val="nil"/>
                  </w:tcBorders>
                  <w:vAlign w:val="center"/>
                </w:tcPr>
                <w:p w14:paraId="6DC854B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046DD2DC">
                  <w:pPr>
                    <w:pStyle w:val="1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禁止引进列入上级生态环境负面清单的项</w:t>
                  </w:r>
                  <w:r>
                    <w:rPr>
                      <w:rFonts w:hint="eastAsia" w:ascii="Times New Roman" w:hAnsi="Times New Roman" w:eastAsia="仿宋" w:cs="Times New Roman"/>
                      <w:color w:val="auto"/>
                      <w:kern w:val="2"/>
                      <w:sz w:val="21"/>
                      <w:szCs w:val="21"/>
                      <w:highlight w:val="none"/>
                      <w:lang w:val="en-US" w:eastAsia="zh-CN" w:bidi="ar-SA"/>
                    </w:rPr>
                    <w:t>目</w:t>
                  </w:r>
                </w:p>
              </w:tc>
              <w:tc>
                <w:tcPr>
                  <w:tcW w:w="1783" w:type="pct"/>
                  <w:tcBorders>
                    <w:tl2br w:val="nil"/>
                    <w:tr2bl w:val="nil"/>
                  </w:tcBorders>
                  <w:vAlign w:val="center"/>
                </w:tcPr>
                <w:p w14:paraId="0B7EF75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本项目不属于列入上级生态环境负面清单的项目</w:t>
                  </w:r>
                </w:p>
              </w:tc>
              <w:tc>
                <w:tcPr>
                  <w:tcW w:w="463" w:type="pct"/>
                  <w:tcBorders>
                    <w:tl2br w:val="nil"/>
                    <w:tr2bl w:val="nil"/>
                  </w:tcBorders>
                  <w:vAlign w:val="center"/>
                </w:tcPr>
                <w:p w14:paraId="3819F00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4AED0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78EC044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污染物排放管控</w:t>
                  </w:r>
                </w:p>
              </w:tc>
              <w:tc>
                <w:tcPr>
                  <w:tcW w:w="2469" w:type="pct"/>
                  <w:tcBorders>
                    <w:tl2br w:val="nil"/>
                    <w:tr2bl w:val="nil"/>
                  </w:tcBorders>
                  <w:vAlign w:val="top"/>
                </w:tcPr>
                <w:p w14:paraId="0401AAE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园区内企业污染物排放应满足相关国家、地方污染物排放标准要求</w:t>
                  </w:r>
                </w:p>
              </w:tc>
              <w:tc>
                <w:tcPr>
                  <w:tcW w:w="1783" w:type="pct"/>
                  <w:tcBorders>
                    <w:tl2br w:val="nil"/>
                    <w:tr2bl w:val="nil"/>
                  </w:tcBorders>
                  <w:vAlign w:val="top"/>
                </w:tcPr>
                <w:p w14:paraId="177DAB9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本项目污染物排放满足相关国家、地方污染物排放标准要求</w:t>
                  </w:r>
                </w:p>
              </w:tc>
              <w:tc>
                <w:tcPr>
                  <w:tcW w:w="463" w:type="pct"/>
                  <w:vMerge w:val="restart"/>
                  <w:tcBorders>
                    <w:tl2br w:val="nil"/>
                    <w:tr2bl w:val="nil"/>
                  </w:tcBorders>
                  <w:vAlign w:val="center"/>
                </w:tcPr>
                <w:p w14:paraId="118CF42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45F07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283" w:type="pct"/>
                  <w:vMerge w:val="continue"/>
                  <w:tcBorders>
                    <w:tl2br w:val="nil"/>
                    <w:tr2bl w:val="nil"/>
                  </w:tcBorders>
                  <w:vAlign w:val="center"/>
                </w:tcPr>
                <w:p w14:paraId="5FAAC75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337E278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园区污染物排放总量按照园区总体规划、规划环评及审查意见的要求进行管控</w:t>
                  </w:r>
                </w:p>
              </w:tc>
              <w:tc>
                <w:tcPr>
                  <w:tcW w:w="1783" w:type="pct"/>
                  <w:tcBorders>
                    <w:tl2br w:val="nil"/>
                    <w:tr2bl w:val="nil"/>
                  </w:tcBorders>
                  <w:vAlign w:val="top"/>
                </w:tcPr>
                <w:p w14:paraId="50D9791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本项目采取了有效措施减少污染物排放量，满足园区规划、规划环评及审查意见的要求</w:t>
                  </w:r>
                </w:p>
              </w:tc>
              <w:tc>
                <w:tcPr>
                  <w:tcW w:w="463" w:type="pct"/>
                  <w:vMerge w:val="continue"/>
                  <w:tcBorders>
                    <w:tl2br w:val="nil"/>
                    <w:tr2bl w:val="nil"/>
                  </w:tcBorders>
                  <w:vAlign w:val="center"/>
                </w:tcPr>
                <w:p w14:paraId="3478225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1470C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283" w:type="pct"/>
                  <w:vMerge w:val="continue"/>
                  <w:tcBorders>
                    <w:tl2br w:val="nil"/>
                    <w:tr2bl w:val="nil"/>
                  </w:tcBorders>
                  <w:vAlign w:val="center"/>
                </w:tcPr>
                <w:p w14:paraId="624C1BE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top"/>
                </w:tcPr>
                <w:p w14:paraId="1C8A2F8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根据区域环境质量改善目标，采取有效措施减少主要污染物排放总量，确保区域环境质量持续改善</w:t>
                  </w:r>
                </w:p>
              </w:tc>
              <w:tc>
                <w:tcPr>
                  <w:tcW w:w="1783" w:type="pct"/>
                  <w:tcBorders>
                    <w:tl2br w:val="nil"/>
                    <w:tr2bl w:val="nil"/>
                  </w:tcBorders>
                  <w:vAlign w:val="top"/>
                </w:tcPr>
                <w:p w14:paraId="4C9573B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本项目采取有效措施减少主要污染物排放总量，确保区域环境质量持续改善</w:t>
                  </w:r>
                </w:p>
              </w:tc>
              <w:tc>
                <w:tcPr>
                  <w:tcW w:w="463" w:type="pct"/>
                  <w:vMerge w:val="continue"/>
                  <w:tcBorders>
                    <w:tl2br w:val="nil"/>
                    <w:tr2bl w:val="nil"/>
                  </w:tcBorders>
                  <w:vAlign w:val="center"/>
                </w:tcPr>
                <w:p w14:paraId="3F179DB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r>
            <w:tr w14:paraId="2D8AF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4A53909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环境风险防控</w:t>
                  </w:r>
                </w:p>
              </w:tc>
              <w:tc>
                <w:tcPr>
                  <w:tcW w:w="2469" w:type="pct"/>
                  <w:tcBorders>
                    <w:tl2br w:val="nil"/>
                    <w:tr2bl w:val="nil"/>
                  </w:tcBorders>
                  <w:vAlign w:val="center"/>
                </w:tcPr>
                <w:p w14:paraId="169E1F3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建立以园区突发环境事件应急处置机构为核心，与地方政府和企事业单位应急处置机构联动的应急响应体系，加强应急物资装备储备，编制突发环境事件应急预案，定期开展演练</w:t>
                  </w:r>
                </w:p>
              </w:tc>
              <w:tc>
                <w:tcPr>
                  <w:tcW w:w="1783" w:type="pct"/>
                  <w:vMerge w:val="restart"/>
                  <w:tcBorders>
                    <w:tl2br w:val="nil"/>
                    <w:tr2bl w:val="nil"/>
                  </w:tcBorders>
                  <w:vAlign w:val="center"/>
                </w:tcPr>
                <w:p w14:paraId="0D5E2F8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本项目拟在取得环评批复后按照国家标准和规范</w:t>
                  </w:r>
                  <w:r>
                    <w:rPr>
                      <w:rFonts w:hint="eastAsia" w:eastAsia="仿宋" w:cs="Times New Roman"/>
                      <w:color w:val="auto"/>
                      <w:kern w:val="2"/>
                      <w:sz w:val="21"/>
                      <w:szCs w:val="21"/>
                      <w:highlight w:val="none"/>
                      <w:lang w:val="en-US" w:eastAsia="zh-CN" w:bidi="ar-SA"/>
                    </w:rPr>
                    <w:t>进行突发环境事件</w:t>
                  </w:r>
                  <w:r>
                    <w:rPr>
                      <w:rFonts w:hint="default" w:ascii="Times New Roman" w:hAnsi="Times New Roman" w:eastAsia="仿宋" w:cs="Times New Roman"/>
                      <w:color w:val="auto"/>
                      <w:kern w:val="2"/>
                      <w:sz w:val="21"/>
                      <w:szCs w:val="21"/>
                      <w:highlight w:val="none"/>
                      <w:lang w:val="en-US" w:eastAsia="zh-CN" w:bidi="ar-SA"/>
                    </w:rPr>
                    <w:t>应急预案</w:t>
                  </w:r>
                  <w:r>
                    <w:rPr>
                      <w:rFonts w:hint="eastAsia" w:eastAsia="仿宋" w:cs="Times New Roman"/>
                      <w:color w:val="auto"/>
                      <w:kern w:val="2"/>
                      <w:sz w:val="21"/>
                      <w:szCs w:val="21"/>
                      <w:highlight w:val="none"/>
                      <w:lang w:val="en-US" w:eastAsia="zh-CN" w:bidi="ar-SA"/>
                    </w:rPr>
                    <w:t>修编</w:t>
                  </w:r>
                  <w:r>
                    <w:rPr>
                      <w:rFonts w:hint="default" w:ascii="Times New Roman" w:hAnsi="Times New Roman" w:eastAsia="仿宋" w:cs="Times New Roman"/>
                      <w:color w:val="auto"/>
                      <w:kern w:val="2"/>
                      <w:sz w:val="21"/>
                      <w:szCs w:val="21"/>
                      <w:highlight w:val="none"/>
                      <w:lang w:val="en-US" w:eastAsia="zh-CN" w:bidi="ar-SA"/>
                    </w:rPr>
                    <w:t>，并与区域环境风险应急预案实现联动，配备应急救援人员和必要的应急救援器材、设备，并定期开展事故应急演练</w:t>
                  </w:r>
                </w:p>
              </w:tc>
              <w:tc>
                <w:tcPr>
                  <w:tcW w:w="463" w:type="pct"/>
                  <w:tcBorders>
                    <w:tl2br w:val="nil"/>
                    <w:tr2bl w:val="nil"/>
                  </w:tcBorders>
                  <w:vAlign w:val="center"/>
                </w:tcPr>
                <w:p w14:paraId="3A5E86A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符合</w:t>
                  </w:r>
                </w:p>
              </w:tc>
            </w:tr>
            <w:tr w14:paraId="18FFD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6" w:hRule="atLeast"/>
              </w:trPr>
              <w:tc>
                <w:tcPr>
                  <w:tcW w:w="283" w:type="pct"/>
                  <w:vMerge w:val="continue"/>
                  <w:tcBorders>
                    <w:tl2br w:val="nil"/>
                    <w:tr2bl w:val="nil"/>
                  </w:tcBorders>
                  <w:vAlign w:val="center"/>
                </w:tcPr>
                <w:p w14:paraId="1E3A3E45">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center"/>
                </w:tcPr>
                <w:p w14:paraId="5606CFA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生产、使用、储存危险化学品或其他存在环境风险的企事业单位，应当制定风险防范措施，编制突发环境事件应急预案，防止发生环境事故</w:t>
                  </w:r>
                </w:p>
              </w:tc>
              <w:tc>
                <w:tcPr>
                  <w:tcW w:w="1783" w:type="pct"/>
                  <w:vMerge w:val="continue"/>
                  <w:tcBorders>
                    <w:tl2br w:val="nil"/>
                    <w:tr2bl w:val="nil"/>
                  </w:tcBorders>
                  <w:vAlign w:val="center"/>
                </w:tcPr>
                <w:p w14:paraId="5CB68D2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p>
              </w:tc>
              <w:tc>
                <w:tcPr>
                  <w:tcW w:w="463" w:type="pct"/>
                  <w:tcBorders>
                    <w:tl2br w:val="nil"/>
                    <w:tr2bl w:val="nil"/>
                  </w:tcBorders>
                  <w:vAlign w:val="center"/>
                </w:tcPr>
                <w:p w14:paraId="7F40B874">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符合</w:t>
                  </w:r>
                </w:p>
              </w:tc>
            </w:tr>
            <w:tr w14:paraId="386FE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6" w:hRule="atLeast"/>
              </w:trPr>
              <w:tc>
                <w:tcPr>
                  <w:tcW w:w="283" w:type="pct"/>
                  <w:vMerge w:val="continue"/>
                  <w:tcBorders>
                    <w:tl2br w:val="nil"/>
                    <w:tr2bl w:val="nil"/>
                  </w:tcBorders>
                  <w:vAlign w:val="center"/>
                </w:tcPr>
                <w:p w14:paraId="7BB5E25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top"/>
                </w:tcPr>
                <w:p w14:paraId="306E5C9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加强环境影响跟踪监测，建立健全各环境要素监控体系，完善并落实园区日常环境监测与污染源监控计划</w:t>
                  </w:r>
                </w:p>
              </w:tc>
              <w:tc>
                <w:tcPr>
                  <w:tcW w:w="1783" w:type="pct"/>
                  <w:tcBorders>
                    <w:tl2br w:val="nil"/>
                    <w:tr2bl w:val="nil"/>
                  </w:tcBorders>
                  <w:vAlign w:val="center"/>
                </w:tcPr>
                <w:p w14:paraId="613B06C7">
                  <w:pPr>
                    <w:pStyle w:val="13"/>
                    <w:keepNext w:val="0"/>
                    <w:keepLines w:val="0"/>
                    <w:suppressLineNumbers w:val="0"/>
                    <w:adjustRightInd w:val="0"/>
                    <w:snapToGrid w:val="0"/>
                    <w:spacing w:before="0" w:beforeAutospacing="0" w:after="0" w:afterAutospacing="0"/>
                    <w:ind w:left="0" w:right="0"/>
                    <w:jc w:val="center"/>
                    <w:rPr>
                      <w:rFonts w:hint="default" w:eastAsia="仿宋" w:cs="Times New Roman"/>
                      <w:color w:val="auto"/>
                      <w:kern w:val="2"/>
                      <w:sz w:val="21"/>
                      <w:szCs w:val="21"/>
                      <w:highlight w:val="none"/>
                      <w:lang w:val="en-US" w:eastAsia="zh-CN" w:bidi="ar-SA"/>
                    </w:rPr>
                  </w:pPr>
                  <w:r>
                    <w:rPr>
                      <w:rFonts w:hint="default" w:eastAsia="仿宋" w:cs="Times New Roman"/>
                      <w:color w:val="auto"/>
                      <w:kern w:val="2"/>
                      <w:sz w:val="21"/>
                      <w:szCs w:val="21"/>
                      <w:highlight w:val="none"/>
                      <w:lang w:val="en-US" w:eastAsia="zh-CN" w:bidi="ar-SA"/>
                    </w:rPr>
                    <w:t>本次环评已制定运营期监测计划</w:t>
                  </w:r>
                </w:p>
              </w:tc>
              <w:tc>
                <w:tcPr>
                  <w:tcW w:w="463" w:type="pct"/>
                  <w:tcBorders>
                    <w:tl2br w:val="nil"/>
                    <w:tr2bl w:val="nil"/>
                  </w:tcBorders>
                  <w:vAlign w:val="center"/>
                </w:tcPr>
                <w:p w14:paraId="3070C95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符合</w:t>
                  </w:r>
                </w:p>
              </w:tc>
            </w:tr>
            <w:tr w14:paraId="74C07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restart"/>
                  <w:tcBorders>
                    <w:tl2br w:val="nil"/>
                    <w:tr2bl w:val="nil"/>
                  </w:tcBorders>
                  <w:vAlign w:val="center"/>
                </w:tcPr>
                <w:p w14:paraId="70AB183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资源 开发 效率 要求</w:t>
                  </w:r>
                </w:p>
              </w:tc>
              <w:tc>
                <w:tcPr>
                  <w:tcW w:w="2469" w:type="pct"/>
                  <w:tcBorders>
                    <w:tl2br w:val="nil"/>
                    <w:tr2bl w:val="nil"/>
                  </w:tcBorders>
                  <w:vAlign w:val="top"/>
                </w:tcPr>
                <w:p w14:paraId="17E80F1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园区内企业清洁生产水平、单位工业增加值新鲜水耗和综合能耗应满足园区总体规划、规划环评及审查意见要求</w:t>
                  </w:r>
                </w:p>
              </w:tc>
              <w:tc>
                <w:tcPr>
                  <w:tcW w:w="3252" w:type="dxa"/>
                  <w:tcBorders>
                    <w:tl2br w:val="nil"/>
                    <w:tr2bl w:val="nil"/>
                  </w:tcBorders>
                  <w:vAlign w:val="center"/>
                </w:tcPr>
                <w:p w14:paraId="3B079C31">
                  <w:pPr>
                    <w:pStyle w:val="13"/>
                    <w:keepNext w:val="0"/>
                    <w:keepLines w:val="0"/>
                    <w:suppressLineNumbers w:val="0"/>
                    <w:adjustRightInd w:val="0"/>
                    <w:snapToGrid w:val="0"/>
                    <w:spacing w:before="0" w:beforeAutospacing="0" w:after="0" w:afterAutospacing="0"/>
                    <w:ind w:left="0" w:right="0"/>
                    <w:jc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本项目清洁生产水平、单位工业增加值新鲜水耗和综合能耗满足园区总体规划要求</w:t>
                  </w:r>
                </w:p>
              </w:tc>
              <w:tc>
                <w:tcPr>
                  <w:tcW w:w="463" w:type="pct"/>
                  <w:tcBorders>
                    <w:tl2br w:val="nil"/>
                    <w:tr2bl w:val="nil"/>
                  </w:tcBorders>
                  <w:vAlign w:val="center"/>
                </w:tcPr>
                <w:p w14:paraId="208D0A4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r w14:paraId="6839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83" w:type="pct"/>
                  <w:vMerge w:val="continue"/>
                  <w:tcBorders>
                    <w:tl2br w:val="nil"/>
                    <w:tr2bl w:val="nil"/>
                  </w:tcBorders>
                  <w:vAlign w:val="center"/>
                </w:tcPr>
                <w:p w14:paraId="7D771BB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p>
              </w:tc>
              <w:tc>
                <w:tcPr>
                  <w:tcW w:w="2469" w:type="pct"/>
                  <w:tcBorders>
                    <w:tl2br w:val="nil"/>
                    <w:tr2bl w:val="nil"/>
                  </w:tcBorders>
                  <w:vAlign w:val="top"/>
                </w:tcPr>
                <w:p w14:paraId="5C42F95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禁止销售使用燃料为</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Ⅲ类</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严格</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具体包括：</w:t>
                  </w:r>
                  <w:r>
                    <w:rPr>
                      <w:rFonts w:hint="eastAsia" w:eastAsia="仿宋" w:cs="Times New Roman"/>
                      <w:color w:val="auto"/>
                      <w:kern w:val="2"/>
                      <w:sz w:val="21"/>
                      <w:szCs w:val="21"/>
                      <w:highlight w:val="none"/>
                      <w:lang w:val="en-US" w:eastAsia="zh-CN" w:bidi="ar-SA"/>
                    </w:rPr>
                    <w:t>1、</w:t>
                  </w:r>
                  <w:r>
                    <w:rPr>
                      <w:rFonts w:hint="default" w:ascii="Times New Roman" w:hAnsi="Times New Roman" w:eastAsia="仿宋" w:cs="Times New Roman"/>
                      <w:color w:val="auto"/>
                      <w:kern w:val="2"/>
                      <w:sz w:val="21"/>
                      <w:szCs w:val="21"/>
                      <w:highlight w:val="none"/>
                      <w:lang w:val="en-US" w:eastAsia="zh-CN" w:bidi="ar-SA"/>
                    </w:rPr>
                    <w:t>煤炭及其制品</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包括原煤、散煤、煤研石、煤泥、煤粉、水煤浆、型煤、焦炭、兰炭等</w:t>
                  </w:r>
                  <w:r>
                    <w:rPr>
                      <w:rFonts w:hint="eastAsia"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kern w:val="2"/>
                      <w:sz w:val="21"/>
                      <w:szCs w:val="21"/>
                      <w:highlight w:val="none"/>
                      <w:lang w:val="en-US" w:eastAsia="zh-CN" w:bidi="ar-SA"/>
                    </w:rPr>
                    <w:t>2、石油焦、油页岩、原油、重油、渣油、煤焦油；3、非专用锅炉或未配置高效除尘设施的专用锅炉燃用的生物质成型燃料；4、国家规定的其它高污染燃料</w:t>
                  </w:r>
                </w:p>
              </w:tc>
              <w:tc>
                <w:tcPr>
                  <w:tcW w:w="3252" w:type="dxa"/>
                  <w:tcBorders>
                    <w:tl2br w:val="nil"/>
                    <w:tr2bl w:val="nil"/>
                  </w:tcBorders>
                  <w:vAlign w:val="center"/>
                </w:tcPr>
                <w:p w14:paraId="1A81A13A">
                  <w:pPr>
                    <w:pStyle w:val="13"/>
                    <w:keepNext w:val="0"/>
                    <w:keepLines w:val="0"/>
                    <w:suppressLineNumbers w:val="0"/>
                    <w:adjustRightInd w:val="0"/>
                    <w:snapToGrid w:val="0"/>
                    <w:spacing w:before="0" w:beforeAutospacing="0" w:after="0" w:afterAutospacing="0"/>
                    <w:ind w:left="0" w:right="0"/>
                    <w:jc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本项目生产过程中使用电能、天然气，不使用高污染燃料</w:t>
                  </w:r>
                </w:p>
              </w:tc>
              <w:tc>
                <w:tcPr>
                  <w:tcW w:w="463" w:type="pct"/>
                  <w:tcBorders>
                    <w:tl2br w:val="nil"/>
                    <w:tr2bl w:val="nil"/>
                  </w:tcBorders>
                  <w:vAlign w:val="center"/>
                </w:tcPr>
                <w:p w14:paraId="2ADCCE3F">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符合</w:t>
                  </w:r>
                </w:p>
              </w:tc>
            </w:tr>
          </w:tbl>
          <w:p w14:paraId="29F587CC">
            <w:pPr>
              <w:keepNext w:val="0"/>
              <w:keepLines w:val="0"/>
              <w:suppressLineNumbers w:val="0"/>
              <w:spacing w:before="0" w:beforeAutospacing="0" w:after="0" w:afterAutospacing="0" w:line="360" w:lineRule="auto"/>
              <w:ind w:left="0" w:right="0" w:firstLine="480" w:firstLineChars="200"/>
              <w:rPr>
                <w:rFonts w:hint="default"/>
                <w:color w:val="auto"/>
                <w:szCs w:val="21"/>
                <w:highlight w:val="none"/>
              </w:rPr>
            </w:pPr>
            <w:r>
              <w:rPr>
                <w:rFonts w:hint="default"/>
                <w:color w:val="auto"/>
                <w:sz w:val="24"/>
                <w:szCs w:val="24"/>
                <w:highlight w:val="none"/>
              </w:rPr>
              <w:t>综上所述，本项目的建设符合</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三线一单</w:t>
            </w:r>
            <w:r>
              <w:rPr>
                <w:rFonts w:hint="eastAsia" w:ascii="宋体" w:hAnsi="宋体" w:cs="宋体"/>
                <w:color w:val="auto"/>
                <w:sz w:val="24"/>
                <w:szCs w:val="24"/>
                <w:highlight w:val="none"/>
                <w:lang w:eastAsia="zh-CN"/>
              </w:rPr>
              <w:t>”</w:t>
            </w:r>
            <w:r>
              <w:rPr>
                <w:rFonts w:hint="default"/>
                <w:color w:val="auto"/>
                <w:sz w:val="24"/>
                <w:szCs w:val="24"/>
                <w:highlight w:val="none"/>
              </w:rPr>
              <w:t>的相关要求。</w:t>
            </w:r>
          </w:p>
          <w:p w14:paraId="6435A5DD">
            <w:pPr>
              <w:keepNext w:val="0"/>
              <w:keepLines w:val="0"/>
              <w:pageBreakBefore w:val="0"/>
              <w:widowControl/>
              <w:suppressLineNumbers w:val="0"/>
              <w:kinsoku/>
              <w:wordWrap/>
              <w:overflowPunct/>
              <w:topLinePunct w:val="0"/>
              <w:bidi w:val="0"/>
              <w:snapToGrid w:val="0"/>
              <w:spacing w:before="0" w:beforeAutospacing="0" w:afterAutospacing="0" w:line="360" w:lineRule="auto"/>
              <w:ind w:left="0" w:right="0"/>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、产业政策相符性分析</w:t>
            </w:r>
          </w:p>
          <w:p w14:paraId="3B23B1EF">
            <w:pPr>
              <w:keepNext w:val="0"/>
              <w:keepLines w:val="0"/>
              <w:pageBreakBefore w:val="0"/>
              <w:widowControl/>
              <w:suppressLineNumbers w:val="0"/>
              <w:kinsoku/>
              <w:wordWrap/>
              <w:overflowPunct/>
              <w:topLinePunct w:val="0"/>
              <w:bidi w:val="0"/>
              <w:spacing w:before="0" w:beforeAutospacing="0" w:afterAutospacing="0" w:line="360" w:lineRule="auto"/>
              <w:ind w:left="0" w:right="0" w:firstLine="48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本项目从事</w:t>
            </w:r>
            <w:r>
              <w:rPr>
                <w:rFonts w:hint="eastAsia" w:cs="Times New Roman"/>
                <w:color w:val="auto"/>
                <w:sz w:val="24"/>
                <w:highlight w:val="none"/>
                <w:lang w:val="en-US" w:eastAsia="zh-CN"/>
              </w:rPr>
              <w:t>汽车零部件及配件制造的生产活动</w:t>
            </w:r>
            <w:r>
              <w:rPr>
                <w:rFonts w:hint="default" w:ascii="Times New Roman" w:hAnsi="Times New Roman" w:eastAsia="宋体" w:cs="Times New Roman"/>
                <w:color w:val="auto"/>
                <w:sz w:val="24"/>
                <w:highlight w:val="none"/>
              </w:rPr>
              <w:t>，对照《国民经济行业分类</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GB/T</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4754-2017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及2019年修改单</w:t>
            </w:r>
            <w:r>
              <w:rPr>
                <w:rFonts w:hint="eastAsia" w:cs="Times New Roman"/>
                <w:color w:val="auto"/>
                <w:sz w:val="24"/>
                <w:highlight w:val="none"/>
                <w:lang w:eastAsia="zh-CN"/>
              </w:rPr>
              <w:t>，</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lang w:val="en-US" w:eastAsia="zh-CN"/>
              </w:rPr>
              <w:t>C3670汽车零部件及配件制造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对照《产业结构调整指导目录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2024年本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不属于</w:t>
            </w:r>
            <w:r>
              <w:rPr>
                <w:rFonts w:hint="default" w:ascii="Times New Roman" w:hAnsi="Times New Roman" w:eastAsia="宋体" w:cs="Times New Roman"/>
                <w:color w:val="auto"/>
                <w:sz w:val="24"/>
                <w:szCs w:val="24"/>
                <w:highlight w:val="none"/>
              </w:rPr>
              <w:t>鼓励类、限制类和淘汰类，为允许类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rPr>
              <w:t>对照《江苏省产业结构调整限制、淘汰和禁止目录》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苏办发〔2018〕32号附件三</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不</w:t>
            </w:r>
            <w:r>
              <w:rPr>
                <w:rFonts w:hint="eastAsia" w:cs="Times New Roman"/>
                <w:color w:val="auto"/>
                <w:sz w:val="24"/>
                <w:highlight w:val="none"/>
                <w:lang w:eastAsia="zh-CN"/>
              </w:rPr>
              <w:t>属于</w:t>
            </w:r>
            <w:r>
              <w:rPr>
                <w:rFonts w:hint="default" w:ascii="Times New Roman" w:hAnsi="Times New Roman" w:eastAsia="宋体" w:cs="Times New Roman"/>
                <w:color w:val="auto"/>
                <w:sz w:val="24"/>
                <w:highlight w:val="none"/>
              </w:rPr>
              <w:t>限制类、淘汰类及禁止类项目，为允许类项目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对照《苏州市产业发展导向目录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2007年本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本项目不</w:t>
            </w:r>
            <w:r>
              <w:rPr>
                <w:rFonts w:hint="default" w:ascii="Times New Roman" w:hAnsi="Times New Roman" w:eastAsia="宋体" w:cs="Times New Roman"/>
                <w:color w:val="auto"/>
                <w:sz w:val="24"/>
                <w:highlight w:val="none"/>
              </w:rPr>
              <w:t>属于鼓励类</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限制类、禁止类和淘汰类</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为允许类项目；</w:t>
            </w:r>
            <w:r>
              <w:rPr>
                <w:rFonts w:hint="default" w:ascii="Times New Roman" w:hAnsi="Times New Roman" w:eastAsia="宋体" w:cs="Times New Roman"/>
                <w:color w:val="auto"/>
                <w:sz w:val="24"/>
                <w:highlight w:val="none"/>
              </w:rPr>
              <w:t>对照《环境保护综合名录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2021年版</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不属于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高污染、高环境风险</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产</w:t>
            </w:r>
            <w:r>
              <w:rPr>
                <w:rFonts w:hint="default" w:ascii="Times New Roman" w:hAnsi="Times New Roman" w:eastAsia="宋体" w:cs="Times New Roman"/>
                <w:color w:val="auto"/>
                <w:sz w:val="24"/>
                <w:highlight w:val="none"/>
              </w:rPr>
              <w:t>品名录中的行业，也未采用该名录中的重污染工艺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对照《江苏省太湖流域禁止和限制的产业产品目录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2024年本</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不属于限制类、禁止类和淘汰类项目，属于允许类项目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对照《江苏省</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两高</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项</w:t>
            </w:r>
            <w:r>
              <w:rPr>
                <w:rFonts w:hint="default" w:ascii="Times New Roman" w:hAnsi="Times New Roman" w:eastAsia="宋体" w:cs="Times New Roman"/>
                <w:color w:val="auto"/>
                <w:sz w:val="24"/>
                <w:highlight w:val="none"/>
              </w:rPr>
              <w:t>目管理目录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年版</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不属于名录内</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两高</w:t>
            </w:r>
            <w:r>
              <w:rPr>
                <w:rFonts w:hint="eastAsia" w:ascii="宋体" w:hAnsi="宋体" w:cs="宋体"/>
                <w:color w:val="auto"/>
                <w:sz w:val="24"/>
                <w:highlight w:val="none"/>
                <w:lang w:eastAsia="zh-CN"/>
              </w:rPr>
              <w:t>”</w:t>
            </w:r>
            <w:r>
              <w:rPr>
                <w:rFonts w:hint="default" w:ascii="Times New Roman" w:hAnsi="Times New Roman" w:eastAsia="宋体" w:cs="Times New Roman"/>
                <w:color w:val="auto"/>
                <w:sz w:val="24"/>
                <w:highlight w:val="none"/>
              </w:rPr>
              <w:t>行业</w:t>
            </w:r>
            <w:r>
              <w:rPr>
                <w:rFonts w:hint="default" w:ascii="Times New Roman" w:hAnsi="Times New Roman" w:eastAsia="宋体" w:cs="Times New Roman"/>
                <w:color w:val="auto"/>
                <w:sz w:val="24"/>
                <w:highlight w:val="none"/>
                <w:lang w:eastAsia="zh-CN"/>
              </w:rPr>
              <w:t>。</w:t>
            </w:r>
          </w:p>
          <w:p w14:paraId="177D8652">
            <w:pPr>
              <w:widowControl/>
              <w:autoSpaceDE/>
              <w:autoSpaceDN/>
              <w:adjustRightInd/>
              <w:snapToGrid/>
              <w:spacing w:line="360" w:lineRule="auto"/>
              <w:ind w:firstLine="487"/>
              <w:jc w:val="left"/>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因此，本项目的建设符合国家和地方产业政策。</w:t>
            </w:r>
          </w:p>
          <w:p w14:paraId="5C67B413">
            <w:pPr>
              <w:autoSpaceDE w:val="0"/>
              <w:autoSpaceDN w:val="0"/>
              <w:adjustRightInd w:val="0"/>
              <w:snapToGrid w:val="0"/>
              <w:spacing w:line="360" w:lineRule="auto"/>
              <w:jc w:val="left"/>
              <w:rPr>
                <w:b/>
                <w:bCs/>
                <w:color w:val="auto"/>
                <w:kern w:val="0"/>
                <w:sz w:val="24"/>
                <w:szCs w:val="24"/>
                <w:highlight w:val="none"/>
              </w:rPr>
            </w:pPr>
            <w:r>
              <w:rPr>
                <w:rFonts w:hint="eastAsia"/>
                <w:b/>
                <w:bCs/>
                <w:color w:val="auto"/>
                <w:kern w:val="0"/>
                <w:sz w:val="24"/>
                <w:szCs w:val="24"/>
                <w:highlight w:val="none"/>
                <w:lang w:val="en-US" w:eastAsia="zh-CN"/>
              </w:rPr>
              <w:t>7、</w:t>
            </w:r>
            <w:r>
              <w:rPr>
                <w:b/>
                <w:bCs/>
                <w:color w:val="auto"/>
                <w:kern w:val="0"/>
                <w:sz w:val="24"/>
                <w:szCs w:val="24"/>
                <w:highlight w:val="none"/>
              </w:rPr>
              <w:t>与《江苏省太湖水污染防治条例》</w:t>
            </w:r>
            <w:r>
              <w:rPr>
                <w:rFonts w:hint="eastAsia"/>
                <w:b/>
                <w:bCs/>
                <w:color w:val="auto"/>
                <w:kern w:val="0"/>
                <w:sz w:val="24"/>
                <w:szCs w:val="24"/>
                <w:highlight w:val="none"/>
              </w:rPr>
              <w:t>（2</w:t>
            </w:r>
            <w:r>
              <w:rPr>
                <w:b/>
                <w:bCs/>
                <w:color w:val="auto"/>
                <w:kern w:val="0"/>
                <w:sz w:val="24"/>
                <w:szCs w:val="24"/>
                <w:highlight w:val="none"/>
              </w:rPr>
              <w:t>021</w:t>
            </w:r>
            <w:r>
              <w:rPr>
                <w:rFonts w:hint="eastAsia"/>
                <w:b/>
                <w:bCs/>
                <w:color w:val="auto"/>
                <w:kern w:val="0"/>
                <w:sz w:val="24"/>
                <w:szCs w:val="24"/>
                <w:highlight w:val="none"/>
              </w:rPr>
              <w:t>年修订）</w:t>
            </w:r>
            <w:r>
              <w:rPr>
                <w:b/>
                <w:bCs/>
                <w:color w:val="auto"/>
                <w:kern w:val="0"/>
                <w:sz w:val="24"/>
                <w:szCs w:val="24"/>
                <w:highlight w:val="none"/>
              </w:rPr>
              <w:t>的相符性分析</w:t>
            </w:r>
          </w:p>
          <w:p w14:paraId="1174189E">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根据《江苏省太湖水污染防治条例》第四十三条，对太湖流域一、二、三级保护区内禁止下列活动：</w:t>
            </w:r>
          </w:p>
          <w:p w14:paraId="2DE12577">
            <w:pPr>
              <w:autoSpaceDE w:val="0"/>
              <w:autoSpaceDN w:val="0"/>
              <w:adjustRightInd w:val="0"/>
              <w:snapToGri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（1）</w:t>
            </w:r>
            <w:r>
              <w:rPr>
                <w:color w:val="auto"/>
                <w:kern w:val="0"/>
                <w:sz w:val="24"/>
                <w:szCs w:val="24"/>
                <w:highlight w:val="none"/>
              </w:rPr>
              <w:t>新建、改建、扩建化学制浆造纸、制革、酿造、染料、印染、电镀以及其他排放含磷、氮等污染物的企业和项目，城镇污水集中处理等环境基础设施项目和第四十六条规定的情形除外；</w:t>
            </w:r>
          </w:p>
          <w:p w14:paraId="31670552">
            <w:pPr>
              <w:autoSpaceDE w:val="0"/>
              <w:autoSpaceDN w:val="0"/>
              <w:adjustRightInd w:val="0"/>
              <w:snapToGri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（2）</w:t>
            </w:r>
            <w:r>
              <w:rPr>
                <w:color w:val="auto"/>
                <w:kern w:val="0"/>
                <w:sz w:val="24"/>
                <w:szCs w:val="24"/>
                <w:highlight w:val="none"/>
              </w:rPr>
              <w:t>销售、使用含磷洗涤用品；</w:t>
            </w:r>
          </w:p>
          <w:p w14:paraId="5843F261">
            <w:pPr>
              <w:autoSpaceDE w:val="0"/>
              <w:autoSpaceDN w:val="0"/>
              <w:adjustRightInd w:val="0"/>
              <w:snapToGrid w:val="0"/>
              <w:spacing w:line="360" w:lineRule="auto"/>
              <w:ind w:firstLine="480" w:firstLineChars="200"/>
              <w:jc w:val="left"/>
              <w:rPr>
                <w:color w:val="auto"/>
                <w:kern w:val="0"/>
                <w:sz w:val="24"/>
                <w:szCs w:val="24"/>
                <w:highlight w:val="none"/>
              </w:rPr>
            </w:pPr>
            <w:r>
              <w:rPr>
                <w:rFonts w:hint="eastAsia"/>
                <w:color w:val="auto"/>
                <w:kern w:val="0"/>
                <w:sz w:val="24"/>
                <w:szCs w:val="24"/>
                <w:highlight w:val="none"/>
              </w:rPr>
              <w:t>（3）</w:t>
            </w:r>
            <w:r>
              <w:rPr>
                <w:color w:val="auto"/>
                <w:kern w:val="0"/>
                <w:sz w:val="24"/>
                <w:szCs w:val="24"/>
                <w:highlight w:val="none"/>
              </w:rPr>
              <w:t>向水体排放或者倾倒油类、酸液、碱液、剧毒废渣废液、含放射性废渣废液、含病原体污水、工业废渣以及其他废弃物；</w:t>
            </w:r>
          </w:p>
          <w:p w14:paraId="41B65A0A">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4</w:t>
            </w:r>
            <w:r>
              <w:rPr>
                <w:color w:val="auto"/>
                <w:kern w:val="0"/>
                <w:sz w:val="24"/>
                <w:szCs w:val="24"/>
                <w:highlight w:val="none"/>
              </w:rPr>
              <w:t>）在水体清洗装贮过油类或者有毒有害污染物的车辆、船舶和容器等；</w:t>
            </w:r>
          </w:p>
          <w:p w14:paraId="0BA91391">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5</w:t>
            </w:r>
            <w:r>
              <w:rPr>
                <w:color w:val="auto"/>
                <w:kern w:val="0"/>
                <w:sz w:val="24"/>
                <w:szCs w:val="24"/>
                <w:highlight w:val="none"/>
              </w:rPr>
              <w:t>）使用农药等有毒物毒杀水生生物；</w:t>
            </w:r>
          </w:p>
          <w:p w14:paraId="706064A9">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6</w:t>
            </w:r>
            <w:r>
              <w:rPr>
                <w:color w:val="auto"/>
                <w:kern w:val="0"/>
                <w:sz w:val="24"/>
                <w:szCs w:val="24"/>
                <w:highlight w:val="none"/>
              </w:rPr>
              <w:t>）向水体直接排放人畜粪便、倾倒垃圾；</w:t>
            </w:r>
          </w:p>
          <w:p w14:paraId="3D029012">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7</w:t>
            </w:r>
            <w:r>
              <w:rPr>
                <w:color w:val="auto"/>
                <w:kern w:val="0"/>
                <w:sz w:val="24"/>
                <w:szCs w:val="24"/>
                <w:highlight w:val="none"/>
              </w:rPr>
              <w:t>）围湖造地；</w:t>
            </w:r>
          </w:p>
          <w:p w14:paraId="265DD2F0">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8</w:t>
            </w:r>
            <w:r>
              <w:rPr>
                <w:color w:val="auto"/>
                <w:kern w:val="0"/>
                <w:sz w:val="24"/>
                <w:szCs w:val="24"/>
                <w:highlight w:val="none"/>
              </w:rPr>
              <w:t>）违法开山采石，或者进行破坏林木、植被、水生生物的活动；</w:t>
            </w:r>
          </w:p>
          <w:p w14:paraId="78721734">
            <w:pPr>
              <w:autoSpaceDE w:val="0"/>
              <w:autoSpaceDN w:val="0"/>
              <w:adjustRightInd w:val="0"/>
              <w:snapToGrid w:val="0"/>
              <w:spacing w:line="360" w:lineRule="auto"/>
              <w:ind w:firstLine="480" w:firstLineChars="200"/>
              <w:jc w:val="left"/>
              <w:rPr>
                <w:color w:val="auto"/>
                <w:kern w:val="0"/>
                <w:sz w:val="24"/>
                <w:szCs w:val="24"/>
                <w:highlight w:val="none"/>
              </w:rPr>
            </w:pPr>
            <w:r>
              <w:rPr>
                <w:color w:val="auto"/>
                <w:kern w:val="0"/>
                <w:sz w:val="24"/>
                <w:szCs w:val="24"/>
                <w:highlight w:val="none"/>
              </w:rPr>
              <w:t>（</w:t>
            </w:r>
            <w:r>
              <w:rPr>
                <w:rFonts w:hint="eastAsia"/>
                <w:color w:val="auto"/>
                <w:kern w:val="0"/>
                <w:sz w:val="24"/>
                <w:szCs w:val="24"/>
                <w:highlight w:val="none"/>
              </w:rPr>
              <w:t>9</w:t>
            </w:r>
            <w:r>
              <w:rPr>
                <w:color w:val="auto"/>
                <w:kern w:val="0"/>
                <w:sz w:val="24"/>
                <w:szCs w:val="24"/>
                <w:highlight w:val="none"/>
              </w:rPr>
              <w:t>）法律、法规禁止的其他行为。</w:t>
            </w:r>
          </w:p>
          <w:p w14:paraId="425808A4">
            <w:pPr>
              <w:autoSpaceDE w:val="0"/>
              <w:autoSpaceDN w:val="0"/>
              <w:adjustRightInd w:val="0"/>
              <w:snapToGrid w:val="0"/>
              <w:spacing w:line="360" w:lineRule="auto"/>
              <w:ind w:firstLine="480" w:firstLineChars="200"/>
              <w:jc w:val="both"/>
              <w:rPr>
                <w:rFonts w:hint="eastAsia"/>
                <w:color w:val="auto"/>
                <w:kern w:val="0"/>
                <w:sz w:val="24"/>
                <w:szCs w:val="24"/>
                <w:highlight w:val="yellow"/>
                <w:lang w:val="en-US" w:eastAsia="zh-CN"/>
              </w:rPr>
            </w:pPr>
            <w:r>
              <w:rPr>
                <w:rFonts w:hint="eastAsia" w:ascii="Times New Roman" w:hAnsi="Times New Roman" w:eastAsia="宋体" w:cs="Times New Roman"/>
                <w:color w:val="auto"/>
                <w:kern w:val="0"/>
                <w:sz w:val="24"/>
                <w:szCs w:val="24"/>
                <w:highlight w:val="none"/>
                <w:lang w:val="en-US" w:eastAsia="zh-CN"/>
              </w:rPr>
              <w:t>本项目</w:t>
            </w:r>
            <w:r>
              <w:rPr>
                <w:rFonts w:ascii="Times New Roman" w:hAnsi="Times New Roman" w:eastAsia="宋体" w:cs="Times New Roman"/>
                <w:color w:val="auto"/>
                <w:kern w:val="0"/>
                <w:sz w:val="24"/>
                <w:szCs w:val="24"/>
                <w:highlight w:val="none"/>
              </w:rPr>
              <w:t>距离</w:t>
            </w:r>
            <w:r>
              <w:rPr>
                <w:color w:val="auto"/>
                <w:kern w:val="0"/>
                <w:sz w:val="24"/>
                <w:szCs w:val="24"/>
                <w:highlight w:val="none"/>
              </w:rPr>
              <w:t>太湖</w:t>
            </w:r>
            <w:r>
              <w:rPr>
                <w:rFonts w:hint="eastAsia"/>
                <w:color w:val="auto"/>
                <w:kern w:val="0"/>
                <w:sz w:val="24"/>
                <w:szCs w:val="24"/>
                <w:highlight w:val="none"/>
                <w:lang w:val="en-US" w:eastAsia="zh-CN"/>
              </w:rPr>
              <w:t>湖体</w:t>
            </w:r>
            <w:r>
              <w:rPr>
                <w:color w:val="auto"/>
                <w:kern w:val="0"/>
                <w:sz w:val="24"/>
                <w:szCs w:val="24"/>
                <w:highlight w:val="none"/>
              </w:rPr>
              <w:t>约</w:t>
            </w:r>
            <w:r>
              <w:rPr>
                <w:rFonts w:hint="eastAsia"/>
                <w:bCs/>
                <w:color w:val="auto"/>
                <w:kern w:val="0"/>
                <w:sz w:val="24"/>
                <w:szCs w:val="24"/>
                <w:highlight w:val="none"/>
                <w:lang w:val="en-US" w:eastAsia="zh-CN"/>
              </w:rPr>
              <w:t>26.3</w:t>
            </w:r>
            <w:r>
              <w:rPr>
                <w:rFonts w:hint="eastAsia"/>
                <w:color w:val="auto"/>
                <w:kern w:val="0"/>
                <w:sz w:val="24"/>
                <w:szCs w:val="24"/>
                <w:highlight w:val="none"/>
                <w:lang w:val="en-US" w:eastAsia="zh-CN"/>
              </w:rPr>
              <w:t>km</w:t>
            </w:r>
            <w:r>
              <w:rPr>
                <w:color w:val="auto"/>
                <w:kern w:val="0"/>
                <w:sz w:val="24"/>
                <w:szCs w:val="24"/>
                <w:highlight w:val="none"/>
              </w:rPr>
              <w:t>，位于太湖流域</w:t>
            </w:r>
            <w:r>
              <w:rPr>
                <w:rFonts w:hint="eastAsia"/>
                <w:color w:val="auto"/>
                <w:kern w:val="0"/>
                <w:sz w:val="24"/>
                <w:szCs w:val="24"/>
                <w:highlight w:val="none"/>
                <w:lang w:val="en-US" w:eastAsia="zh-CN"/>
              </w:rPr>
              <w:t>三</w:t>
            </w:r>
            <w:r>
              <w:rPr>
                <w:color w:val="auto"/>
                <w:kern w:val="0"/>
                <w:sz w:val="24"/>
                <w:szCs w:val="24"/>
                <w:highlight w:val="none"/>
              </w:rPr>
              <w:t>级保护区</w:t>
            </w:r>
            <w:r>
              <w:rPr>
                <w:rFonts w:hint="eastAsia"/>
                <w:color w:val="auto"/>
                <w:kern w:val="0"/>
                <w:sz w:val="24"/>
                <w:szCs w:val="24"/>
                <w:highlight w:val="none"/>
                <w:lang w:val="en-US" w:eastAsia="zh-CN"/>
              </w:rPr>
              <w:t>，本项目为C3670汽车零部件及配件制造，不属于化学制浆造纸、制革、酿造、染料、印染、电镀等项目和第（3）条~第（9）条所列禁止内容，且本项目不销售、使用含磷洗涤用品。</w:t>
            </w:r>
          </w:p>
          <w:p w14:paraId="5E4F1B47">
            <w:pPr>
              <w:autoSpaceDE w:val="0"/>
              <w:autoSpaceDN w:val="0"/>
              <w:adjustRightInd w:val="0"/>
              <w:snapToGrid w:val="0"/>
              <w:spacing w:line="360" w:lineRule="auto"/>
              <w:ind w:firstLine="480" w:firstLineChars="200"/>
              <w:jc w:val="both"/>
              <w:rPr>
                <w:rFonts w:hint="eastAsia"/>
                <w:color w:val="auto"/>
                <w:kern w:val="0"/>
                <w:sz w:val="24"/>
                <w:szCs w:val="24"/>
                <w:highlight w:val="none"/>
                <w:lang w:val="en-US" w:eastAsia="zh-CN"/>
              </w:rPr>
            </w:pPr>
            <w:r>
              <w:rPr>
                <w:rFonts w:hint="eastAsia"/>
                <w:color w:val="auto"/>
                <w:kern w:val="0"/>
                <w:sz w:val="24"/>
                <w:szCs w:val="24"/>
                <w:highlight w:val="none"/>
                <w:lang w:val="en-US" w:eastAsia="zh-CN"/>
              </w:rPr>
              <w:t>第四十六条规定：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7F3EE4A1">
            <w:pPr>
              <w:autoSpaceDE w:val="0"/>
              <w:autoSpaceDN w:val="0"/>
              <w:adjustRightInd w:val="0"/>
              <w:snapToGrid w:val="0"/>
              <w:spacing w:line="360" w:lineRule="auto"/>
              <w:ind w:firstLine="480" w:firstLineChars="200"/>
              <w:jc w:val="both"/>
              <w:rPr>
                <w:rFonts w:hint="eastAsia"/>
                <w:color w:val="auto"/>
                <w:kern w:val="0"/>
                <w:sz w:val="24"/>
                <w:szCs w:val="24"/>
                <w:highlight w:val="none"/>
                <w:lang w:val="en-US" w:eastAsia="zh-CN"/>
              </w:rPr>
            </w:pPr>
            <w:r>
              <w:rPr>
                <w:rFonts w:hint="eastAsia"/>
                <w:color w:val="auto"/>
                <w:kern w:val="0"/>
                <w:sz w:val="24"/>
                <w:szCs w:val="24"/>
                <w:highlight w:val="none"/>
                <w:lang w:val="en-US" w:eastAsia="zh-CN"/>
              </w:rPr>
              <w:t>根据《江苏省太湖流域战略性新兴产业类别目录（2018年本）》，“一、我省太湖流域应当贯彻科学发展观，落实环保优先方针，坚持先规划、后开发，在保护中开发、在开发中保护的原则，在实现国家和省减排目标的基础上，按照区域磷、氮等重点水污染物年排放总量减量替代的要求，可在太湖流域二、三级保护区的工业集聚区内新建、改建、扩建《目录》中确定的战略性新兴产业具体类别项目。其中，在太湖流域二级保护区禁止新建、扩建化工、医药生产项目。”</w:t>
            </w:r>
          </w:p>
          <w:p w14:paraId="18084BD9">
            <w:pPr>
              <w:autoSpaceDE w:val="0"/>
              <w:autoSpaceDN w:val="0"/>
              <w:adjustRightInd w:val="0"/>
              <w:snapToGrid w:val="0"/>
              <w:spacing w:line="360" w:lineRule="auto"/>
              <w:ind w:firstLine="480" w:firstLineChars="200"/>
              <w:jc w:val="both"/>
              <w:rPr>
                <w:rFonts w:hint="eastAsia"/>
                <w:color w:val="auto"/>
                <w:kern w:val="0"/>
                <w:sz w:val="24"/>
                <w:szCs w:val="24"/>
                <w:highlight w:val="yellow"/>
                <w:lang w:val="en-US" w:eastAsia="zh-CN"/>
              </w:rPr>
            </w:pPr>
            <w:r>
              <w:rPr>
                <w:rFonts w:hint="eastAsia"/>
                <w:color w:val="auto"/>
                <w:kern w:val="0"/>
                <w:sz w:val="24"/>
                <w:szCs w:val="24"/>
                <w:highlight w:val="yellow"/>
                <w:lang w:val="en-US" w:eastAsia="zh-CN"/>
              </w:rPr>
              <w:t>本项目位于太湖流域三级保护区的工业聚集区内，又根据《江苏省太湖流域战略性新兴产业认定协调会会议纪要》（还未评审），经过专家初审及现场答辩，认定为江苏省太湖流域战略性新兴产业项目，排放含氮、磷废水。</w:t>
            </w:r>
          </w:p>
          <w:p w14:paraId="06FF981C">
            <w:pPr>
              <w:autoSpaceDE w:val="0"/>
              <w:autoSpaceDN w:val="0"/>
              <w:adjustRightInd w:val="0"/>
              <w:snapToGrid w:val="0"/>
              <w:spacing w:line="360" w:lineRule="auto"/>
              <w:ind w:firstLine="480" w:firstLineChars="200"/>
              <w:jc w:val="both"/>
              <w:rPr>
                <w:rFonts w:hint="eastAsia"/>
                <w:color w:val="auto"/>
                <w:kern w:val="0"/>
                <w:sz w:val="24"/>
                <w:szCs w:val="24"/>
                <w:highlight w:val="none"/>
                <w:lang w:val="en-US" w:eastAsia="zh-CN"/>
              </w:rPr>
            </w:pPr>
            <w:r>
              <w:rPr>
                <w:rFonts w:hint="eastAsia"/>
                <w:color w:val="auto"/>
                <w:kern w:val="0"/>
                <w:sz w:val="24"/>
                <w:szCs w:val="24"/>
                <w:highlight w:val="none"/>
                <w:lang w:val="en-US" w:eastAsia="zh-CN"/>
              </w:rPr>
              <w:t>本项目的废水污染因子COD、氨氮、总氮、总磷排放量在苏州高铁苏水水务有限公司（苏州高铁新城污水厂）内平衡；根据《省政府办公厅关于印发江苏省太湖流域建设项目重点水污染物排放总量指标减量替代管理暂行办法的通知》（苏政办发〔2018〕44号）中“第十二条，战略性新兴产业新建、扩建项目新增的重点水污染物（总氮、总磷）排放总量应当从减量替代指标中取得，且按照不低于该项目新增年排放总量的1.1倍实施减量替代”。</w:t>
            </w:r>
          </w:p>
          <w:p w14:paraId="4BF113CF">
            <w:pPr>
              <w:autoSpaceDE w:val="0"/>
              <w:autoSpaceDN w:val="0"/>
              <w:adjustRightInd w:val="0"/>
              <w:snapToGrid w:val="0"/>
              <w:spacing w:line="360" w:lineRule="auto"/>
              <w:ind w:firstLine="480" w:firstLineChars="200"/>
              <w:jc w:val="both"/>
              <w:rPr>
                <w:color w:val="auto"/>
                <w:kern w:val="0"/>
                <w:sz w:val="24"/>
                <w:szCs w:val="24"/>
                <w:highlight w:val="none"/>
              </w:rPr>
            </w:pPr>
            <w:r>
              <w:rPr>
                <w:rFonts w:hint="eastAsia"/>
                <w:color w:val="auto"/>
                <w:kern w:val="0"/>
                <w:sz w:val="24"/>
                <w:szCs w:val="24"/>
                <w:highlight w:val="none"/>
                <w:lang w:val="en-US" w:eastAsia="zh-CN"/>
              </w:rPr>
              <w:t>综上，本项目的建设符合《江苏省太湖水污染防治条例》（2021年修订）第四十三条、第四十六条及《江苏省太湖流域战略性新兴产业类别目录（2018年本）》要求。</w:t>
            </w:r>
          </w:p>
          <w:p w14:paraId="7A91D805">
            <w:pPr>
              <w:autoSpaceDE w:val="0"/>
              <w:autoSpaceDN w:val="0"/>
              <w:adjustRightInd w:val="0"/>
              <w:snapToGrid w:val="0"/>
              <w:spacing w:line="360" w:lineRule="auto"/>
              <w:jc w:val="left"/>
              <w:rPr>
                <w:b/>
                <w:bCs/>
                <w:color w:val="auto"/>
                <w:kern w:val="0"/>
                <w:sz w:val="24"/>
                <w:szCs w:val="24"/>
                <w:highlight w:val="none"/>
              </w:rPr>
            </w:pPr>
            <w:r>
              <w:rPr>
                <w:rFonts w:hint="eastAsia"/>
                <w:b/>
                <w:bCs/>
                <w:color w:val="auto"/>
                <w:kern w:val="0"/>
                <w:sz w:val="24"/>
                <w:szCs w:val="24"/>
                <w:highlight w:val="none"/>
                <w:lang w:val="en-US" w:eastAsia="zh-CN"/>
              </w:rPr>
              <w:t>8、</w:t>
            </w:r>
            <w:r>
              <w:rPr>
                <w:b/>
                <w:bCs/>
                <w:color w:val="auto"/>
                <w:kern w:val="0"/>
                <w:sz w:val="24"/>
                <w:szCs w:val="24"/>
                <w:highlight w:val="none"/>
              </w:rPr>
              <w:t>与《太湖流域管理条例》的相符性分析</w:t>
            </w:r>
          </w:p>
          <w:p w14:paraId="3779DC3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lang w:eastAsia="zh-CN"/>
              </w:rPr>
            </w:pPr>
            <w:r>
              <w:rPr>
                <w:rFonts w:hint="default"/>
                <w:color w:val="auto"/>
                <w:kern w:val="0"/>
                <w:sz w:val="24"/>
                <w:szCs w:val="24"/>
                <w:highlight w:val="none"/>
              </w:rPr>
              <w:t>根据《太湖流域管理条例》</w:t>
            </w:r>
            <w:r>
              <w:rPr>
                <w:rFonts w:hint="eastAsia"/>
                <w:color w:val="auto"/>
                <w:kern w:val="0"/>
                <w:sz w:val="24"/>
                <w:szCs w:val="24"/>
                <w:highlight w:val="none"/>
                <w:lang w:eastAsia="zh-CN"/>
              </w:rPr>
              <w:t>（</w:t>
            </w:r>
            <w:r>
              <w:rPr>
                <w:rFonts w:hint="default"/>
                <w:color w:val="auto"/>
                <w:kern w:val="0"/>
                <w:sz w:val="24"/>
                <w:szCs w:val="24"/>
                <w:highlight w:val="none"/>
              </w:rPr>
              <w:t>自2011年11月1日起施行</w:t>
            </w:r>
            <w:r>
              <w:rPr>
                <w:rFonts w:hint="eastAsia"/>
                <w:color w:val="auto"/>
                <w:kern w:val="0"/>
                <w:sz w:val="24"/>
                <w:szCs w:val="24"/>
                <w:highlight w:val="none"/>
                <w:lang w:eastAsia="zh-CN"/>
              </w:rPr>
              <w:t>）</w:t>
            </w:r>
          </w:p>
          <w:p w14:paraId="386D546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4"/>
                <w:highlight w:val="none"/>
              </w:rPr>
            </w:pPr>
            <w:r>
              <w:rPr>
                <w:rFonts w:hint="default"/>
                <w:color w:val="auto"/>
                <w:kern w:val="0"/>
                <w:sz w:val="24"/>
                <w:szCs w:val="24"/>
                <w:highlight w:val="none"/>
              </w:rPr>
              <w:t>第四章第二十八条：排污单位排放水污染物，不得超过经核定的水污染物排放总量，并应当按照规定设置便于检查、采样的规范化排污口，悬挂标志牌</w:t>
            </w:r>
            <w:r>
              <w:rPr>
                <w:rFonts w:hint="eastAsia"/>
                <w:color w:val="auto"/>
                <w:kern w:val="0"/>
                <w:sz w:val="24"/>
                <w:szCs w:val="24"/>
                <w:highlight w:val="none"/>
                <w:lang w:eastAsia="zh-CN"/>
              </w:rPr>
              <w:t>；</w:t>
            </w:r>
            <w:r>
              <w:rPr>
                <w:rFonts w:hint="default"/>
                <w:color w:val="auto"/>
                <w:kern w:val="0"/>
                <w:sz w:val="24"/>
                <w:szCs w:val="24"/>
                <w:highlight w:val="none"/>
              </w:rPr>
              <w:t>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太湖流域新设企业应当符合国家规定的清洁生产要求，现有的企业尚未达到清洁生产要求的，应当按照清洁生产规划要求进行技术改造，两省一市人民政府应当加强监督检查。</w:t>
            </w:r>
          </w:p>
          <w:p w14:paraId="554AD7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4"/>
                <w:highlight w:val="none"/>
              </w:rPr>
            </w:pPr>
            <w:r>
              <w:rPr>
                <w:rFonts w:hint="default"/>
                <w:color w:val="auto"/>
                <w:kern w:val="0"/>
                <w:sz w:val="24"/>
                <w:szCs w:val="24"/>
                <w:highlight w:val="none"/>
              </w:rPr>
              <w:t>第四章第二十九条：新孟河、望虞河以外的其他主要入太湖河道，自河口1万米上溯至5万米河道岸线内及其岸线两侧各1000米范围内，禁止下列行为</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一</w:t>
            </w:r>
            <w:r>
              <w:rPr>
                <w:rFonts w:hint="eastAsia"/>
                <w:color w:val="auto"/>
                <w:kern w:val="0"/>
                <w:sz w:val="24"/>
                <w:szCs w:val="24"/>
                <w:highlight w:val="none"/>
                <w:lang w:eastAsia="zh-CN"/>
              </w:rPr>
              <w:t>）</w:t>
            </w:r>
            <w:r>
              <w:rPr>
                <w:rFonts w:hint="default"/>
                <w:color w:val="auto"/>
                <w:kern w:val="0"/>
                <w:sz w:val="24"/>
                <w:szCs w:val="24"/>
                <w:highlight w:val="none"/>
              </w:rPr>
              <w:t>新建、扩建化工、医药生产项目</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二</w:t>
            </w:r>
            <w:r>
              <w:rPr>
                <w:rFonts w:hint="eastAsia"/>
                <w:color w:val="auto"/>
                <w:kern w:val="0"/>
                <w:sz w:val="24"/>
                <w:szCs w:val="24"/>
                <w:highlight w:val="none"/>
                <w:lang w:eastAsia="zh-CN"/>
              </w:rPr>
              <w:t>）</w:t>
            </w:r>
            <w:r>
              <w:rPr>
                <w:rFonts w:hint="default"/>
                <w:color w:val="auto"/>
                <w:kern w:val="0"/>
                <w:sz w:val="24"/>
                <w:szCs w:val="24"/>
                <w:highlight w:val="none"/>
              </w:rPr>
              <w:t>新建、扩建污水集中处理设施排污口以外的排污口</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三</w:t>
            </w:r>
            <w:r>
              <w:rPr>
                <w:rFonts w:hint="eastAsia"/>
                <w:color w:val="auto"/>
                <w:kern w:val="0"/>
                <w:sz w:val="24"/>
                <w:szCs w:val="24"/>
                <w:highlight w:val="none"/>
                <w:lang w:eastAsia="zh-CN"/>
              </w:rPr>
              <w:t>）</w:t>
            </w:r>
            <w:r>
              <w:rPr>
                <w:rFonts w:hint="default"/>
                <w:color w:val="auto"/>
                <w:kern w:val="0"/>
                <w:sz w:val="24"/>
                <w:szCs w:val="24"/>
                <w:highlight w:val="none"/>
              </w:rPr>
              <w:t>扩大水产养殖规模。</w:t>
            </w:r>
          </w:p>
          <w:p w14:paraId="332E575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4"/>
                <w:highlight w:val="none"/>
              </w:rPr>
            </w:pPr>
            <w:r>
              <w:rPr>
                <w:rFonts w:hint="default"/>
                <w:color w:val="auto"/>
                <w:kern w:val="0"/>
                <w:sz w:val="24"/>
                <w:szCs w:val="24"/>
                <w:highlight w:val="none"/>
              </w:rPr>
              <w:t>第四章第三十条</w:t>
            </w:r>
            <w:r>
              <w:rPr>
                <w:rFonts w:hint="eastAsia"/>
                <w:color w:val="auto"/>
                <w:kern w:val="0"/>
                <w:sz w:val="24"/>
                <w:szCs w:val="24"/>
                <w:highlight w:val="none"/>
              </w:rPr>
              <w:t>：</w:t>
            </w:r>
            <w:r>
              <w:rPr>
                <w:rFonts w:hint="default"/>
                <w:color w:val="auto"/>
                <w:kern w:val="0"/>
                <w:sz w:val="24"/>
                <w:szCs w:val="24"/>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一</w:t>
            </w:r>
            <w:r>
              <w:rPr>
                <w:rFonts w:hint="eastAsia"/>
                <w:color w:val="auto"/>
                <w:kern w:val="0"/>
                <w:sz w:val="24"/>
                <w:szCs w:val="24"/>
                <w:highlight w:val="none"/>
                <w:lang w:eastAsia="zh-CN"/>
              </w:rPr>
              <w:t>）</w:t>
            </w:r>
            <w:r>
              <w:rPr>
                <w:rFonts w:hint="default"/>
                <w:color w:val="auto"/>
                <w:kern w:val="0"/>
                <w:sz w:val="24"/>
                <w:szCs w:val="24"/>
                <w:highlight w:val="none"/>
              </w:rPr>
              <w:t>设置剧毒物质、危险化学品的贮存、输送设施和废物回收场、垃圾场</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二</w:t>
            </w:r>
            <w:r>
              <w:rPr>
                <w:rFonts w:hint="eastAsia"/>
                <w:color w:val="auto"/>
                <w:kern w:val="0"/>
                <w:sz w:val="24"/>
                <w:szCs w:val="24"/>
                <w:highlight w:val="none"/>
                <w:lang w:eastAsia="zh-CN"/>
              </w:rPr>
              <w:t>）</w:t>
            </w:r>
            <w:r>
              <w:rPr>
                <w:rFonts w:hint="default"/>
                <w:color w:val="auto"/>
                <w:kern w:val="0"/>
                <w:sz w:val="24"/>
                <w:szCs w:val="24"/>
                <w:highlight w:val="none"/>
              </w:rPr>
              <w:t>设置水上餐饮经营设施</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三</w:t>
            </w:r>
            <w:r>
              <w:rPr>
                <w:rFonts w:hint="eastAsia"/>
                <w:color w:val="auto"/>
                <w:kern w:val="0"/>
                <w:sz w:val="24"/>
                <w:szCs w:val="24"/>
                <w:highlight w:val="none"/>
                <w:lang w:eastAsia="zh-CN"/>
              </w:rPr>
              <w:t>）</w:t>
            </w:r>
            <w:r>
              <w:rPr>
                <w:rFonts w:hint="default"/>
                <w:color w:val="auto"/>
                <w:kern w:val="0"/>
                <w:sz w:val="24"/>
                <w:szCs w:val="24"/>
                <w:highlight w:val="none"/>
              </w:rPr>
              <w:t>新建、扩建高尔夫球场</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四</w:t>
            </w:r>
            <w:r>
              <w:rPr>
                <w:rFonts w:hint="eastAsia"/>
                <w:color w:val="auto"/>
                <w:kern w:val="0"/>
                <w:sz w:val="24"/>
                <w:szCs w:val="24"/>
                <w:highlight w:val="none"/>
                <w:lang w:eastAsia="zh-CN"/>
              </w:rPr>
              <w:t>）</w:t>
            </w:r>
            <w:r>
              <w:rPr>
                <w:rFonts w:hint="default"/>
                <w:color w:val="auto"/>
                <w:kern w:val="0"/>
                <w:sz w:val="24"/>
                <w:szCs w:val="24"/>
                <w:highlight w:val="none"/>
              </w:rPr>
              <w:t>新建、扩建畜禽养殖场</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五</w:t>
            </w:r>
            <w:r>
              <w:rPr>
                <w:rFonts w:hint="eastAsia"/>
                <w:color w:val="auto"/>
                <w:kern w:val="0"/>
                <w:sz w:val="24"/>
                <w:szCs w:val="24"/>
                <w:highlight w:val="none"/>
                <w:lang w:eastAsia="zh-CN"/>
              </w:rPr>
              <w:t>）</w:t>
            </w:r>
            <w:r>
              <w:rPr>
                <w:rFonts w:hint="default"/>
                <w:color w:val="auto"/>
                <w:kern w:val="0"/>
                <w:sz w:val="24"/>
                <w:szCs w:val="24"/>
                <w:highlight w:val="none"/>
              </w:rPr>
              <w:t>新建、扩建向水体排放污染物的建设项目</w:t>
            </w:r>
            <w:r>
              <w:rPr>
                <w:rFonts w:hint="eastAsia"/>
                <w:color w:val="auto"/>
                <w:kern w:val="0"/>
                <w:sz w:val="24"/>
                <w:szCs w:val="24"/>
                <w:highlight w:val="none"/>
              </w:rPr>
              <w:t>；</w:t>
            </w:r>
            <w:r>
              <w:rPr>
                <w:rFonts w:hint="eastAsia"/>
                <w:color w:val="auto"/>
                <w:kern w:val="0"/>
                <w:sz w:val="24"/>
                <w:szCs w:val="24"/>
                <w:highlight w:val="none"/>
                <w:lang w:eastAsia="zh-CN"/>
              </w:rPr>
              <w:t>（</w:t>
            </w:r>
            <w:r>
              <w:rPr>
                <w:rFonts w:hint="default"/>
                <w:color w:val="auto"/>
                <w:kern w:val="0"/>
                <w:sz w:val="24"/>
                <w:szCs w:val="24"/>
                <w:highlight w:val="none"/>
              </w:rPr>
              <w:t>六</w:t>
            </w:r>
            <w:r>
              <w:rPr>
                <w:rFonts w:hint="eastAsia"/>
                <w:color w:val="auto"/>
                <w:kern w:val="0"/>
                <w:sz w:val="24"/>
                <w:szCs w:val="24"/>
                <w:highlight w:val="none"/>
                <w:lang w:eastAsia="zh-CN"/>
              </w:rPr>
              <w:t>）</w:t>
            </w:r>
            <w:r>
              <w:rPr>
                <w:rFonts w:hint="default"/>
                <w:color w:val="auto"/>
                <w:kern w:val="0"/>
                <w:sz w:val="24"/>
                <w:szCs w:val="24"/>
                <w:highlight w:val="none"/>
              </w:rPr>
              <w:t>本条例第二十九条规定的行为。已经设置前款第一项、第二项规定设施的，当地县级人民政府应当责令拆除或者关闭。</w:t>
            </w:r>
          </w:p>
          <w:p w14:paraId="13DA0E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szCs w:val="24"/>
                <w:highlight w:val="none"/>
              </w:rPr>
            </w:pPr>
            <w:r>
              <w:rPr>
                <w:rFonts w:hint="default" w:ascii="Times New Roman" w:hAnsi="Times New Roman" w:eastAsia="宋体" w:cs="Times New Roman"/>
                <w:color w:val="auto"/>
                <w:kern w:val="0"/>
                <w:sz w:val="24"/>
                <w:szCs w:val="24"/>
                <w:highlight w:val="none"/>
              </w:rPr>
              <w:t>本项目距离太</w:t>
            </w:r>
            <w:r>
              <w:rPr>
                <w:rFonts w:hint="default"/>
                <w:color w:val="auto"/>
                <w:kern w:val="0"/>
                <w:sz w:val="24"/>
                <w:szCs w:val="24"/>
                <w:highlight w:val="none"/>
              </w:rPr>
              <w:t>湖</w:t>
            </w:r>
            <w:r>
              <w:rPr>
                <w:rFonts w:hint="eastAsia"/>
                <w:color w:val="auto"/>
                <w:kern w:val="0"/>
                <w:sz w:val="24"/>
                <w:szCs w:val="24"/>
                <w:highlight w:val="none"/>
                <w:lang w:val="en-US" w:eastAsia="zh-CN"/>
              </w:rPr>
              <w:t>湖体</w:t>
            </w:r>
            <w:r>
              <w:rPr>
                <w:rFonts w:hint="default"/>
                <w:color w:val="auto"/>
                <w:kern w:val="0"/>
                <w:sz w:val="24"/>
                <w:szCs w:val="24"/>
                <w:highlight w:val="none"/>
              </w:rPr>
              <w:t>约</w:t>
            </w:r>
            <w:r>
              <w:rPr>
                <w:rFonts w:hint="eastAsia"/>
                <w:color w:val="auto"/>
                <w:kern w:val="0"/>
                <w:sz w:val="24"/>
                <w:szCs w:val="24"/>
                <w:highlight w:val="none"/>
                <w:lang w:val="en-US" w:eastAsia="zh-CN"/>
              </w:rPr>
              <w:t>26.3</w:t>
            </w:r>
            <w:r>
              <w:rPr>
                <w:rFonts w:hint="eastAsia"/>
                <w:color w:val="auto"/>
                <w:kern w:val="0"/>
                <w:sz w:val="24"/>
                <w:szCs w:val="24"/>
                <w:highlight w:val="none"/>
              </w:rPr>
              <w:t>km</w:t>
            </w:r>
            <w:r>
              <w:rPr>
                <w:rFonts w:hint="default"/>
                <w:color w:val="auto"/>
                <w:kern w:val="0"/>
                <w:sz w:val="24"/>
                <w:szCs w:val="24"/>
                <w:highlight w:val="none"/>
              </w:rPr>
              <w:t>，</w:t>
            </w:r>
            <w:r>
              <w:rPr>
                <w:rFonts w:hint="eastAsia"/>
                <w:color w:val="auto"/>
                <w:kern w:val="0"/>
                <w:sz w:val="24"/>
                <w:szCs w:val="24"/>
                <w:highlight w:val="none"/>
              </w:rPr>
              <w:t>不在太湖岸线内和岸线周边5000米范围内；距离望虞河</w:t>
            </w:r>
            <w:r>
              <w:rPr>
                <w:rFonts w:hint="eastAsia"/>
                <w:color w:val="auto"/>
                <w:kern w:val="0"/>
                <w:sz w:val="24"/>
                <w:szCs w:val="24"/>
                <w:highlight w:val="none"/>
                <w:lang w:val="en-US" w:eastAsia="zh-CN"/>
              </w:rPr>
              <w:t>河体</w:t>
            </w:r>
            <w:r>
              <w:rPr>
                <w:rFonts w:hint="eastAsia"/>
                <w:color w:val="auto"/>
                <w:kern w:val="0"/>
                <w:sz w:val="24"/>
                <w:szCs w:val="24"/>
                <w:highlight w:val="none"/>
              </w:rPr>
              <w:t>约</w:t>
            </w:r>
            <w:r>
              <w:rPr>
                <w:rFonts w:hint="eastAsia"/>
                <w:color w:val="auto"/>
                <w:kern w:val="0"/>
                <w:sz w:val="24"/>
                <w:szCs w:val="24"/>
                <w:highlight w:val="none"/>
                <w:lang w:val="en-US" w:eastAsia="zh-CN"/>
              </w:rPr>
              <w:t>14.1</w:t>
            </w:r>
            <w:r>
              <w:rPr>
                <w:rFonts w:hint="eastAsia"/>
                <w:color w:val="auto"/>
                <w:kern w:val="0"/>
                <w:sz w:val="24"/>
                <w:szCs w:val="24"/>
                <w:highlight w:val="none"/>
              </w:rPr>
              <w:t>km，不在</w:t>
            </w:r>
            <w:r>
              <w:rPr>
                <w:rFonts w:hint="default"/>
                <w:color w:val="auto"/>
                <w:kern w:val="0"/>
                <w:sz w:val="24"/>
                <w:szCs w:val="24"/>
                <w:highlight w:val="none"/>
              </w:rPr>
              <w:t>河岸线内</w:t>
            </w:r>
            <w:r>
              <w:rPr>
                <w:rFonts w:hint="eastAsia"/>
                <w:color w:val="auto"/>
                <w:kern w:val="0"/>
                <w:sz w:val="24"/>
                <w:szCs w:val="24"/>
                <w:highlight w:val="none"/>
              </w:rPr>
              <w:t>及</w:t>
            </w:r>
            <w:r>
              <w:rPr>
                <w:rFonts w:hint="default"/>
                <w:color w:val="auto"/>
                <w:kern w:val="0"/>
                <w:sz w:val="24"/>
                <w:szCs w:val="24"/>
                <w:highlight w:val="none"/>
              </w:rPr>
              <w:t>岸线两侧各1000米范围内</w:t>
            </w:r>
            <w:r>
              <w:rPr>
                <w:rFonts w:hint="eastAsia"/>
                <w:color w:val="auto"/>
                <w:kern w:val="0"/>
                <w:sz w:val="24"/>
                <w:szCs w:val="24"/>
                <w:highlight w:val="none"/>
              </w:rPr>
              <w:t>。</w:t>
            </w:r>
            <w:r>
              <w:rPr>
                <w:rFonts w:hint="default"/>
                <w:color w:val="auto"/>
                <w:kern w:val="0"/>
                <w:sz w:val="24"/>
                <w:szCs w:val="24"/>
                <w:highlight w:val="none"/>
              </w:rPr>
              <w:t>本项目</w:t>
            </w:r>
            <w:r>
              <w:rPr>
                <w:rFonts w:hint="eastAsia"/>
                <w:color w:val="auto"/>
                <w:kern w:val="0"/>
                <w:sz w:val="24"/>
                <w:szCs w:val="24"/>
                <w:highlight w:val="none"/>
                <w:lang w:val="en-US" w:eastAsia="zh-CN"/>
              </w:rPr>
              <w:t>主要从事汽车零部件及配件制造的生产活动</w:t>
            </w:r>
            <w:r>
              <w:rPr>
                <w:rFonts w:hint="default"/>
                <w:color w:val="auto"/>
                <w:kern w:val="0"/>
                <w:sz w:val="24"/>
                <w:szCs w:val="24"/>
                <w:highlight w:val="none"/>
              </w:rPr>
              <w:t>，不属于条例中禁止建设项目，因此不违背《</w:t>
            </w:r>
            <w:r>
              <w:rPr>
                <w:rFonts w:hint="default"/>
                <w:color w:val="auto"/>
                <w:kern w:val="0"/>
                <w:sz w:val="24"/>
                <w:highlight w:val="none"/>
              </w:rPr>
              <w:t>太湖流域管理条例</w:t>
            </w:r>
            <w:r>
              <w:rPr>
                <w:rFonts w:hint="default"/>
                <w:color w:val="auto"/>
                <w:kern w:val="0"/>
                <w:sz w:val="24"/>
                <w:szCs w:val="24"/>
                <w:highlight w:val="none"/>
              </w:rPr>
              <w:t>》的有关规定。</w:t>
            </w:r>
          </w:p>
          <w:p w14:paraId="678CDA33">
            <w:pPr>
              <w:autoSpaceDE w:val="0"/>
              <w:autoSpaceDN w:val="0"/>
              <w:adjustRightInd w:val="0"/>
              <w:snapToGrid w:val="0"/>
              <w:spacing w:line="360" w:lineRule="auto"/>
              <w:jc w:val="left"/>
              <w:rPr>
                <w:b/>
                <w:color w:val="auto"/>
                <w:kern w:val="0"/>
                <w:sz w:val="24"/>
                <w:szCs w:val="24"/>
                <w:highlight w:val="none"/>
              </w:rPr>
            </w:pPr>
            <w:r>
              <w:rPr>
                <w:rFonts w:hint="eastAsia"/>
                <w:b/>
                <w:color w:val="auto"/>
                <w:kern w:val="0"/>
                <w:sz w:val="24"/>
                <w:szCs w:val="24"/>
                <w:highlight w:val="none"/>
                <w:lang w:val="en-US" w:eastAsia="zh-CN"/>
              </w:rPr>
              <w:t>9、</w:t>
            </w:r>
            <w:r>
              <w:rPr>
                <w:b/>
                <w:color w:val="auto"/>
                <w:kern w:val="0"/>
                <w:sz w:val="24"/>
                <w:szCs w:val="24"/>
                <w:highlight w:val="none"/>
              </w:rPr>
              <w:t>与《苏州市阳澄湖水源水质保护条例》的相符性分析</w:t>
            </w:r>
          </w:p>
          <w:p w14:paraId="47A9432F">
            <w:pPr>
              <w:widowControl w:val="0"/>
              <w:autoSpaceDE w:val="0"/>
              <w:autoSpaceDN w:val="0"/>
              <w:adjustRightInd w:val="0"/>
              <w:snapToGrid w:val="0"/>
              <w:spacing w:line="360" w:lineRule="auto"/>
              <w:ind w:firstLine="480" w:firstLineChars="200"/>
              <w:jc w:val="left"/>
              <w:rPr>
                <w:rFonts w:hint="eastAsia"/>
                <w:color w:val="auto"/>
                <w:kern w:val="0"/>
                <w:sz w:val="24"/>
                <w:szCs w:val="24"/>
                <w:highlight w:val="none"/>
              </w:rPr>
            </w:pPr>
            <w:r>
              <w:rPr>
                <w:rFonts w:hint="eastAsia"/>
                <w:color w:val="auto"/>
                <w:kern w:val="0"/>
                <w:sz w:val="24"/>
                <w:szCs w:val="24"/>
                <w:highlight w:val="none"/>
              </w:rPr>
              <w:t>根据《苏州市阳澄湖水源水质保护条例》</w:t>
            </w:r>
            <w:r>
              <w:rPr>
                <w:rFonts w:hint="eastAsia"/>
                <w:color w:val="auto"/>
                <w:kern w:val="0"/>
                <w:sz w:val="24"/>
                <w:szCs w:val="24"/>
                <w:highlight w:val="none"/>
                <w:lang w:eastAsia="zh-CN"/>
              </w:rPr>
              <w:t>（</w:t>
            </w:r>
            <w:r>
              <w:rPr>
                <w:rFonts w:hint="eastAsia"/>
                <w:color w:val="auto"/>
                <w:kern w:val="0"/>
                <w:sz w:val="24"/>
                <w:szCs w:val="24"/>
                <w:highlight w:val="none"/>
              </w:rPr>
              <w:t>2018年修订</w:t>
            </w:r>
            <w:r>
              <w:rPr>
                <w:rFonts w:hint="eastAsia"/>
                <w:color w:val="auto"/>
                <w:kern w:val="0"/>
                <w:sz w:val="24"/>
                <w:szCs w:val="24"/>
                <w:highlight w:val="none"/>
                <w:lang w:eastAsia="zh-CN"/>
              </w:rPr>
              <w:t>），</w:t>
            </w:r>
            <w:r>
              <w:rPr>
                <w:rFonts w:hint="eastAsia"/>
                <w:color w:val="auto"/>
                <w:kern w:val="0"/>
                <w:sz w:val="24"/>
                <w:szCs w:val="24"/>
                <w:highlight w:val="none"/>
              </w:rPr>
              <w:t>阳澄湖水源水质保护区划分为</w:t>
            </w:r>
          </w:p>
          <w:p w14:paraId="1BC4599C">
            <w:pPr>
              <w:widowControl w:val="0"/>
              <w:autoSpaceDE w:val="0"/>
              <w:autoSpaceDN w:val="0"/>
              <w:adjustRightInd w:val="0"/>
              <w:snapToGrid w:val="0"/>
              <w:spacing w:line="360" w:lineRule="auto"/>
              <w:ind w:firstLine="480" w:firstLineChars="200"/>
              <w:jc w:val="left"/>
              <w:rPr>
                <w:rFonts w:hint="eastAsia"/>
                <w:color w:val="auto"/>
                <w:kern w:val="0"/>
                <w:sz w:val="24"/>
                <w:szCs w:val="24"/>
                <w:highlight w:val="none"/>
              </w:rPr>
            </w:pPr>
            <w:r>
              <w:rPr>
                <w:rFonts w:hint="eastAsia"/>
                <w:color w:val="auto"/>
                <w:kern w:val="0"/>
                <w:sz w:val="24"/>
                <w:szCs w:val="24"/>
                <w:highlight w:val="none"/>
              </w:rPr>
              <w:t>一级保护区、二级保护区和三级保护区。</w:t>
            </w:r>
          </w:p>
          <w:p w14:paraId="5AFFE556">
            <w:pPr>
              <w:widowControl w:val="0"/>
              <w:autoSpaceDE w:val="0"/>
              <w:autoSpaceDN w:val="0"/>
              <w:adjustRightInd w:val="0"/>
              <w:snapToGrid w:val="0"/>
              <w:spacing w:line="360" w:lineRule="auto"/>
              <w:ind w:firstLine="480" w:firstLineChars="200"/>
              <w:jc w:val="left"/>
              <w:rPr>
                <w:rFonts w:hint="eastAsia"/>
                <w:color w:val="auto"/>
                <w:kern w:val="0"/>
                <w:sz w:val="24"/>
                <w:szCs w:val="24"/>
                <w:highlight w:val="none"/>
              </w:rPr>
            </w:pPr>
            <w:r>
              <w:rPr>
                <w:rFonts w:hint="eastAsia"/>
                <w:color w:val="auto"/>
                <w:kern w:val="0"/>
                <w:sz w:val="24"/>
                <w:szCs w:val="24"/>
                <w:highlight w:val="none"/>
              </w:rPr>
              <w:t>一级保护区：以集中式供水取水口为中心、半径五百米范围内的水域和陆域；傀儡湖、野尤泾水域及其沿岸纵深一百米的水域和陆域。</w:t>
            </w:r>
          </w:p>
          <w:p w14:paraId="162E144F">
            <w:pPr>
              <w:widowControl w:val="0"/>
              <w:autoSpaceDE w:val="0"/>
              <w:autoSpaceDN w:val="0"/>
              <w:adjustRightInd w:val="0"/>
              <w:snapToGrid w:val="0"/>
              <w:spacing w:line="360" w:lineRule="auto"/>
              <w:ind w:firstLine="480" w:firstLineChars="200"/>
              <w:jc w:val="left"/>
              <w:rPr>
                <w:rFonts w:hint="eastAsia"/>
                <w:color w:val="auto"/>
                <w:kern w:val="0"/>
                <w:sz w:val="24"/>
                <w:szCs w:val="24"/>
                <w:highlight w:val="none"/>
              </w:rPr>
            </w:pPr>
            <w:r>
              <w:rPr>
                <w:rFonts w:hint="eastAsia"/>
                <w:color w:val="auto"/>
                <w:kern w:val="0"/>
                <w:sz w:val="24"/>
                <w:szCs w:val="24"/>
                <w:highlight w:val="none"/>
              </w:rPr>
              <w:t>二级保护区：阳澄湖、傀儡湖及沿岸纵深一千米的水域和陆域；北河泾入湖口上溯五千米及沿岸纵深五百米。上述范围内已划为一级保护区的除外。</w:t>
            </w:r>
          </w:p>
          <w:p w14:paraId="219BBF34">
            <w:pPr>
              <w:widowControl w:val="0"/>
              <w:autoSpaceDE w:val="0"/>
              <w:autoSpaceDN w:val="0"/>
              <w:adjustRightInd w:val="0"/>
              <w:snapToGrid w:val="0"/>
              <w:spacing w:line="360" w:lineRule="auto"/>
              <w:ind w:firstLine="480" w:firstLineChars="200"/>
              <w:jc w:val="left"/>
              <w:rPr>
                <w:rFonts w:ascii="Times New Roman" w:hAnsi="Times New Roman" w:cs="Times New Roman"/>
                <w:color w:val="auto"/>
                <w:kern w:val="0"/>
                <w:sz w:val="24"/>
                <w:szCs w:val="24"/>
                <w:highlight w:val="none"/>
              </w:rPr>
            </w:pPr>
            <w:r>
              <w:rPr>
                <w:rFonts w:hint="eastAsia"/>
                <w:color w:val="auto"/>
                <w:kern w:val="0"/>
                <w:sz w:val="24"/>
                <w:szCs w:val="24"/>
                <w:highlight w:val="none"/>
              </w:rPr>
              <w:t>三级保护区：西至元和塘，东至张家港河</w:t>
            </w:r>
            <w:r>
              <w:rPr>
                <w:rFonts w:hint="eastAsia"/>
                <w:color w:val="auto"/>
                <w:kern w:val="0"/>
                <w:sz w:val="24"/>
                <w:szCs w:val="24"/>
                <w:highlight w:val="none"/>
                <w:lang w:eastAsia="zh-CN"/>
              </w:rPr>
              <w:t>（</w:t>
            </w:r>
            <w:r>
              <w:rPr>
                <w:rFonts w:hint="eastAsia"/>
                <w:color w:val="auto"/>
                <w:kern w:val="0"/>
                <w:sz w:val="24"/>
                <w:szCs w:val="24"/>
                <w:highlight w:val="none"/>
              </w:rPr>
              <w:t>自张家港河与元和塘交接处往张家港河至昆 山西仓基河与娄江交接处止</w:t>
            </w:r>
            <w:r>
              <w:rPr>
                <w:rFonts w:hint="eastAsia"/>
                <w:color w:val="auto"/>
                <w:kern w:val="0"/>
                <w:sz w:val="24"/>
                <w:szCs w:val="24"/>
                <w:highlight w:val="none"/>
                <w:lang w:eastAsia="zh-CN"/>
              </w:rPr>
              <w:t>），</w:t>
            </w:r>
            <w:r>
              <w:rPr>
                <w:rFonts w:hint="eastAsia"/>
                <w:color w:val="auto"/>
                <w:kern w:val="0"/>
                <w:sz w:val="24"/>
                <w:szCs w:val="24"/>
                <w:highlight w:val="none"/>
              </w:rPr>
              <w:t>南到娄江</w:t>
            </w:r>
            <w:r>
              <w:rPr>
                <w:rFonts w:hint="eastAsia"/>
                <w:color w:val="auto"/>
                <w:kern w:val="0"/>
                <w:sz w:val="24"/>
                <w:szCs w:val="24"/>
                <w:highlight w:val="none"/>
                <w:lang w:eastAsia="zh-CN"/>
              </w:rPr>
              <w:t>（</w:t>
            </w:r>
            <w:r>
              <w:rPr>
                <w:rFonts w:hint="eastAsia"/>
                <w:color w:val="auto"/>
                <w:kern w:val="0"/>
                <w:sz w:val="24"/>
                <w:szCs w:val="24"/>
                <w:highlight w:val="none"/>
              </w:rPr>
              <w:t>自市区外城河齐门始，经娄门沿娄江至昆山西仓基河与娄江交接处止</w:t>
            </w:r>
            <w:r>
              <w:rPr>
                <w:rFonts w:hint="eastAsia"/>
                <w:color w:val="auto"/>
                <w:kern w:val="0"/>
                <w:sz w:val="24"/>
                <w:szCs w:val="24"/>
                <w:highlight w:val="none"/>
                <w:lang w:eastAsia="zh-CN"/>
              </w:rPr>
              <w:t>），</w:t>
            </w:r>
            <w:r>
              <w:rPr>
                <w:rFonts w:hint="eastAsia"/>
                <w:color w:val="auto"/>
                <w:kern w:val="0"/>
                <w:sz w:val="24"/>
                <w:szCs w:val="24"/>
                <w:highlight w:val="none"/>
              </w:rPr>
              <w:t>上述水域及其所围绕的三角地区已划为一、二级保护区的除外；市区外城河齐门至糖坊湾桥向南纵深二千米以及自娄门沿娄江至昆山西仓基河止向南纵深五百米范围内的水域和陆域；张家港河</w:t>
            </w:r>
            <w:r>
              <w:rPr>
                <w:rFonts w:hint="eastAsia"/>
                <w:color w:val="auto"/>
                <w:kern w:val="0"/>
                <w:sz w:val="24"/>
                <w:szCs w:val="24"/>
                <w:highlight w:val="none"/>
                <w:lang w:eastAsia="zh-CN"/>
              </w:rPr>
              <w:t>（</w:t>
            </w:r>
            <w:r>
              <w:rPr>
                <w:rFonts w:hint="eastAsia"/>
                <w:color w:val="auto"/>
                <w:kern w:val="0"/>
                <w:sz w:val="24"/>
                <w:szCs w:val="24"/>
                <w:highlight w:val="none"/>
              </w:rPr>
              <w:t>下浜至西湖泾桥段</w:t>
            </w:r>
            <w:r>
              <w:rPr>
                <w:rFonts w:hint="eastAsia"/>
                <w:color w:val="auto"/>
                <w:kern w:val="0"/>
                <w:sz w:val="24"/>
                <w:szCs w:val="24"/>
                <w:highlight w:val="none"/>
                <w:lang w:eastAsia="zh-CN"/>
              </w:rPr>
              <w:t>）</w:t>
            </w:r>
            <w:r>
              <w:rPr>
                <w:rFonts w:hint="eastAsia"/>
                <w:color w:val="auto"/>
                <w:kern w:val="0"/>
                <w:sz w:val="24"/>
                <w:szCs w:val="24"/>
                <w:highlight w:val="none"/>
              </w:rPr>
              <w:t>、张家港河下浜处折向厍浜至沙家浜镇小河与尤泾塘所包围的水域和陆域</w:t>
            </w:r>
            <w:r>
              <w:rPr>
                <w:rFonts w:ascii="Times New Roman" w:hAnsi="Times New Roman" w:cs="Times New Roman"/>
                <w:color w:val="auto"/>
                <w:kern w:val="0"/>
                <w:sz w:val="24"/>
                <w:szCs w:val="24"/>
                <w:highlight w:val="none"/>
              </w:rPr>
              <w:t>。</w:t>
            </w:r>
          </w:p>
          <w:p w14:paraId="3C206F72">
            <w:pPr>
              <w:widowControl w:val="0"/>
              <w:autoSpaceDE w:val="0"/>
              <w:autoSpaceDN w:val="0"/>
              <w:adjustRightInd w:val="0"/>
              <w:snapToGrid w:val="0"/>
              <w:spacing w:line="360" w:lineRule="auto"/>
              <w:ind w:firstLine="480" w:firstLineChars="200"/>
              <w:jc w:val="left"/>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根据《苏州市阳澄湖水源水质保护条例》规定，三级保护区内禁止建设化工、制革、制药、造纸、电镀</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含线路板蚀刻</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、印染、洗毛、酿造、冶炼</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含焦化</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、炼油、化学品贮存和危险废物贮存、处置、利用项目；禁止在距二级保护区一千米内增设排污口。</w:t>
            </w:r>
          </w:p>
          <w:p w14:paraId="46DFC061">
            <w:pPr>
              <w:widowControl w:val="0"/>
              <w:autoSpaceDE w:val="0"/>
              <w:autoSpaceDN w:val="0"/>
              <w:adjustRightInd w:val="0"/>
              <w:snapToGrid w:val="0"/>
              <w:spacing w:line="360" w:lineRule="auto"/>
              <w:ind w:firstLine="480" w:firstLineChars="200"/>
              <w:jc w:val="left"/>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本项目位于江苏省苏州市相城区元春路353号，位于元和塘以东，距离阳澄湖最近距离</w:t>
            </w:r>
            <w:r>
              <w:rPr>
                <w:rFonts w:hint="eastAsia" w:cs="Times New Roman"/>
                <w:color w:val="auto"/>
                <w:kern w:val="0"/>
                <w:sz w:val="24"/>
                <w:szCs w:val="24"/>
                <w:highlight w:val="none"/>
                <w:lang w:val="en-US" w:eastAsia="zh-CN"/>
              </w:rPr>
              <w:t>2.01</w:t>
            </w:r>
            <w:r>
              <w:rPr>
                <w:rFonts w:hint="eastAsia" w:ascii="Times New Roman" w:hAnsi="Times New Roman" w:cs="Times New Roman"/>
                <w:color w:val="auto"/>
                <w:kern w:val="0"/>
                <w:sz w:val="24"/>
                <w:szCs w:val="24"/>
                <w:highlight w:val="none"/>
                <w:lang w:val="en-US" w:eastAsia="zh-CN"/>
              </w:rPr>
              <w:t>km</w:t>
            </w:r>
            <w:r>
              <w:rPr>
                <w:rFonts w:hint="eastAsia"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属于阳澄湖三级保护区内，本项目不属于三级保护区禁建项目，在距二级保护区一千米内未增设排污口，符合《苏州市阳澄湖水源水质保护条例》的规定。</w:t>
            </w:r>
          </w:p>
          <w:p w14:paraId="19C7CEFD">
            <w:pPr>
              <w:spacing w:line="360" w:lineRule="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10</w:t>
            </w:r>
            <w:r>
              <w:rPr>
                <w:rFonts w:hint="eastAsia" w:ascii="Times New Roman" w:hAnsi="Times New Roman" w:cs="Times New Roman"/>
                <w:b/>
                <w:bCs/>
                <w:color w:val="auto"/>
                <w:sz w:val="24"/>
                <w:szCs w:val="24"/>
                <w:highlight w:val="none"/>
                <w:lang w:val="en-US" w:eastAsia="zh-CN"/>
              </w:rPr>
              <w:t>、与</w:t>
            </w:r>
            <w:r>
              <w:rPr>
                <w:rFonts w:hint="eastAsia"/>
                <w:b/>
                <w:bCs/>
                <w:color w:val="auto"/>
                <w:sz w:val="24"/>
                <w:highlight w:val="none"/>
              </w:rPr>
              <w:t>相城区</w:t>
            </w:r>
            <w:r>
              <w:rPr>
                <w:rFonts w:hint="eastAsia"/>
                <w:b/>
                <w:bCs/>
                <w:color w:val="auto"/>
                <w:sz w:val="24"/>
                <w:highlight w:val="none"/>
                <w:lang w:eastAsia="zh-CN"/>
              </w:rPr>
              <w:t>“</w:t>
            </w:r>
            <w:r>
              <w:rPr>
                <w:rFonts w:hint="eastAsia"/>
                <w:b/>
                <w:bCs/>
                <w:color w:val="auto"/>
                <w:sz w:val="24"/>
                <w:highlight w:val="none"/>
              </w:rPr>
              <w:t>十四五</w:t>
            </w:r>
            <w:r>
              <w:rPr>
                <w:rFonts w:hint="eastAsia"/>
                <w:b/>
                <w:bCs/>
                <w:color w:val="auto"/>
                <w:sz w:val="24"/>
                <w:highlight w:val="none"/>
                <w:lang w:eastAsia="zh-CN"/>
              </w:rPr>
              <w:t>”</w:t>
            </w:r>
            <w:r>
              <w:rPr>
                <w:rFonts w:hint="eastAsia"/>
                <w:b/>
                <w:bCs/>
                <w:color w:val="auto"/>
                <w:sz w:val="24"/>
                <w:highlight w:val="none"/>
              </w:rPr>
              <w:t>生态环境保护规划（相政发〔2022〕6号）</w:t>
            </w:r>
            <w:r>
              <w:rPr>
                <w:rFonts w:hint="eastAsia"/>
                <w:b/>
                <w:bCs/>
                <w:color w:val="auto"/>
                <w:sz w:val="24"/>
                <w:highlight w:val="none"/>
                <w:lang w:val="en-US" w:eastAsia="zh-CN"/>
              </w:rPr>
              <w:t>相符性</w:t>
            </w:r>
            <w:r>
              <w:rPr>
                <w:rFonts w:hint="eastAsia" w:ascii="Times New Roman" w:hAnsi="Times New Roman" w:cs="Times New Roman"/>
                <w:b/>
                <w:bCs/>
                <w:color w:val="auto"/>
                <w:sz w:val="24"/>
                <w:szCs w:val="24"/>
                <w:highlight w:val="none"/>
                <w:lang w:val="en-US" w:eastAsia="zh-CN"/>
              </w:rPr>
              <w:t>分析</w:t>
            </w:r>
          </w:p>
          <w:p w14:paraId="58620826">
            <w:pPr>
              <w:spacing w:line="360" w:lineRule="auto"/>
              <w:ind w:firstLine="480" w:firstLineChars="200"/>
              <w:rPr>
                <w:rFonts w:hint="default"/>
                <w:color w:val="auto"/>
                <w:highlight w:val="none"/>
                <w:lang w:val="en-US" w:eastAsia="zh-CN"/>
              </w:rPr>
            </w:pPr>
            <w:r>
              <w:rPr>
                <w:rFonts w:hint="eastAsia" w:ascii="Times New Roman" w:hAnsi="Times New Roman" w:cs="Times New Roman"/>
                <w:b w:val="0"/>
                <w:bCs w:val="0"/>
                <w:color w:val="auto"/>
                <w:sz w:val="24"/>
                <w:szCs w:val="24"/>
                <w:highlight w:val="none"/>
                <w:lang w:val="en-US" w:eastAsia="zh-CN"/>
              </w:rPr>
              <w:t>与相城区</w:t>
            </w:r>
            <w:r>
              <w:rPr>
                <w:rFonts w:hint="eastAsia"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十四五</w:t>
            </w:r>
            <w:r>
              <w:rPr>
                <w:rFonts w:hint="eastAsia"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生态环境保护规划（相政发〔2022〕6号）相符性分析</w:t>
            </w:r>
            <w:r>
              <w:rPr>
                <w:rFonts w:hint="eastAsia" w:cs="Times New Roman"/>
                <w:b w:val="0"/>
                <w:bCs w:val="0"/>
                <w:color w:val="auto"/>
                <w:sz w:val="24"/>
                <w:szCs w:val="24"/>
                <w:highlight w:val="none"/>
                <w:lang w:val="en-US" w:eastAsia="zh-CN"/>
              </w:rPr>
              <w:t>见下表。</w:t>
            </w:r>
          </w:p>
          <w:p w14:paraId="2215B36E">
            <w:pPr>
              <w:keepNext w:val="0"/>
              <w:keepLines w:val="0"/>
              <w:suppressLineNumbers w:val="0"/>
              <w:spacing w:before="0" w:beforeAutospacing="0" w:after="0" w:afterAutospacing="0"/>
              <w:ind w:left="0" w:right="0"/>
              <w:jc w:val="center"/>
              <w:rPr>
                <w:rFonts w:hint="eastAsia"/>
                <w:b/>
                <w:color w:val="auto"/>
                <w:sz w:val="24"/>
                <w:szCs w:val="24"/>
                <w:highlight w:val="none"/>
              </w:rPr>
            </w:pPr>
            <w:r>
              <w:rPr>
                <w:rFonts w:hint="default"/>
                <w:b/>
                <w:color w:val="auto"/>
                <w:sz w:val="24"/>
                <w:szCs w:val="24"/>
                <w:highlight w:val="none"/>
                <w:lang w:val="en-US" w:eastAsia="zh-CN"/>
              </w:rPr>
              <w:t>表</w:t>
            </w:r>
            <w:r>
              <w:rPr>
                <w:rFonts w:hint="eastAsia"/>
                <w:b/>
                <w:color w:val="auto"/>
                <w:sz w:val="24"/>
                <w:szCs w:val="24"/>
                <w:highlight w:val="none"/>
                <w:lang w:val="en-US" w:eastAsia="zh-CN"/>
              </w:rPr>
              <w:t xml:space="preserve">1-9  </w:t>
            </w:r>
            <w:r>
              <w:rPr>
                <w:rFonts w:hint="default"/>
                <w:b/>
                <w:color w:val="auto"/>
                <w:sz w:val="24"/>
                <w:szCs w:val="24"/>
                <w:highlight w:val="none"/>
                <w:lang w:val="en-US" w:eastAsia="zh-CN"/>
              </w:rPr>
              <w:t>与《</w:t>
            </w:r>
            <w:r>
              <w:rPr>
                <w:rFonts w:hint="eastAsia"/>
                <w:b/>
                <w:color w:val="auto"/>
                <w:sz w:val="24"/>
                <w:szCs w:val="24"/>
                <w:highlight w:val="none"/>
                <w:lang w:val="en-US" w:eastAsia="zh-CN"/>
              </w:rPr>
              <w:t>相城区“</w:t>
            </w:r>
            <w:r>
              <w:rPr>
                <w:rFonts w:hint="default"/>
                <w:b/>
                <w:color w:val="auto"/>
                <w:sz w:val="24"/>
                <w:szCs w:val="24"/>
                <w:highlight w:val="none"/>
                <w:lang w:val="en-US" w:eastAsia="zh-CN"/>
              </w:rPr>
              <w:t>十四五</w:t>
            </w:r>
            <w:r>
              <w:rPr>
                <w:rFonts w:hint="eastAsia"/>
                <w:b/>
                <w:color w:val="auto"/>
                <w:sz w:val="24"/>
                <w:szCs w:val="24"/>
                <w:highlight w:val="none"/>
                <w:lang w:val="en-US" w:eastAsia="zh-CN"/>
              </w:rPr>
              <w:t>”</w:t>
            </w:r>
            <w:r>
              <w:rPr>
                <w:rFonts w:hint="default"/>
                <w:b/>
                <w:color w:val="auto"/>
                <w:sz w:val="24"/>
                <w:szCs w:val="24"/>
                <w:highlight w:val="none"/>
                <w:lang w:val="en-US" w:eastAsia="zh-CN"/>
              </w:rPr>
              <w:t>生态环境保护规划》相符性分析</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08"/>
              <w:gridCol w:w="2916"/>
              <w:gridCol w:w="847"/>
            </w:tblGrid>
            <w:tr w14:paraId="1AB94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925" w:type="pct"/>
                  <w:tcBorders>
                    <w:tl2br w:val="nil"/>
                    <w:tr2bl w:val="nil"/>
                  </w:tcBorders>
                  <w:noWrap w:val="0"/>
                  <w:vAlign w:val="center"/>
                </w:tcPr>
                <w:p w14:paraId="3F07C9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文件相关要求</w:t>
                  </w:r>
                </w:p>
              </w:tc>
              <w:tc>
                <w:tcPr>
                  <w:tcW w:w="1607" w:type="pct"/>
                  <w:tcBorders>
                    <w:tl2br w:val="nil"/>
                    <w:tr2bl w:val="nil"/>
                  </w:tcBorders>
                  <w:noWrap w:val="0"/>
                  <w:vAlign w:val="center"/>
                </w:tcPr>
                <w:p w14:paraId="470FB2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项目情况</w:t>
                  </w:r>
                </w:p>
              </w:tc>
              <w:tc>
                <w:tcPr>
                  <w:tcW w:w="467" w:type="pct"/>
                  <w:tcBorders>
                    <w:tl2br w:val="nil"/>
                    <w:tr2bl w:val="nil"/>
                  </w:tcBorders>
                  <w:noWrap w:val="0"/>
                  <w:vAlign w:val="center"/>
                </w:tcPr>
                <w:p w14:paraId="7AC6A1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相符性</w:t>
                  </w:r>
                </w:p>
              </w:tc>
            </w:tr>
            <w:tr w14:paraId="142F0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3C1BFE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1.深入推进源头治理，全面推进绿色发展水平：构建绿色产业结构体系，优化国土空间开发格局，推进能源绿色低碳发展，大力发展绿色低碳交通体系，积极主动应对气候变化。</w:t>
                  </w:r>
                </w:p>
              </w:tc>
              <w:tc>
                <w:tcPr>
                  <w:tcW w:w="1607" w:type="pct"/>
                  <w:tcBorders>
                    <w:tl2br w:val="nil"/>
                    <w:tr2bl w:val="nil"/>
                  </w:tcBorders>
                  <w:noWrap w:val="0"/>
                  <w:vAlign w:val="center"/>
                </w:tcPr>
                <w:p w14:paraId="3399F3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项目不属于钢铁、造纸、化工、纺织等重污染行业，产生的污染物在合理有效处理后达标排放</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6F5881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07F8B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3A81BF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2.坚持河湖统筹治理，显著提升水环境质量：实施严格水环境质量管理，全面推进排口排查整治，强化水污染系统治理，大力推进京杭运河生态廊道建设，持续实施阳澄湖水环境综合治理，加</w:t>
                  </w:r>
                  <w:r>
                    <w:rPr>
                      <w:rFonts w:hint="eastAsia" w:ascii="仿宋" w:hAnsi="仿宋" w:eastAsia="仿宋" w:cs="仿宋"/>
                      <w:color w:val="auto"/>
                      <w:sz w:val="21"/>
                      <w:szCs w:val="21"/>
                      <w:highlight w:val="none"/>
                    </w:rPr>
                    <w:t>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十百千万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生态</w:t>
                  </w:r>
                  <w:r>
                    <w:rPr>
                      <w:rFonts w:hint="default" w:ascii="Times New Roman" w:hAnsi="Times New Roman" w:eastAsia="仿宋" w:cs="Times New Roman"/>
                      <w:color w:val="auto"/>
                      <w:sz w:val="21"/>
                      <w:szCs w:val="21"/>
                      <w:highlight w:val="none"/>
                    </w:rPr>
                    <w:t>美丽河湖建设。</w:t>
                  </w:r>
                </w:p>
              </w:tc>
              <w:tc>
                <w:tcPr>
                  <w:tcW w:w="1607" w:type="pct"/>
                  <w:tcBorders>
                    <w:tl2br w:val="nil"/>
                    <w:tr2bl w:val="nil"/>
                  </w:tcBorders>
                  <w:noWrap w:val="0"/>
                  <w:vAlign w:val="center"/>
                </w:tcPr>
                <w:p w14:paraId="0A2AA2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本项目电泳线、喷粉线前处理产生的生产废水和地面清洗废水经厂区污水处理装置处理达标后与</w:t>
                  </w:r>
                  <w:r>
                    <w:rPr>
                      <w:rFonts w:hint="eastAsia" w:eastAsia="仿宋" w:cs="Times New Roman"/>
                      <w:color w:val="auto"/>
                      <w:sz w:val="21"/>
                      <w:szCs w:val="21"/>
                      <w:highlight w:val="none"/>
                      <w:lang w:val="en-US" w:eastAsia="zh-CN"/>
                    </w:rPr>
                    <w:t>纯水制备浓水</w:t>
                  </w:r>
                  <w:r>
                    <w:rPr>
                      <w:rFonts w:hint="default" w:ascii="Times New Roman" w:hAnsi="Times New Roman" w:eastAsia="仿宋" w:cs="Times New Roman"/>
                      <w:color w:val="auto"/>
                      <w:sz w:val="21"/>
                      <w:szCs w:val="21"/>
                      <w:highlight w:val="none"/>
                    </w:rPr>
                    <w:t>一起经市政污水管网排入苏州高铁苏水水务有限公司（苏州高铁新城污水厂）处理</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不直接外排</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088BDE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0568E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3C31A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3.加强PM</w:t>
                  </w:r>
                  <w:r>
                    <w:rPr>
                      <w:rFonts w:hint="default" w:ascii="Times New Roman" w:hAnsi="Times New Roman" w:eastAsia="仿宋" w:cs="Times New Roman"/>
                      <w:color w:val="auto"/>
                      <w:sz w:val="21"/>
                      <w:szCs w:val="21"/>
                      <w:highlight w:val="none"/>
                      <w:vertAlign w:val="subscript"/>
                    </w:rPr>
                    <w:t>2.5</w:t>
                  </w:r>
                  <w:r>
                    <w:rPr>
                      <w:rFonts w:hint="default" w:ascii="Times New Roman" w:hAnsi="Times New Roman" w:eastAsia="仿宋" w:cs="Times New Roman"/>
                      <w:color w:val="auto"/>
                      <w:sz w:val="21"/>
                      <w:szCs w:val="21"/>
                      <w:highlight w:val="none"/>
                    </w:rPr>
                    <w:t>和O</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协同控制，协同推动减污降碳：多方面统筹施策，严格实施重点行业污染治理，加强挥发性有机污染物控制，加大车船尾气污染控制，加强扬尘污染防治，加强重污染天气防范应对和区域联防联控。</w:t>
                  </w:r>
                </w:p>
              </w:tc>
              <w:tc>
                <w:tcPr>
                  <w:tcW w:w="1607" w:type="pct"/>
                  <w:tcBorders>
                    <w:tl2br w:val="nil"/>
                    <w:tr2bl w:val="nil"/>
                  </w:tcBorders>
                  <w:noWrap w:val="0"/>
                  <w:vAlign w:val="center"/>
                </w:tcPr>
                <w:p w14:paraId="2C254E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本项目电泳线酸洗废气、电泳废气、电泳烘干废气、喷粉前处理酸洗废气、喷粉烘干废气收集后通过1套</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碱性喷淋塔+</w:t>
                  </w:r>
                  <w:r>
                    <w:rPr>
                      <w:rFonts w:hint="eastAsia" w:eastAsia="仿宋" w:cs="Times New Roman"/>
                      <w:color w:val="auto"/>
                      <w:sz w:val="21"/>
                      <w:szCs w:val="21"/>
                      <w:highlight w:val="none"/>
                      <w:lang w:eastAsia="zh-CN"/>
                    </w:rPr>
                    <w:t>干式过滤器</w:t>
                  </w:r>
                  <w:r>
                    <w:rPr>
                      <w:rFonts w:hint="default" w:ascii="Times New Roman" w:hAnsi="Times New Roman" w:eastAsia="仿宋" w:cs="Times New Roman"/>
                      <w:color w:val="auto"/>
                      <w:sz w:val="21"/>
                      <w:szCs w:val="21"/>
                      <w:highlight w:val="none"/>
                    </w:rPr>
                    <w:t>+二级活性炭吸附</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装置处理后通过15m高DA001排气筒排放，喷粉废气经</w:t>
                  </w:r>
                  <w:r>
                    <w:rPr>
                      <w:rFonts w:hint="eastAsia" w:eastAsia="仿宋" w:cs="Times New Roman"/>
                      <w:color w:val="auto"/>
                      <w:sz w:val="21"/>
                      <w:szCs w:val="21"/>
                      <w:highlight w:val="none"/>
                      <w:lang w:eastAsia="zh-CN"/>
                    </w:rPr>
                    <w:t>“滤芯回收系统”</w:t>
                  </w:r>
                  <w:r>
                    <w:rPr>
                      <w:rFonts w:hint="default" w:ascii="Times New Roman" w:hAnsi="Times New Roman" w:eastAsia="仿宋" w:cs="Times New Roman"/>
                      <w:color w:val="auto"/>
                      <w:sz w:val="21"/>
                      <w:szCs w:val="21"/>
                      <w:highlight w:val="none"/>
                    </w:rPr>
                    <w:t>处理后通过15m高DA001排气筒排放</w:t>
                  </w:r>
                  <w:r>
                    <w:rPr>
                      <w:rFonts w:hint="eastAsia" w:eastAsia="仿宋" w:cs="Times New Roman"/>
                      <w:color w:val="auto"/>
                      <w:sz w:val="21"/>
                      <w:szCs w:val="21"/>
                      <w:highlight w:val="none"/>
                      <w:lang w:eastAsia="zh-CN"/>
                    </w:rPr>
                    <w:t>。</w:t>
                  </w:r>
                </w:p>
              </w:tc>
              <w:tc>
                <w:tcPr>
                  <w:tcW w:w="467" w:type="pct"/>
                  <w:tcBorders>
                    <w:tl2br w:val="nil"/>
                    <w:tr2bl w:val="nil"/>
                  </w:tcBorders>
                  <w:noWrap w:val="0"/>
                  <w:vAlign w:val="center"/>
                </w:tcPr>
                <w:p w14:paraId="4FBE95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1A90D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794AB5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4.加强土壤污染防治，持续改善土壤环境质量：强化耕地安全利用与防控，严格污染地块准入管理，有序推进污染地块治理与修复，协同推进地下水污染防治。</w:t>
                  </w:r>
                </w:p>
              </w:tc>
              <w:tc>
                <w:tcPr>
                  <w:tcW w:w="1607" w:type="pct"/>
                  <w:tcBorders>
                    <w:tl2br w:val="nil"/>
                    <w:tr2bl w:val="nil"/>
                  </w:tcBorders>
                  <w:noWrap w:val="0"/>
                  <w:vAlign w:val="center"/>
                </w:tcPr>
                <w:p w14:paraId="1C49AD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val="en-US" w:eastAsia="zh-CN"/>
                    </w:rPr>
                    <w:t>根据苏（2016）苏州市不动产权第7035965号</w:t>
                  </w:r>
                  <w:r>
                    <w:rPr>
                      <w:rFonts w:hint="default" w:ascii="Times New Roman" w:hAnsi="Times New Roman" w:eastAsia="仿宋" w:cs="Times New Roman"/>
                      <w:color w:val="auto"/>
                      <w:sz w:val="21"/>
                      <w:szCs w:val="21"/>
                      <w:highlight w:val="none"/>
                    </w:rPr>
                    <w:t>，</w:t>
                  </w:r>
                  <w:r>
                    <w:rPr>
                      <w:rFonts w:hint="eastAsia" w:eastAsia="仿宋" w:cs="Times New Roman"/>
                      <w:color w:val="auto"/>
                      <w:sz w:val="21"/>
                      <w:szCs w:val="21"/>
                      <w:highlight w:val="none"/>
                      <w:lang w:val="en-US" w:eastAsia="zh-CN"/>
                    </w:rPr>
                    <w:t>本项目用地为工业用地，</w:t>
                  </w:r>
                  <w:r>
                    <w:rPr>
                      <w:rFonts w:hint="default" w:ascii="Times New Roman" w:hAnsi="Times New Roman" w:eastAsia="仿宋" w:cs="Times New Roman"/>
                      <w:color w:val="auto"/>
                      <w:sz w:val="21"/>
                      <w:szCs w:val="21"/>
                      <w:highlight w:val="none"/>
                    </w:rPr>
                    <w:t>不涉及使用耕地</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72DD34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A782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46BDD8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5.强化生态系统保护，提高生态系统服务功能：优化区域生态安全格局，严格重要生态空间保护与管控，统筹山水林田湖草保护与修复，全面提升生物多样性保护力度，促进人与自然和谐共生。</w:t>
                  </w:r>
                </w:p>
              </w:tc>
              <w:tc>
                <w:tcPr>
                  <w:tcW w:w="1607" w:type="pct"/>
                  <w:vMerge w:val="restart"/>
                  <w:tcBorders>
                    <w:tl2br w:val="nil"/>
                    <w:tr2bl w:val="nil"/>
                  </w:tcBorders>
                  <w:noWrap w:val="0"/>
                  <w:vAlign w:val="center"/>
                </w:tcPr>
                <w:p w14:paraId="125CE3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企业目前尚处于环评编制阶段，待项目建成后建设单位按照要求</w:t>
                  </w:r>
                  <w:r>
                    <w:rPr>
                      <w:rFonts w:hint="default" w:ascii="Times New Roman" w:hAnsi="Times New Roman" w:eastAsia="仿宋" w:cs="Times New Roman"/>
                      <w:color w:val="auto"/>
                      <w:sz w:val="21"/>
                      <w:szCs w:val="21"/>
                      <w:highlight w:val="none"/>
                      <w:lang w:val="en-US" w:eastAsia="zh-CN"/>
                    </w:rPr>
                    <w:t>进行</w:t>
                  </w:r>
                  <w:r>
                    <w:rPr>
                      <w:rFonts w:hint="default" w:ascii="Times New Roman" w:hAnsi="Times New Roman" w:eastAsia="仿宋" w:cs="Times New Roman"/>
                      <w:color w:val="auto"/>
                      <w:sz w:val="21"/>
                      <w:szCs w:val="21"/>
                      <w:highlight w:val="none"/>
                    </w:rPr>
                    <w:t>突发环境事件应急预案</w:t>
                  </w:r>
                  <w:r>
                    <w:rPr>
                      <w:rFonts w:hint="default" w:ascii="Times New Roman" w:hAnsi="Times New Roman" w:eastAsia="仿宋" w:cs="Times New Roman"/>
                      <w:color w:val="auto"/>
                      <w:sz w:val="21"/>
                      <w:szCs w:val="21"/>
                      <w:highlight w:val="none"/>
                      <w:lang w:val="en-US" w:eastAsia="zh-CN"/>
                    </w:rPr>
                    <w:t>修编</w:t>
                  </w:r>
                  <w:r>
                    <w:rPr>
                      <w:rFonts w:hint="default" w:ascii="Times New Roman" w:hAnsi="Times New Roman" w:eastAsia="仿宋" w:cs="Times New Roman"/>
                      <w:color w:val="auto"/>
                      <w:sz w:val="21"/>
                      <w:szCs w:val="21"/>
                      <w:highlight w:val="none"/>
                    </w:rPr>
                    <w:t>并备案，按照要求配备应急物资，定期开展应急演练等</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1ABCDC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64945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5A60BC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6.严格环境风险管控，切实筑牢环境安全防线：提升环境风险源防控能力，强化工业园区环境风险防控，提高固体废物和危险废物处置水平，强化危废、危化品监管水平，强化涉重金属行业污染防控。</w:t>
                  </w:r>
                </w:p>
              </w:tc>
              <w:tc>
                <w:tcPr>
                  <w:tcW w:w="1607" w:type="pct"/>
                  <w:vMerge w:val="continue"/>
                  <w:tcBorders>
                    <w:tl2br w:val="nil"/>
                    <w:tr2bl w:val="nil"/>
                  </w:tcBorders>
                  <w:noWrap w:val="0"/>
                  <w:vAlign w:val="center"/>
                </w:tcPr>
                <w:p w14:paraId="4B4387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467" w:type="pct"/>
                  <w:tcBorders>
                    <w:tl2br w:val="nil"/>
                    <w:tr2bl w:val="nil"/>
                  </w:tcBorders>
                  <w:noWrap w:val="0"/>
                  <w:vAlign w:val="center"/>
                </w:tcPr>
                <w:p w14:paraId="29C3C2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26369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39C12E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7.着力改善城乡人居环境，提升城市颜值品质：全面实施绿色相城建设，开展生态文明载体建设，聚焦解决民生问题，深化噪声污染防治，推进餐饮油烟大整治，加快建设美丽乡村。</w:t>
                  </w:r>
                </w:p>
              </w:tc>
              <w:tc>
                <w:tcPr>
                  <w:tcW w:w="1607" w:type="pct"/>
                  <w:tcBorders>
                    <w:tl2br w:val="nil"/>
                    <w:tr2bl w:val="nil"/>
                  </w:tcBorders>
                  <w:noWrap w:val="0"/>
                  <w:vAlign w:val="center"/>
                </w:tcPr>
                <w:p w14:paraId="2EB870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项目噪声源强较小，通过厂房隔声、设备减振等措施可有效降噪</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5FA86C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r w14:paraId="41105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5" w:type="pct"/>
                  <w:tcBorders>
                    <w:tl2br w:val="nil"/>
                    <w:tr2bl w:val="nil"/>
                  </w:tcBorders>
                  <w:noWrap w:val="0"/>
                  <w:vAlign w:val="center"/>
                </w:tcPr>
                <w:p w14:paraId="706215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建立健全现代化治理体系，大幅提升治理能力：健全多方责任体系，健全生态环境治理政策体系，创新服务高质量发展市场模式，加强生态环境治理监管现代化建设，补齐环境基础设施短板，提升生态环境监测监控能力。</w:t>
                  </w:r>
                </w:p>
              </w:tc>
              <w:tc>
                <w:tcPr>
                  <w:tcW w:w="1607" w:type="pct"/>
                  <w:tcBorders>
                    <w:tl2br w:val="nil"/>
                    <w:tr2bl w:val="nil"/>
                  </w:tcBorders>
                  <w:noWrap w:val="0"/>
                  <w:vAlign w:val="center"/>
                </w:tcPr>
                <w:p w14:paraId="49CDC2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本项目周边基础设施齐全，可满足生产需要</w:t>
                  </w:r>
                  <w:r>
                    <w:rPr>
                      <w:rFonts w:hint="default" w:ascii="Times New Roman" w:hAnsi="Times New Roman" w:eastAsia="仿宋" w:cs="Times New Roman"/>
                      <w:color w:val="auto"/>
                      <w:sz w:val="21"/>
                      <w:szCs w:val="21"/>
                      <w:highlight w:val="none"/>
                      <w:lang w:eastAsia="zh-CN"/>
                    </w:rPr>
                    <w:t>。</w:t>
                  </w:r>
                </w:p>
              </w:tc>
              <w:tc>
                <w:tcPr>
                  <w:tcW w:w="467" w:type="pct"/>
                  <w:tcBorders>
                    <w:tl2br w:val="nil"/>
                    <w:tr2bl w:val="nil"/>
                  </w:tcBorders>
                  <w:noWrap w:val="0"/>
                  <w:vAlign w:val="center"/>
                </w:tcPr>
                <w:p w14:paraId="6E92C0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相符</w:t>
                  </w:r>
                </w:p>
              </w:tc>
            </w:tr>
          </w:tbl>
          <w:p w14:paraId="1DD23C48">
            <w:pPr>
              <w:autoSpaceDE w:val="0"/>
              <w:autoSpaceDN w:val="0"/>
              <w:adjustRightInd w:val="0"/>
              <w:snapToGrid w:val="0"/>
              <w:spacing w:before="0" w:beforeLines="0" w:line="360" w:lineRule="auto"/>
              <w:ind w:firstLine="480" w:firstLineChars="200"/>
              <w:jc w:val="both"/>
              <w:rPr>
                <w:rFonts w:hint="eastAsia" w:ascii="Times New Roman" w:hAnsi="Times New Roman" w:eastAsia="宋体"/>
                <w:color w:val="auto"/>
                <w:sz w:val="24"/>
                <w:szCs w:val="24"/>
                <w:highlight w:val="none"/>
                <w:lang w:eastAsia="zh-CN"/>
              </w:rPr>
            </w:pPr>
            <w:r>
              <w:rPr>
                <w:rFonts w:ascii="Times New Roman" w:hAnsi="Times New Roman" w:eastAsia="宋体"/>
                <w:color w:val="auto"/>
                <w:sz w:val="24"/>
                <w:szCs w:val="24"/>
                <w:highlight w:val="none"/>
              </w:rPr>
              <w:t>综上</w:t>
            </w:r>
            <w:r>
              <w:rPr>
                <w:rFonts w:hint="eastAsia" w:ascii="Times New Roman" w:hAnsi="Times New Roman" w:eastAsia="宋体"/>
                <w:color w:val="auto"/>
                <w:sz w:val="24"/>
                <w:szCs w:val="24"/>
                <w:highlight w:val="none"/>
              </w:rPr>
              <w:t>所述</w:t>
            </w:r>
            <w:r>
              <w:rPr>
                <w:rFonts w:ascii="Times New Roman" w:hAnsi="Times New Roman" w:eastAsia="宋体"/>
                <w:color w:val="auto"/>
                <w:sz w:val="24"/>
                <w:szCs w:val="24"/>
                <w:highlight w:val="none"/>
              </w:rPr>
              <w:t>，本项目符合</w:t>
            </w:r>
            <w:r>
              <w:rPr>
                <w:rFonts w:hint="eastAsia" w:ascii="Times New Roman" w:hAnsi="Times New Roman" w:eastAsia="宋体"/>
                <w:color w:val="auto"/>
                <w:sz w:val="24"/>
                <w:szCs w:val="24"/>
                <w:highlight w:val="none"/>
                <w:lang w:val="en-US" w:eastAsia="zh-CN"/>
              </w:rPr>
              <w:t>《相城区</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十四五</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生态环境保护规划</w:t>
            </w:r>
            <w:r>
              <w:rPr>
                <w:rFonts w:hint="eastAsia" w:ascii="Times New Roman" w:hAnsi="Times New Roman" w:eastAsia="宋体"/>
                <w:color w:val="auto"/>
                <w:sz w:val="24"/>
                <w:szCs w:val="24"/>
                <w:highlight w:val="none"/>
                <w:lang w:val="en-US" w:eastAsia="zh-CN"/>
              </w:rPr>
              <w:t>》</w:t>
            </w:r>
            <w:r>
              <w:rPr>
                <w:rFonts w:ascii="Times New Roman" w:hAnsi="Times New Roman" w:eastAsia="宋体"/>
                <w:color w:val="auto"/>
                <w:sz w:val="24"/>
                <w:szCs w:val="24"/>
                <w:highlight w:val="none"/>
              </w:rPr>
              <w:t>的相关要求</w:t>
            </w:r>
            <w:r>
              <w:rPr>
                <w:rFonts w:hint="eastAsia" w:ascii="Times New Roman" w:hAnsi="Times New Roman" w:eastAsia="宋体"/>
                <w:color w:val="auto"/>
                <w:sz w:val="24"/>
                <w:szCs w:val="24"/>
                <w:highlight w:val="none"/>
                <w:lang w:eastAsia="zh-CN"/>
              </w:rPr>
              <w:t>。</w:t>
            </w:r>
          </w:p>
          <w:p w14:paraId="1D6C0B63">
            <w:pPr>
              <w:pStyle w:val="29"/>
              <w:spacing w:line="360" w:lineRule="auto"/>
              <w:ind w:left="0" w:leftChars="0" w:firstLine="0" w:firstLineChars="0"/>
              <w:jc w:val="both"/>
              <w:rPr>
                <w:rFonts w:hint="eastAsia" w:ascii="Times New Roman" w:hAnsi="Times New Roman" w:eastAsia="宋体" w:cs="Times New Roman"/>
                <w:b/>
                <w:bCs/>
                <w:color w:val="auto"/>
                <w:kern w:val="2"/>
                <w:highlight w:val="none"/>
                <w:lang w:val="en-US" w:eastAsia="zh-CN"/>
              </w:rPr>
            </w:pPr>
            <w:r>
              <w:rPr>
                <w:rFonts w:hint="eastAsia" w:ascii="Times New Roman" w:hAnsi="Times New Roman" w:eastAsia="宋体" w:cs="Times New Roman"/>
                <w:b/>
                <w:bCs/>
                <w:color w:val="auto"/>
                <w:kern w:val="2"/>
                <w:highlight w:val="none"/>
                <w:lang w:val="en-US" w:eastAsia="zh-CN"/>
              </w:rPr>
              <w:t>11、与有关挥发性有机废气环保政策相符性分析</w:t>
            </w:r>
          </w:p>
          <w:p w14:paraId="37D738BC">
            <w:pPr>
              <w:numPr>
                <w:ilvl w:val="0"/>
                <w:numId w:val="0"/>
              </w:numPr>
              <w:jc w:val="center"/>
              <w:rPr>
                <w:rFonts w:hint="default"/>
                <w:color w:val="auto"/>
                <w:lang w:val="en-US" w:eastAsia="zh-CN"/>
              </w:rPr>
            </w:pPr>
            <w:r>
              <w:rPr>
                <w:rFonts w:hint="default"/>
                <w:b/>
                <w:color w:val="auto"/>
                <w:sz w:val="24"/>
                <w:szCs w:val="24"/>
                <w:highlight w:val="none"/>
                <w:lang w:val="en-US" w:eastAsia="zh-CN"/>
              </w:rPr>
              <w:t>表</w:t>
            </w:r>
            <w:r>
              <w:rPr>
                <w:rFonts w:hint="eastAsia"/>
                <w:b/>
                <w:color w:val="auto"/>
                <w:sz w:val="24"/>
                <w:szCs w:val="24"/>
                <w:highlight w:val="none"/>
                <w:lang w:val="en-US" w:eastAsia="zh-CN"/>
              </w:rPr>
              <w:t xml:space="preserve">1-10  </w:t>
            </w:r>
            <w:r>
              <w:rPr>
                <w:rFonts w:hint="default"/>
                <w:b/>
                <w:color w:val="auto"/>
                <w:sz w:val="24"/>
                <w:szCs w:val="24"/>
                <w:highlight w:val="none"/>
                <w:lang w:val="en-US" w:eastAsia="zh-CN"/>
              </w:rPr>
              <w:t>与有关挥发性有机废气环保政策相符性分析</w:t>
            </w:r>
          </w:p>
          <w:tbl>
            <w:tblPr>
              <w:tblStyle w:val="21"/>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46"/>
              <w:gridCol w:w="4498"/>
              <w:gridCol w:w="1915"/>
              <w:gridCol w:w="831"/>
            </w:tblGrid>
            <w:tr w14:paraId="10795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tcBorders>
                    <w:tl2br w:val="nil"/>
                    <w:tr2bl w:val="nil"/>
                  </w:tcBorders>
                  <w:vAlign w:val="center"/>
                </w:tcPr>
                <w:p w14:paraId="282FA02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文件名称</w:t>
                  </w:r>
                </w:p>
              </w:tc>
              <w:tc>
                <w:tcPr>
                  <w:tcW w:w="5576" w:type="dxa"/>
                  <w:gridSpan w:val="2"/>
                  <w:tcBorders>
                    <w:tl2br w:val="nil"/>
                    <w:tr2bl w:val="nil"/>
                  </w:tcBorders>
                  <w:vAlign w:val="center"/>
                </w:tcPr>
                <w:p w14:paraId="24BF703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具体内容</w:t>
                  </w:r>
                </w:p>
              </w:tc>
              <w:tc>
                <w:tcPr>
                  <w:tcW w:w="1965" w:type="dxa"/>
                  <w:tcBorders>
                    <w:tl2br w:val="nil"/>
                    <w:tr2bl w:val="nil"/>
                  </w:tcBorders>
                  <w:vAlign w:val="center"/>
                </w:tcPr>
                <w:p w14:paraId="2EE2822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项目情况</w:t>
                  </w:r>
                </w:p>
              </w:tc>
              <w:tc>
                <w:tcPr>
                  <w:tcW w:w="874" w:type="dxa"/>
                  <w:tcBorders>
                    <w:tl2br w:val="nil"/>
                    <w:tr2bl w:val="nil"/>
                  </w:tcBorders>
                  <w:vAlign w:val="center"/>
                </w:tcPr>
                <w:p w14:paraId="225DB85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相符性</w:t>
                  </w:r>
                </w:p>
              </w:tc>
            </w:tr>
            <w:tr w14:paraId="23B05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restart"/>
                  <w:tcBorders>
                    <w:tl2br w:val="nil"/>
                    <w:tr2bl w:val="nil"/>
                  </w:tcBorders>
                  <w:vAlign w:val="center"/>
                </w:tcPr>
                <w:p w14:paraId="131135F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《2020年挥发性有机物治理攻坚方案》</w:t>
                  </w:r>
                </w:p>
              </w:tc>
              <w:tc>
                <w:tcPr>
                  <w:tcW w:w="777" w:type="dxa"/>
                  <w:tcBorders>
                    <w:tl2br w:val="nil"/>
                    <w:tr2bl w:val="nil"/>
                  </w:tcBorders>
                  <w:vAlign w:val="center"/>
                </w:tcPr>
                <w:p w14:paraId="25EA27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一、大力推进源头替代，有效减少VOCs产生</w:t>
                  </w:r>
                </w:p>
              </w:tc>
              <w:tc>
                <w:tcPr>
                  <w:tcW w:w="4799" w:type="dxa"/>
                  <w:tcBorders>
                    <w:tl2br w:val="nil"/>
                    <w:tr2bl w:val="nil"/>
                  </w:tcBorders>
                  <w:vAlign w:val="center"/>
                </w:tcPr>
                <w:p w14:paraId="47E56D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rPr>
                    <w:t>大力推进低（无）VOCs含量原辅材料替代，……，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w:t>
                  </w:r>
                </w:p>
              </w:tc>
              <w:tc>
                <w:tcPr>
                  <w:tcW w:w="1965" w:type="dxa"/>
                  <w:tcBorders>
                    <w:tl2br w:val="nil"/>
                    <w:tr2bl w:val="nil"/>
                  </w:tcBorders>
                  <w:vAlign w:val="center"/>
                </w:tcPr>
                <w:p w14:paraId="3A7FAA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企业应建立原辅材料台账，记录VOCs原辅材料名称、成分、VOCs含量、采购量、使用量、库存量、回收方式、回收量等信息，并保存相关证明材料。</w:t>
                  </w:r>
                </w:p>
              </w:tc>
              <w:tc>
                <w:tcPr>
                  <w:tcW w:w="874" w:type="dxa"/>
                  <w:tcBorders>
                    <w:tl2br w:val="nil"/>
                    <w:tr2bl w:val="nil"/>
                  </w:tcBorders>
                  <w:vAlign w:val="center"/>
                </w:tcPr>
                <w:p w14:paraId="009551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3DC8E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0B154BA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77" w:type="dxa"/>
                  <w:tcBorders>
                    <w:tl2br w:val="nil"/>
                    <w:tr2bl w:val="nil"/>
                  </w:tcBorders>
                  <w:vAlign w:val="center"/>
                </w:tcPr>
                <w:p w14:paraId="06CDF1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三、聚焦治污设施</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三率</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，提升综合治理效率</w:t>
                  </w:r>
                </w:p>
              </w:tc>
              <w:tc>
                <w:tcPr>
                  <w:tcW w:w="4799" w:type="dxa"/>
                  <w:tcBorders>
                    <w:tl2br w:val="nil"/>
                    <w:tr2bl w:val="nil"/>
                  </w:tcBorders>
                  <w:vAlign w:val="center"/>
                </w:tcPr>
                <w:p w14:paraId="641054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rPr>
                    <w:t>按照</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应收尽收</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同启同停</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适宜高效</w:t>
                  </w:r>
                  <w:r>
                    <w:rPr>
                      <w:rFonts w:hint="eastAsia" w:eastAsia="仿宋" w:cs="Times New Roman"/>
                      <w:color w:val="auto"/>
                      <w:sz w:val="21"/>
                      <w:szCs w:val="21"/>
                      <w:highlight w:val="none"/>
                      <w:lang w:eastAsia="zh-CN"/>
                    </w:rPr>
                    <w:t>”</w:t>
                  </w:r>
                  <w:r>
                    <w:rPr>
                      <w:rFonts w:hint="eastAsia" w:ascii="Times New Roman" w:hAnsi="Times New Roman" w:eastAsia="仿宋" w:cs="Times New Roman"/>
                      <w:color w:val="auto"/>
                      <w:sz w:val="21"/>
                      <w:szCs w:val="21"/>
                      <w:highlight w:val="none"/>
                    </w:rPr>
                    <w:t>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965" w:type="dxa"/>
                  <w:tcBorders>
                    <w:tl2br w:val="nil"/>
                    <w:tr2bl w:val="nil"/>
                  </w:tcBorders>
                  <w:vAlign w:val="center"/>
                </w:tcPr>
                <w:p w14:paraId="143B92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本项目废气处理设施与生产设备同启同停，电泳线酸洗废气、电泳废气、电泳烘干废气、喷粉前处理酸洗废气、喷粉烘干废气收集后通过1套</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碱性喷淋塔+</w:t>
                  </w:r>
                  <w:r>
                    <w:rPr>
                      <w:rFonts w:hint="eastAsia" w:eastAsia="仿宋" w:cs="Times New Roman"/>
                      <w:color w:val="auto"/>
                      <w:sz w:val="21"/>
                      <w:szCs w:val="21"/>
                      <w:highlight w:val="none"/>
                      <w:lang w:val="en-US" w:eastAsia="zh-CN"/>
                    </w:rPr>
                    <w:t>干式过滤器</w:t>
                  </w:r>
                  <w:r>
                    <w:rPr>
                      <w:rFonts w:hint="default" w:ascii="Times New Roman" w:hAnsi="Times New Roman" w:eastAsia="仿宋" w:cs="Times New Roman"/>
                      <w:color w:val="auto"/>
                      <w:sz w:val="21"/>
                      <w:szCs w:val="21"/>
                      <w:highlight w:val="none"/>
                      <w:lang w:val="en-US" w:eastAsia="zh-CN"/>
                    </w:rPr>
                    <w:t>+二级活性炭吸附</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装置处理后通过15m高DA001排气筒排放，未收集部分在车间内无组织排放，</w:t>
                  </w:r>
                  <w:r>
                    <w:rPr>
                      <w:rFonts w:hint="eastAsia" w:ascii="Times New Roman" w:hAnsi="Times New Roman" w:eastAsia="仿宋" w:cs="Times New Roman"/>
                      <w:color w:val="auto"/>
                      <w:sz w:val="21"/>
                      <w:szCs w:val="21"/>
                      <w:highlight w:val="none"/>
                      <w:lang w:val="en-US" w:eastAsia="zh-CN"/>
                    </w:rPr>
                    <w:t>喷粉废气经</w:t>
                  </w:r>
                  <w:r>
                    <w:rPr>
                      <w:rFonts w:hint="eastAsia" w:eastAsia="仿宋" w:cs="Times New Roman"/>
                      <w:color w:val="auto"/>
                      <w:sz w:val="21"/>
                      <w:szCs w:val="21"/>
                      <w:highlight w:val="none"/>
                      <w:lang w:val="en-US" w:eastAsia="zh-CN"/>
                    </w:rPr>
                    <w:t>“滤芯回收系统”</w:t>
                  </w:r>
                  <w:r>
                    <w:rPr>
                      <w:rFonts w:hint="eastAsia" w:ascii="Times New Roman" w:hAnsi="Times New Roman" w:eastAsia="仿宋" w:cs="Times New Roman"/>
                      <w:color w:val="auto"/>
                      <w:sz w:val="21"/>
                      <w:szCs w:val="21"/>
                      <w:highlight w:val="none"/>
                      <w:lang w:val="en-US" w:eastAsia="zh-CN"/>
                    </w:rPr>
                    <w:t>处理后</w:t>
                  </w:r>
                  <w:r>
                    <w:rPr>
                      <w:rFonts w:hint="default" w:ascii="Times New Roman" w:hAnsi="Times New Roman" w:eastAsia="仿宋" w:cs="Times New Roman"/>
                      <w:color w:val="auto"/>
                      <w:sz w:val="21"/>
                      <w:szCs w:val="21"/>
                      <w:highlight w:val="none"/>
                      <w:lang w:val="en-US" w:eastAsia="zh-CN"/>
                    </w:rPr>
                    <w:t>通过15m高DA001排气筒排放</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满足该文件要求，有机废气逸散点设置集气管道，距集气管道开口面最远处的VOCs无组织排放位置，控制风速≥0.3米/秒。</w:t>
                  </w:r>
                  <w:r>
                    <w:rPr>
                      <w:rFonts w:hint="eastAsia" w:ascii="Times New Roman" w:hAnsi="Times New Roman" w:eastAsia="仿宋" w:cs="Times New Roman"/>
                      <w:color w:val="auto"/>
                      <w:sz w:val="21"/>
                      <w:szCs w:val="21"/>
                      <w:highlight w:val="none"/>
                      <w:lang w:val="en-US" w:eastAsia="zh-CN"/>
                    </w:rPr>
                    <w:t>本</w:t>
                  </w:r>
                  <w:r>
                    <w:rPr>
                      <w:rFonts w:hint="default" w:ascii="Times New Roman" w:hAnsi="Times New Roman" w:eastAsia="仿宋" w:cs="Times New Roman"/>
                      <w:color w:val="auto"/>
                      <w:sz w:val="21"/>
                      <w:szCs w:val="21"/>
                      <w:highlight w:val="none"/>
                      <w:lang w:val="en-US" w:eastAsia="zh-CN"/>
                    </w:rPr>
                    <w:t>项目使用的活性炭碘值不低于800毫克/克，并按设计要求足量添加、及时更换，能够满足该文件要求。</w:t>
                  </w:r>
                </w:p>
              </w:tc>
              <w:tc>
                <w:tcPr>
                  <w:tcW w:w="874" w:type="dxa"/>
                  <w:tcBorders>
                    <w:tl2br w:val="nil"/>
                    <w:tr2bl w:val="nil"/>
                  </w:tcBorders>
                  <w:vAlign w:val="center"/>
                </w:tcPr>
                <w:p w14:paraId="34F835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71D1F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restart"/>
                  <w:tcBorders>
                    <w:tl2br w:val="nil"/>
                    <w:tr2bl w:val="nil"/>
                  </w:tcBorders>
                  <w:vAlign w:val="center"/>
                </w:tcPr>
                <w:p w14:paraId="362046B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《省大气办关于印发</w:t>
                  </w:r>
                  <w:r>
                    <w:rPr>
                      <w:rFonts w:hint="eastAsia" w:eastAsia="仿宋" w:cs="Times New Roman"/>
                      <w:color w:val="auto"/>
                      <w:sz w:val="21"/>
                      <w:szCs w:val="21"/>
                      <w:vertAlign w:val="baseline"/>
                      <w:lang w:val="en-US" w:eastAsia="zh-CN"/>
                    </w:rPr>
                    <w:t>〈</w:t>
                  </w:r>
                  <w:r>
                    <w:rPr>
                      <w:rFonts w:hint="default" w:ascii="Times New Roman" w:hAnsi="Times New Roman" w:eastAsia="仿宋" w:cs="Times New Roman"/>
                      <w:color w:val="auto"/>
                      <w:sz w:val="21"/>
                      <w:szCs w:val="21"/>
                      <w:vertAlign w:val="baseline"/>
                      <w:lang w:val="en-US" w:eastAsia="zh-CN"/>
                    </w:rPr>
                    <w:t>江苏省挥发性有机物清洁原料替代工作方案</w:t>
                  </w:r>
                  <w:r>
                    <w:rPr>
                      <w:rFonts w:hint="eastAsia" w:eastAsia="仿宋" w:cs="Times New Roman"/>
                      <w:color w:val="auto"/>
                      <w:sz w:val="21"/>
                      <w:szCs w:val="21"/>
                      <w:vertAlign w:val="baseline"/>
                      <w:lang w:val="en-US" w:eastAsia="zh-CN"/>
                    </w:rPr>
                    <w:t>〉的通知》</w:t>
                  </w:r>
                  <w:r>
                    <w:rPr>
                      <w:rFonts w:hint="default" w:ascii="Times New Roman" w:hAnsi="Times New Roman" w:eastAsia="仿宋" w:cs="Times New Roman"/>
                      <w:color w:val="auto"/>
                      <w:sz w:val="21"/>
                      <w:szCs w:val="21"/>
                      <w:vertAlign w:val="baseline"/>
                      <w:lang w:val="en-US" w:eastAsia="zh-CN"/>
                    </w:rPr>
                    <w:t>（苏大气办〔2021〕2号）</w:t>
                  </w:r>
                </w:p>
              </w:tc>
              <w:tc>
                <w:tcPr>
                  <w:tcW w:w="777" w:type="dxa"/>
                  <w:tcBorders>
                    <w:tl2br w:val="nil"/>
                    <w:tr2bl w:val="nil"/>
                  </w:tcBorders>
                  <w:vAlign w:val="center"/>
                </w:tcPr>
                <w:p w14:paraId="6306C7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（一）</w:t>
                  </w:r>
                </w:p>
              </w:tc>
              <w:tc>
                <w:tcPr>
                  <w:tcW w:w="4799" w:type="dxa"/>
                  <w:tcBorders>
                    <w:tl2br w:val="nil"/>
                    <w:tr2bl w:val="nil"/>
                  </w:tcBorders>
                  <w:vAlign w:val="center"/>
                </w:tcPr>
                <w:p w14:paraId="487195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rPr>
                    <w:t>明确替代要求。以工业涂装、包装印刷、木材加工、纺织等行业为重点，分阶段推进3130家企业清洁原料替代工作。实施替代的企业要使用符合《低挥发性有机化合物含量涂料产品技术要求》（GB/T 38597-2020）规定的粉末、水性、无溶剂、辐射固化涂料产品；符合《油墨中可挥发性有机化合物（VOCs）含量的限值》（GB</w:t>
                  </w:r>
                  <w:r>
                    <w:rPr>
                      <w:rFonts w:hint="eastAsia" w:ascii="Times New Roman" w:hAnsi="Times New Roman" w:eastAsia="仿宋" w:cs="Times New Roman"/>
                      <w:color w:val="auto"/>
                      <w:sz w:val="21"/>
                      <w:szCs w:val="21"/>
                      <w:highlight w:val="none"/>
                      <w:lang w:val="en-US" w:eastAsia="zh-CN"/>
                    </w:rPr>
                    <w:t xml:space="preserve"> </w:t>
                  </w:r>
                  <w:r>
                    <w:rPr>
                      <w:rFonts w:hint="eastAsia" w:ascii="Times New Roman" w:hAnsi="Times New Roman" w:eastAsia="仿宋" w:cs="Times New Roman"/>
                      <w:color w:val="auto"/>
                      <w:sz w:val="21"/>
                      <w:szCs w:val="21"/>
                      <w:highlight w:val="none"/>
                    </w:rPr>
                    <w:t>38507-2020）规定的水性油墨和能量固化油墨产品；符合《清洗剂挥发性有机化合物含量限值》（GB</w:t>
                  </w:r>
                  <w:r>
                    <w:rPr>
                      <w:rFonts w:hint="eastAsia" w:ascii="Times New Roman" w:hAnsi="Times New Roman" w:eastAsia="仿宋" w:cs="Times New Roman"/>
                      <w:color w:val="auto"/>
                      <w:sz w:val="21"/>
                      <w:szCs w:val="21"/>
                      <w:highlight w:val="none"/>
                      <w:lang w:val="en-US" w:eastAsia="zh-CN"/>
                    </w:rPr>
                    <w:t xml:space="preserve"> </w:t>
                  </w:r>
                  <w:r>
                    <w:rPr>
                      <w:rFonts w:hint="eastAsia" w:ascii="Times New Roman" w:hAnsi="Times New Roman" w:eastAsia="仿宋" w:cs="Times New Roman"/>
                      <w:color w:val="auto"/>
                      <w:sz w:val="21"/>
                      <w:szCs w:val="21"/>
                      <w:highlight w:val="none"/>
                    </w:rPr>
                    <w:t>38508-2020）规定的水基、半水基清洗剂产品；符合《胶粘剂挥发性有机化合物限量》（GB</w:t>
                  </w:r>
                  <w:r>
                    <w:rPr>
                      <w:rFonts w:hint="eastAsia" w:ascii="Times New Roman" w:hAnsi="Times New Roman" w:eastAsia="仿宋" w:cs="Times New Roman"/>
                      <w:color w:val="auto"/>
                      <w:sz w:val="21"/>
                      <w:szCs w:val="21"/>
                      <w:highlight w:val="none"/>
                      <w:lang w:val="en-US" w:eastAsia="zh-CN"/>
                    </w:rPr>
                    <w:t xml:space="preserve"> </w:t>
                  </w:r>
                  <w:r>
                    <w:rPr>
                      <w:rFonts w:hint="eastAsia" w:ascii="Times New Roman" w:hAnsi="Times New Roman" w:eastAsia="仿宋" w:cs="Times New Roman"/>
                      <w:color w:val="auto"/>
                      <w:sz w:val="21"/>
                      <w:szCs w:val="21"/>
                      <w:highlight w:val="none"/>
                    </w:rPr>
                    <w:t>33372-2020）规定的水基型、本体型胶粘剂产品。若确实无法达到上述要求，应提供相应的论证说明，相关涂料、油墨、清洗剂、胶粘剂等产品应符合相关标准中VOCs含量的限值要求。</w:t>
                  </w:r>
                </w:p>
              </w:tc>
              <w:tc>
                <w:tcPr>
                  <w:tcW w:w="1965" w:type="dxa"/>
                  <w:vMerge w:val="restart"/>
                  <w:tcBorders>
                    <w:tl2br w:val="nil"/>
                    <w:tr2bl w:val="nil"/>
                  </w:tcBorders>
                  <w:vAlign w:val="center"/>
                </w:tcPr>
                <w:p w14:paraId="27AB09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本项目为汽车零部件及配件制造，不属于工业涂装、包装印刷、木材加工、纺织等重点行业；本项目使用</w:t>
                  </w:r>
                  <w:r>
                    <w:rPr>
                      <w:rFonts w:hint="eastAsia" w:ascii="Times New Roman" w:hAnsi="Times New Roman" w:eastAsia="仿宋" w:cs="Times New Roman"/>
                      <w:color w:val="auto"/>
                      <w:sz w:val="21"/>
                      <w:szCs w:val="21"/>
                      <w:highlight w:val="none"/>
                      <w:lang w:val="en-US" w:eastAsia="zh-CN"/>
                    </w:rPr>
                    <w:t>电泳底漆满足《低挥发性有机化合物含量涂料产品技术要求》（GB/T 38597-2020）中车辆涂料-汽车原厂涂料（乘用车、卸载货车）-电泳底漆）限值要求；</w:t>
                  </w:r>
                  <w:r>
                    <w:rPr>
                      <w:rFonts w:hint="default" w:ascii="Times New Roman" w:hAnsi="Times New Roman" w:eastAsia="仿宋" w:cs="Times New Roman"/>
                      <w:color w:val="auto"/>
                      <w:sz w:val="21"/>
                      <w:szCs w:val="21"/>
                      <w:highlight w:val="none"/>
                      <w:lang w:val="en-US" w:eastAsia="zh-CN"/>
                    </w:rPr>
                    <w:t>使用的涂料满足《低挥发性有机化合物含量涂料产品技术要求》（GB/T</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38597-2020）的粉末涂料与文件要求相符。</w:t>
                  </w:r>
                </w:p>
              </w:tc>
              <w:tc>
                <w:tcPr>
                  <w:tcW w:w="874" w:type="dxa"/>
                  <w:tcBorders>
                    <w:tl2br w:val="nil"/>
                    <w:tr2bl w:val="nil"/>
                  </w:tcBorders>
                  <w:vAlign w:val="center"/>
                </w:tcPr>
                <w:p w14:paraId="7A00FA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42479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58E9566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77" w:type="dxa"/>
                  <w:tcBorders>
                    <w:tl2br w:val="nil"/>
                    <w:tr2bl w:val="nil"/>
                  </w:tcBorders>
                  <w:vAlign w:val="center"/>
                </w:tcPr>
                <w:p w14:paraId="772986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（二）</w:t>
                  </w:r>
                </w:p>
              </w:tc>
              <w:tc>
                <w:tcPr>
                  <w:tcW w:w="4799" w:type="dxa"/>
                  <w:tcBorders>
                    <w:tl2br w:val="nil"/>
                    <w:tr2bl w:val="nil"/>
                  </w:tcBorders>
                  <w:vAlign w:val="center"/>
                </w:tcPr>
                <w:p w14:paraId="63D82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rPr>
                    <w:t>严格准入条件。禁止建设生产和使用高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w:t>
                  </w:r>
                  <w:r>
                    <w:rPr>
                      <w:rFonts w:hint="eastAsia" w:ascii="Times New Roman" w:hAnsi="Times New Roman" w:eastAsia="仿宋" w:cs="Times New Roman"/>
                      <w:color w:val="auto"/>
                      <w:sz w:val="21"/>
                      <w:szCs w:val="21"/>
                      <w:highlight w:val="none"/>
                      <w:lang w:val="en-US" w:eastAsia="zh-CN"/>
                    </w:rPr>
                    <w:t xml:space="preserve"> </w:t>
                  </w:r>
                  <w:r>
                    <w:rPr>
                      <w:rFonts w:hint="eastAsia" w:ascii="Times New Roman" w:hAnsi="Times New Roman" w:eastAsia="仿宋" w:cs="Times New Roman"/>
                      <w:color w:val="auto"/>
                      <w:sz w:val="21"/>
                      <w:szCs w:val="21"/>
                      <w:highlight w:val="none"/>
                    </w:rPr>
                    <w:t>38597-2020）。</w:t>
                  </w:r>
                </w:p>
              </w:tc>
              <w:tc>
                <w:tcPr>
                  <w:tcW w:w="1965" w:type="dxa"/>
                  <w:vMerge w:val="continue"/>
                  <w:tcBorders>
                    <w:tl2br w:val="nil"/>
                    <w:tr2bl w:val="nil"/>
                  </w:tcBorders>
                  <w:vAlign w:val="center"/>
                </w:tcPr>
                <w:p w14:paraId="0C5BD6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874" w:type="dxa"/>
                  <w:tcBorders>
                    <w:tl2br w:val="nil"/>
                    <w:tr2bl w:val="nil"/>
                  </w:tcBorders>
                  <w:vAlign w:val="center"/>
                </w:tcPr>
                <w:p w14:paraId="3894E8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56652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tcBorders>
                    <w:tl2br w:val="nil"/>
                    <w:tr2bl w:val="nil"/>
                  </w:tcBorders>
                  <w:vAlign w:val="center"/>
                </w:tcPr>
                <w:p w14:paraId="6F3D6A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《重点行业挥发性有机物综合治理方案》</w:t>
                  </w:r>
                </w:p>
              </w:tc>
              <w:tc>
                <w:tcPr>
                  <w:tcW w:w="777" w:type="dxa"/>
                  <w:tcBorders>
                    <w:tl2br w:val="nil"/>
                    <w:tr2bl w:val="nil"/>
                  </w:tcBorders>
                  <w:vAlign w:val="center"/>
                </w:tcPr>
                <w:p w14:paraId="03AC76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三、控制思路与要求</w:t>
                  </w:r>
                </w:p>
              </w:tc>
              <w:tc>
                <w:tcPr>
                  <w:tcW w:w="4799" w:type="dxa"/>
                  <w:tcBorders>
                    <w:tl2br w:val="nil"/>
                    <w:tr2bl w:val="nil"/>
                  </w:tcBorders>
                  <w:vAlign w:val="center"/>
                </w:tcPr>
                <w:p w14:paraId="6ADF6D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eastAsia"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58881D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eastAsia"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35B11D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eastAsia"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7E3EB8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965" w:type="dxa"/>
                  <w:tcBorders>
                    <w:tl2br w:val="nil"/>
                    <w:tr2bl w:val="nil"/>
                  </w:tcBorders>
                  <w:vAlign w:val="center"/>
                </w:tcPr>
                <w:p w14:paraId="0E2805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本项目使用的本项目使用电泳底漆满足《低挥发性有机化合物含量涂料产品技术要求》（GB/T 38597-2020）中车辆涂料-汽车原厂涂料（乘用车、卸载货车）-电泳底漆）限值要求，使用的涂料</w:t>
                  </w:r>
                  <w:r>
                    <w:rPr>
                      <w:rFonts w:hint="eastAsia" w:ascii="Times New Roman" w:hAnsi="Times New Roman" w:eastAsia="仿宋" w:cs="Times New Roman"/>
                      <w:color w:val="auto"/>
                      <w:sz w:val="21"/>
                      <w:szCs w:val="21"/>
                      <w:highlight w:val="none"/>
                      <w:lang w:val="en-US" w:eastAsia="zh-CN"/>
                    </w:rPr>
                    <w:t>为</w:t>
                  </w:r>
                  <w:r>
                    <w:rPr>
                      <w:rFonts w:hint="default" w:ascii="Times New Roman" w:hAnsi="Times New Roman" w:eastAsia="仿宋" w:cs="Times New Roman"/>
                      <w:color w:val="auto"/>
                      <w:sz w:val="21"/>
                      <w:szCs w:val="21"/>
                      <w:highlight w:val="none"/>
                      <w:lang w:val="en-US" w:eastAsia="zh-CN"/>
                    </w:rPr>
                    <w:t>满足《低挥发性有机化合物含量涂料产品技术要求》（GB/T</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38597-2020）的粉末涂料</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与文件要求相符。本项目电泳线酸洗废气、电泳废气、电泳烘干废气、喷粉前处理酸洗废气、喷粉烘干废气收集后通过1套</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碱性喷淋塔+</w:t>
                  </w:r>
                  <w:r>
                    <w:rPr>
                      <w:rFonts w:hint="eastAsia" w:eastAsia="仿宋" w:cs="Times New Roman"/>
                      <w:color w:val="auto"/>
                      <w:sz w:val="21"/>
                      <w:szCs w:val="21"/>
                      <w:highlight w:val="none"/>
                      <w:lang w:val="en-US" w:eastAsia="zh-CN"/>
                    </w:rPr>
                    <w:t>干式过滤器</w:t>
                  </w:r>
                  <w:r>
                    <w:rPr>
                      <w:rFonts w:hint="default" w:ascii="Times New Roman" w:hAnsi="Times New Roman" w:eastAsia="仿宋" w:cs="Times New Roman"/>
                      <w:color w:val="auto"/>
                      <w:sz w:val="21"/>
                      <w:szCs w:val="21"/>
                      <w:highlight w:val="none"/>
                      <w:lang w:val="en-US" w:eastAsia="zh-CN"/>
                    </w:rPr>
                    <w:t>+二级活性炭吸附</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装置处理后通过15m高DA001排气筒排放</w:t>
                  </w:r>
                  <w:r>
                    <w:rPr>
                      <w:rFonts w:hint="eastAsia" w:ascii="Times New Roman" w:hAnsi="Times New Roman" w:eastAsia="仿宋" w:cs="Times New Roman"/>
                      <w:color w:val="auto"/>
                      <w:sz w:val="21"/>
                      <w:szCs w:val="21"/>
                      <w:highlight w:val="none"/>
                      <w:lang w:val="en-US" w:eastAsia="zh-CN"/>
                    </w:rPr>
                    <w:t>，喷粉废气经</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滤芯回收装置</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处理后</w:t>
                  </w:r>
                  <w:r>
                    <w:rPr>
                      <w:rFonts w:hint="default" w:ascii="Times New Roman" w:hAnsi="Times New Roman" w:eastAsia="仿宋" w:cs="Times New Roman"/>
                      <w:color w:val="auto"/>
                      <w:sz w:val="21"/>
                      <w:szCs w:val="21"/>
                      <w:highlight w:val="none"/>
                      <w:lang w:val="en-US" w:eastAsia="zh-CN"/>
                    </w:rPr>
                    <w:t>通过15m高DA001排气筒排放。本项目使用的VOCs物料均放置在密闭包装桶内，暂时存放于</w:t>
                  </w:r>
                  <w:r>
                    <w:rPr>
                      <w:rFonts w:hint="eastAsia" w:eastAsia="仿宋" w:cs="Times New Roman"/>
                      <w:color w:val="auto"/>
                      <w:sz w:val="21"/>
                      <w:szCs w:val="21"/>
                      <w:highlight w:val="none"/>
                      <w:lang w:val="en-US" w:eastAsia="zh-CN"/>
                    </w:rPr>
                    <w:t>化学品仓库内</w:t>
                  </w:r>
                  <w:r>
                    <w:rPr>
                      <w:rFonts w:hint="default" w:ascii="Times New Roman" w:hAnsi="Times New Roman" w:eastAsia="仿宋" w:cs="Times New Roman"/>
                      <w:color w:val="auto"/>
                      <w:sz w:val="21"/>
                      <w:szCs w:val="21"/>
                      <w:highlight w:val="none"/>
                      <w:lang w:val="en-US" w:eastAsia="zh-CN"/>
                    </w:rPr>
                    <w:t>，与文件要求相符。</w:t>
                  </w:r>
                </w:p>
              </w:tc>
              <w:tc>
                <w:tcPr>
                  <w:tcW w:w="874" w:type="dxa"/>
                  <w:tcBorders>
                    <w:tl2br w:val="nil"/>
                    <w:tr2bl w:val="nil"/>
                  </w:tcBorders>
                  <w:vAlign w:val="center"/>
                </w:tcPr>
                <w:p w14:paraId="388EE7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228F1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tcBorders>
                    <w:tl2br w:val="nil"/>
                    <w:tr2bl w:val="nil"/>
                  </w:tcBorders>
                  <w:vAlign w:val="center"/>
                </w:tcPr>
                <w:p w14:paraId="1251E86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《江苏省重点行业挥发性有机物污染控制指南》</w:t>
                  </w:r>
                </w:p>
              </w:tc>
              <w:tc>
                <w:tcPr>
                  <w:tcW w:w="777" w:type="dxa"/>
                  <w:tcBorders>
                    <w:tl2br w:val="nil"/>
                    <w:tr2bl w:val="nil"/>
                  </w:tcBorders>
                  <w:vAlign w:val="center"/>
                </w:tcPr>
                <w:p w14:paraId="2E2B7E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一、总体要求</w:t>
                  </w:r>
                </w:p>
              </w:tc>
              <w:tc>
                <w:tcPr>
                  <w:tcW w:w="4799" w:type="dxa"/>
                  <w:tcBorders>
                    <w:tl2br w:val="nil"/>
                    <w:tr2bl w:val="nil"/>
                  </w:tcBorders>
                  <w:vAlign w:val="center"/>
                </w:tcPr>
                <w:p w14:paraId="1B83F7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（一）所有产生油雾废气污染的企业，应优先采用环保型原辅料、生产工艺和装备，对相应生产单元或设施进行密闭，从源头控制VOCs的产生，减少废气污染物排放。</w:t>
                  </w:r>
                </w:p>
                <w:p w14:paraId="54B243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965" w:type="dxa"/>
                  <w:tcBorders>
                    <w:tl2br w:val="nil"/>
                    <w:tr2bl w:val="nil"/>
                  </w:tcBorders>
                  <w:vAlign w:val="center"/>
                </w:tcPr>
                <w:p w14:paraId="043390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本项目电泳线酸洗废气、电泳废气、电泳烘干废气、喷粉前处理酸洗废气、喷粉烘干废气收集后通过1套</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碱性喷淋塔+</w:t>
                  </w:r>
                  <w:r>
                    <w:rPr>
                      <w:rFonts w:hint="eastAsia" w:eastAsia="仿宋" w:cs="Times New Roman"/>
                      <w:color w:val="auto"/>
                      <w:sz w:val="21"/>
                      <w:szCs w:val="21"/>
                      <w:highlight w:val="none"/>
                      <w:lang w:val="en-US" w:eastAsia="zh-CN"/>
                    </w:rPr>
                    <w:t>干式过滤器</w:t>
                  </w:r>
                  <w:r>
                    <w:rPr>
                      <w:rFonts w:hint="default" w:ascii="Times New Roman" w:hAnsi="Times New Roman" w:eastAsia="仿宋" w:cs="Times New Roman"/>
                      <w:color w:val="auto"/>
                      <w:sz w:val="21"/>
                      <w:szCs w:val="21"/>
                      <w:highlight w:val="none"/>
                      <w:lang w:val="en-US" w:eastAsia="zh-CN"/>
                    </w:rPr>
                    <w:t>+二级活性炭吸附</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装置处理后通过15m高DA001排气筒排放</w:t>
                  </w:r>
                  <w:r>
                    <w:rPr>
                      <w:rFonts w:hint="eastAsia" w:ascii="Times New Roman" w:hAnsi="Times New Roman" w:eastAsia="仿宋" w:cs="Times New Roman"/>
                      <w:color w:val="auto"/>
                      <w:sz w:val="21"/>
                      <w:szCs w:val="21"/>
                      <w:highlight w:val="none"/>
                      <w:lang w:val="en-US" w:eastAsia="zh-CN"/>
                    </w:rPr>
                    <w:t>，喷粉废气经</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滤芯回收装置</w:t>
                  </w:r>
                  <w:r>
                    <w:rPr>
                      <w:rFonts w:hint="eastAsia"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处理后</w:t>
                  </w:r>
                  <w:r>
                    <w:rPr>
                      <w:rFonts w:hint="default" w:ascii="Times New Roman" w:hAnsi="Times New Roman" w:eastAsia="仿宋" w:cs="Times New Roman"/>
                      <w:color w:val="auto"/>
                      <w:sz w:val="21"/>
                      <w:szCs w:val="21"/>
                      <w:highlight w:val="none"/>
                      <w:lang w:val="en-US" w:eastAsia="zh-CN"/>
                    </w:rPr>
                    <w:t>通过15m高DA001排气筒排放</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与文件要求相符</w:t>
                  </w:r>
                  <w:r>
                    <w:rPr>
                      <w:rFonts w:hint="eastAsia" w:eastAsia="仿宋" w:cs="Times New Roman"/>
                      <w:color w:val="auto"/>
                      <w:sz w:val="21"/>
                      <w:szCs w:val="21"/>
                      <w:highlight w:val="none"/>
                      <w:lang w:val="en-US" w:eastAsia="zh-CN"/>
                    </w:rPr>
                    <w:t>。</w:t>
                  </w:r>
                </w:p>
              </w:tc>
              <w:tc>
                <w:tcPr>
                  <w:tcW w:w="874" w:type="dxa"/>
                  <w:tcBorders>
                    <w:tl2br w:val="nil"/>
                    <w:tr2bl w:val="nil"/>
                  </w:tcBorders>
                  <w:vAlign w:val="center"/>
                </w:tcPr>
                <w:p w14:paraId="3101EF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6242E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restart"/>
                  <w:tcBorders>
                    <w:tl2br w:val="nil"/>
                    <w:tr2bl w:val="nil"/>
                  </w:tcBorders>
                  <w:vAlign w:val="center"/>
                </w:tcPr>
                <w:p w14:paraId="0E0F154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《江苏省挥发性有机物污染防治管理办法》</w:t>
                  </w:r>
                </w:p>
              </w:tc>
              <w:tc>
                <w:tcPr>
                  <w:tcW w:w="777" w:type="dxa"/>
                  <w:tcBorders>
                    <w:tl2br w:val="nil"/>
                    <w:tr2bl w:val="nil"/>
                  </w:tcBorders>
                  <w:vAlign w:val="center"/>
                </w:tcPr>
                <w:p w14:paraId="68073E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第三条</w:t>
                  </w:r>
                </w:p>
              </w:tc>
              <w:tc>
                <w:tcPr>
                  <w:tcW w:w="4799" w:type="dxa"/>
                  <w:tcBorders>
                    <w:tl2br w:val="nil"/>
                    <w:tr2bl w:val="nil"/>
                  </w:tcBorders>
                  <w:vAlign w:val="center"/>
                </w:tcPr>
                <w:p w14:paraId="71AB68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挥发性有机物污染防治坚持源头控制、综合治理、损害担责、公众参与的原则，重点防治工业源排放的挥发性有机物，强化生活源、农业源等挥发性有机物污染防治。</w:t>
                  </w:r>
                </w:p>
              </w:tc>
              <w:tc>
                <w:tcPr>
                  <w:tcW w:w="1965" w:type="dxa"/>
                  <w:vMerge w:val="restart"/>
                  <w:tcBorders>
                    <w:tl2br w:val="nil"/>
                    <w:tr2bl w:val="nil"/>
                  </w:tcBorders>
                  <w:vAlign w:val="center"/>
                </w:tcPr>
                <w:p w14:paraId="22DF54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本项目主要从事汽车零部件及配件制造，所使用的</w:t>
                  </w:r>
                  <w:r>
                    <w:rPr>
                      <w:rFonts w:hint="eastAsia" w:ascii="Times New Roman" w:hAnsi="Times New Roman" w:eastAsia="仿宋" w:cs="Times New Roman"/>
                      <w:color w:val="auto"/>
                      <w:sz w:val="21"/>
                      <w:szCs w:val="21"/>
                      <w:highlight w:val="none"/>
                      <w:lang w:val="en-US" w:eastAsia="zh-CN"/>
                    </w:rPr>
                    <w:t>电泳</w:t>
                  </w:r>
                  <w:r>
                    <w:rPr>
                      <w:rFonts w:hint="default" w:ascii="Times New Roman" w:hAnsi="Times New Roman" w:eastAsia="仿宋" w:cs="Times New Roman"/>
                      <w:color w:val="auto"/>
                      <w:sz w:val="21"/>
                      <w:szCs w:val="21"/>
                      <w:highlight w:val="none"/>
                      <w:lang w:val="en-US" w:eastAsia="zh-CN"/>
                    </w:rPr>
                    <w:t>漆</w:t>
                  </w:r>
                  <w:r>
                    <w:rPr>
                      <w:rFonts w:hint="eastAsia" w:ascii="Times New Roman" w:hAnsi="Times New Roman" w:eastAsia="仿宋" w:cs="Times New Roman"/>
                      <w:color w:val="auto"/>
                      <w:sz w:val="21"/>
                      <w:szCs w:val="21"/>
                      <w:highlight w:val="none"/>
                      <w:lang w:val="en-US" w:eastAsia="zh-CN"/>
                    </w:rPr>
                    <w:t>、色浆</w:t>
                  </w:r>
                  <w:r>
                    <w:rPr>
                      <w:rFonts w:hint="default" w:ascii="Times New Roman" w:hAnsi="Times New Roman" w:eastAsia="仿宋" w:cs="Times New Roman"/>
                      <w:color w:val="auto"/>
                      <w:sz w:val="21"/>
                      <w:szCs w:val="21"/>
                      <w:highlight w:val="none"/>
                      <w:lang w:val="en-US" w:eastAsia="zh-CN"/>
                    </w:rPr>
                    <w:t>暂存密闭包装桶内。电泳线酸洗废气、电泳废气、电泳烘干废气、喷粉前处理酸洗废气、喷粉烘干废气收集后通过1套</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碱性喷淋塔+</w:t>
                  </w:r>
                  <w:r>
                    <w:rPr>
                      <w:rFonts w:hint="eastAsia" w:eastAsia="仿宋" w:cs="Times New Roman"/>
                      <w:color w:val="auto"/>
                      <w:sz w:val="21"/>
                      <w:szCs w:val="21"/>
                      <w:highlight w:val="none"/>
                      <w:lang w:val="en-US" w:eastAsia="zh-CN"/>
                    </w:rPr>
                    <w:t>干式过滤器</w:t>
                  </w:r>
                  <w:r>
                    <w:rPr>
                      <w:rFonts w:hint="default" w:ascii="Times New Roman" w:hAnsi="Times New Roman" w:eastAsia="仿宋" w:cs="Times New Roman"/>
                      <w:color w:val="auto"/>
                      <w:sz w:val="21"/>
                      <w:szCs w:val="21"/>
                      <w:highlight w:val="none"/>
                      <w:lang w:val="en-US" w:eastAsia="zh-CN"/>
                    </w:rPr>
                    <w:t>+二级活性炭吸附</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装置处理后通过15m高DA001排气筒排放</w:t>
                  </w:r>
                  <w:r>
                    <w:rPr>
                      <w:rFonts w:hint="eastAsia" w:ascii="Times New Roman" w:hAnsi="Times New Roman" w:eastAsia="仿宋" w:cs="Times New Roman"/>
                      <w:color w:val="auto"/>
                      <w:sz w:val="21"/>
                      <w:szCs w:val="21"/>
                      <w:highlight w:val="none"/>
                      <w:lang w:val="en-US" w:eastAsia="zh-CN"/>
                    </w:rPr>
                    <w:t>，喷粉废气经</w:t>
                  </w:r>
                  <w:r>
                    <w:rPr>
                      <w:rFonts w:hint="eastAsia" w:eastAsia="仿宋" w:cs="Times New Roman"/>
                      <w:color w:val="auto"/>
                      <w:sz w:val="21"/>
                      <w:szCs w:val="21"/>
                      <w:highlight w:val="none"/>
                      <w:lang w:val="en-US" w:eastAsia="zh-CN"/>
                    </w:rPr>
                    <w:t>“滤芯回收系统”</w:t>
                  </w:r>
                  <w:r>
                    <w:rPr>
                      <w:rFonts w:hint="eastAsia" w:ascii="Times New Roman" w:hAnsi="Times New Roman" w:eastAsia="仿宋" w:cs="Times New Roman"/>
                      <w:color w:val="auto"/>
                      <w:sz w:val="21"/>
                      <w:szCs w:val="21"/>
                      <w:highlight w:val="none"/>
                      <w:lang w:val="en-US" w:eastAsia="zh-CN"/>
                    </w:rPr>
                    <w:t>处理后</w:t>
                  </w:r>
                  <w:r>
                    <w:rPr>
                      <w:rFonts w:hint="default" w:ascii="Times New Roman" w:hAnsi="Times New Roman" w:eastAsia="仿宋" w:cs="Times New Roman"/>
                      <w:color w:val="auto"/>
                      <w:sz w:val="21"/>
                      <w:szCs w:val="21"/>
                      <w:highlight w:val="none"/>
                      <w:lang w:val="en-US" w:eastAsia="zh-CN"/>
                    </w:rPr>
                    <w:t>通过15m高DA001排气筒排放。项目运行后，应当按照有关规定和监测规范自行或者委托有关监测机构对其排放的挥发性有机物进行监测，记录、保存监测数据，并按照规定向社会公开。监测数据应当真实、可靠，保</w:t>
                  </w:r>
                  <w:r>
                    <w:rPr>
                      <w:rFonts w:hint="eastAsia" w:ascii="Times New Roman" w:hAnsi="Times New Roman" w:eastAsia="仿宋" w:cs="Times New Roman"/>
                      <w:color w:val="auto"/>
                      <w:sz w:val="21"/>
                      <w:szCs w:val="21"/>
                      <w:highlight w:val="none"/>
                      <w:lang w:val="en-US" w:eastAsia="zh-CN"/>
                    </w:rPr>
                    <w:t>存时间不得少于3年。</w:t>
                  </w:r>
                </w:p>
              </w:tc>
              <w:tc>
                <w:tcPr>
                  <w:tcW w:w="874" w:type="dxa"/>
                  <w:tcBorders>
                    <w:tl2br w:val="nil"/>
                    <w:tr2bl w:val="nil"/>
                  </w:tcBorders>
                  <w:vAlign w:val="center"/>
                </w:tcPr>
                <w:p w14:paraId="2B02A3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64AA6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1D636DA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77" w:type="dxa"/>
                  <w:tcBorders>
                    <w:tl2br w:val="nil"/>
                    <w:tr2bl w:val="nil"/>
                  </w:tcBorders>
                  <w:vAlign w:val="center"/>
                </w:tcPr>
                <w:p w14:paraId="2DBB75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第十五条</w:t>
                  </w:r>
                </w:p>
              </w:tc>
              <w:tc>
                <w:tcPr>
                  <w:tcW w:w="4799" w:type="dxa"/>
                  <w:tcBorders>
                    <w:tl2br w:val="nil"/>
                    <w:tr2bl w:val="nil"/>
                  </w:tcBorders>
                  <w:vAlign w:val="center"/>
                </w:tcPr>
                <w:p w14:paraId="152107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965" w:type="dxa"/>
                  <w:vMerge w:val="continue"/>
                  <w:tcBorders>
                    <w:tl2br w:val="nil"/>
                    <w:tr2bl w:val="nil"/>
                  </w:tcBorders>
                  <w:vAlign w:val="center"/>
                </w:tcPr>
                <w:p w14:paraId="6A0EE1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874" w:type="dxa"/>
                  <w:tcBorders>
                    <w:tl2br w:val="nil"/>
                    <w:tr2bl w:val="nil"/>
                  </w:tcBorders>
                  <w:vAlign w:val="center"/>
                </w:tcPr>
                <w:p w14:paraId="04A675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5C279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2143518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77" w:type="dxa"/>
                  <w:tcBorders>
                    <w:tl2br w:val="nil"/>
                    <w:tr2bl w:val="nil"/>
                  </w:tcBorders>
                  <w:vAlign w:val="center"/>
                </w:tcPr>
                <w:p w14:paraId="7DBA3E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第十七条</w:t>
                  </w:r>
                </w:p>
              </w:tc>
              <w:tc>
                <w:tcPr>
                  <w:tcW w:w="4799" w:type="dxa"/>
                  <w:tcBorders>
                    <w:tl2br w:val="nil"/>
                    <w:tr2bl w:val="nil"/>
                  </w:tcBorders>
                  <w:vAlign w:val="center"/>
                </w:tcPr>
                <w:p w14:paraId="2A2A54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1965" w:type="dxa"/>
                  <w:vMerge w:val="continue"/>
                  <w:tcBorders>
                    <w:tl2br w:val="nil"/>
                    <w:tr2bl w:val="nil"/>
                  </w:tcBorders>
                  <w:vAlign w:val="center"/>
                </w:tcPr>
                <w:p w14:paraId="0714BA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874" w:type="dxa"/>
                  <w:tcBorders>
                    <w:tl2br w:val="nil"/>
                    <w:tr2bl w:val="nil"/>
                  </w:tcBorders>
                  <w:vAlign w:val="center"/>
                </w:tcPr>
                <w:p w14:paraId="2866E2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r w14:paraId="642BF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1" w:type="dxa"/>
                  <w:vMerge w:val="continue"/>
                  <w:tcBorders>
                    <w:tl2br w:val="nil"/>
                    <w:tr2bl w:val="nil"/>
                  </w:tcBorders>
                  <w:vAlign w:val="center"/>
                </w:tcPr>
                <w:p w14:paraId="3EE10D6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77" w:type="dxa"/>
                  <w:tcBorders>
                    <w:tl2br w:val="nil"/>
                    <w:tr2bl w:val="nil"/>
                  </w:tcBorders>
                  <w:vAlign w:val="center"/>
                </w:tcPr>
                <w:p w14:paraId="57C179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第二十一条</w:t>
                  </w:r>
                </w:p>
              </w:tc>
              <w:tc>
                <w:tcPr>
                  <w:tcW w:w="4799" w:type="dxa"/>
                  <w:tcBorders>
                    <w:tl2br w:val="nil"/>
                    <w:tr2bl w:val="nil"/>
                  </w:tcBorders>
                  <w:vAlign w:val="center"/>
                </w:tcPr>
                <w:p w14:paraId="318D0C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hint="eastAsia" w:ascii="Times New Roman" w:hAnsi="Times New Roman" w:eastAsia="仿宋" w:cs="Times New Roman"/>
                      <w:color w:val="auto"/>
                      <w:sz w:val="21"/>
                      <w:szCs w:val="21"/>
                      <w:highlight w:val="none"/>
                      <w:lang w:val="en-US" w:eastAsia="zh-CN"/>
                    </w:rPr>
                    <w:t>。</w:t>
                  </w:r>
                </w:p>
              </w:tc>
              <w:tc>
                <w:tcPr>
                  <w:tcW w:w="1965" w:type="dxa"/>
                  <w:vMerge w:val="continue"/>
                  <w:tcBorders>
                    <w:tl2br w:val="nil"/>
                    <w:tr2bl w:val="nil"/>
                  </w:tcBorders>
                  <w:vAlign w:val="center"/>
                </w:tcPr>
                <w:p w14:paraId="795957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874" w:type="dxa"/>
                  <w:tcBorders>
                    <w:tl2br w:val="nil"/>
                    <w:tr2bl w:val="nil"/>
                  </w:tcBorders>
                  <w:vAlign w:val="center"/>
                </w:tcPr>
                <w:p w14:paraId="00493B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相符</w:t>
                  </w:r>
                </w:p>
              </w:tc>
            </w:tr>
          </w:tbl>
          <w:p w14:paraId="1A6D5D51">
            <w:pPr>
              <w:pStyle w:val="29"/>
              <w:spacing w:line="360" w:lineRule="auto"/>
              <w:ind w:left="0" w:leftChars="0" w:firstLine="0" w:firstLineChars="0"/>
              <w:jc w:val="both"/>
              <w:rPr>
                <w:rFonts w:hint="default" w:ascii="Times New Roman" w:cs="Times New Roman"/>
                <w:b/>
                <w:bCs/>
                <w:color w:val="auto"/>
                <w:kern w:val="2"/>
                <w:highlight w:val="none"/>
                <w:lang w:val="en-US" w:eastAsia="zh-CN"/>
              </w:rPr>
            </w:pPr>
            <w:r>
              <w:rPr>
                <w:rFonts w:hint="eastAsia" w:ascii="Times New Roman" w:cs="Times New Roman"/>
                <w:b/>
                <w:bCs/>
                <w:color w:val="auto"/>
                <w:kern w:val="2"/>
                <w:highlight w:val="none"/>
                <w:lang w:val="en-US" w:eastAsia="zh-CN"/>
              </w:rPr>
              <w:t>12、与《挥发性有机物无组织排放控制标准》（GB37822-2019）相符性分析</w:t>
            </w:r>
          </w:p>
          <w:p w14:paraId="277ED41D">
            <w:pPr>
              <w:numPr>
                <w:ilvl w:val="0"/>
                <w:numId w:val="0"/>
              </w:numPr>
              <w:jc w:val="center"/>
              <w:rPr>
                <w:rFonts w:hint="default"/>
                <w:color w:val="auto"/>
                <w:lang w:val="en-US" w:eastAsia="zh-CN"/>
              </w:rPr>
            </w:pPr>
            <w:r>
              <w:rPr>
                <w:rFonts w:hint="default"/>
                <w:b/>
                <w:color w:val="auto"/>
                <w:sz w:val="24"/>
                <w:szCs w:val="24"/>
                <w:highlight w:val="none"/>
                <w:lang w:val="en-US" w:eastAsia="zh-CN"/>
              </w:rPr>
              <w:t>表</w:t>
            </w:r>
            <w:r>
              <w:rPr>
                <w:rFonts w:hint="eastAsia"/>
                <w:b/>
                <w:color w:val="auto"/>
                <w:sz w:val="24"/>
                <w:szCs w:val="24"/>
                <w:highlight w:val="none"/>
                <w:lang w:val="en-US" w:eastAsia="zh-CN"/>
              </w:rPr>
              <w:t xml:space="preserve">1-11  </w:t>
            </w:r>
            <w:r>
              <w:rPr>
                <w:rFonts w:hint="default"/>
                <w:b/>
                <w:color w:val="auto"/>
                <w:sz w:val="24"/>
                <w:szCs w:val="24"/>
                <w:highlight w:val="none"/>
                <w:lang w:val="en-US" w:eastAsia="zh-CN"/>
              </w:rPr>
              <w:t>与《挥发性有机物无组织排放控制标准》（GB37822-2019）相符性分析</w:t>
            </w:r>
          </w:p>
          <w:tbl>
            <w:tblPr>
              <w:tblStyle w:val="21"/>
              <w:tblW w:w="914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682"/>
              <w:gridCol w:w="3437"/>
              <w:gridCol w:w="3300"/>
              <w:gridCol w:w="863"/>
            </w:tblGrid>
            <w:tr w14:paraId="606BE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64" w:type="dxa"/>
                  <w:tcBorders>
                    <w:tl2br w:val="nil"/>
                    <w:tr2bl w:val="nil"/>
                  </w:tcBorders>
                  <w:vAlign w:val="center"/>
                </w:tcPr>
                <w:p w14:paraId="3425F72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内容</w:t>
                  </w:r>
                </w:p>
              </w:tc>
              <w:tc>
                <w:tcPr>
                  <w:tcW w:w="682" w:type="dxa"/>
                  <w:tcBorders>
                    <w:tl2br w:val="nil"/>
                    <w:tr2bl w:val="nil"/>
                  </w:tcBorders>
                  <w:vAlign w:val="center"/>
                </w:tcPr>
                <w:p w14:paraId="4894D2C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序号</w:t>
                  </w:r>
                </w:p>
              </w:tc>
              <w:tc>
                <w:tcPr>
                  <w:tcW w:w="3437" w:type="dxa"/>
                  <w:tcBorders>
                    <w:tl2br w:val="nil"/>
                    <w:tr2bl w:val="nil"/>
                  </w:tcBorders>
                  <w:vAlign w:val="center"/>
                </w:tcPr>
                <w:p w14:paraId="3EAC748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相关要求</w:t>
                  </w:r>
                </w:p>
              </w:tc>
              <w:tc>
                <w:tcPr>
                  <w:tcW w:w="3300" w:type="dxa"/>
                  <w:tcBorders>
                    <w:tl2br w:val="nil"/>
                    <w:tr2bl w:val="nil"/>
                  </w:tcBorders>
                  <w:vAlign w:val="center"/>
                </w:tcPr>
                <w:p w14:paraId="3309EEA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项目情况</w:t>
                  </w:r>
                </w:p>
              </w:tc>
              <w:tc>
                <w:tcPr>
                  <w:tcW w:w="863" w:type="dxa"/>
                  <w:tcBorders>
                    <w:tl2br w:val="nil"/>
                    <w:tr2bl w:val="nil"/>
                  </w:tcBorders>
                  <w:vAlign w:val="center"/>
                </w:tcPr>
                <w:p w14:paraId="7A6605A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相符性</w:t>
                  </w:r>
                </w:p>
              </w:tc>
            </w:tr>
            <w:tr w14:paraId="6CA71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restart"/>
                  <w:tcBorders>
                    <w:tl2br w:val="nil"/>
                    <w:tr2bl w:val="nil"/>
                  </w:tcBorders>
                  <w:vAlign w:val="center"/>
                </w:tcPr>
                <w:p w14:paraId="57DD1EA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VOCs物料储存无组织排放控制要求</w:t>
                  </w:r>
                </w:p>
              </w:tc>
              <w:tc>
                <w:tcPr>
                  <w:tcW w:w="682" w:type="dxa"/>
                  <w:tcBorders>
                    <w:tl2br w:val="nil"/>
                    <w:tr2bl w:val="nil"/>
                  </w:tcBorders>
                  <w:vAlign w:val="center"/>
                </w:tcPr>
                <w:p w14:paraId="606CBA0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1</w:t>
                  </w:r>
                </w:p>
              </w:tc>
              <w:tc>
                <w:tcPr>
                  <w:tcW w:w="3437" w:type="dxa"/>
                  <w:tcBorders>
                    <w:tl2br w:val="nil"/>
                    <w:tr2bl w:val="nil"/>
                  </w:tcBorders>
                  <w:vAlign w:val="center"/>
                </w:tcPr>
                <w:p w14:paraId="7D6926D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VOCs物料应储存于密闭的容器、包装袋、储罐、储库、料仓中。</w:t>
                  </w:r>
                </w:p>
              </w:tc>
              <w:tc>
                <w:tcPr>
                  <w:tcW w:w="3300" w:type="dxa"/>
                  <w:tcBorders>
                    <w:tl2br w:val="nil"/>
                    <w:tr2bl w:val="nil"/>
                  </w:tcBorders>
                  <w:vAlign w:val="center"/>
                </w:tcPr>
                <w:p w14:paraId="5B87696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本项目所使用的</w:t>
                  </w:r>
                  <w:r>
                    <w:rPr>
                      <w:rFonts w:hint="eastAsia" w:eastAsia="仿宋" w:cs="Times New Roman"/>
                      <w:color w:val="auto"/>
                      <w:sz w:val="21"/>
                      <w:szCs w:val="21"/>
                      <w:vertAlign w:val="baseline"/>
                      <w:lang w:val="en-US" w:eastAsia="zh-CN"/>
                    </w:rPr>
                    <w:t>电泳漆、电泳漆色浆</w:t>
                  </w:r>
                  <w:r>
                    <w:rPr>
                      <w:rFonts w:hint="eastAsia" w:ascii="Times New Roman" w:hAnsi="Times New Roman" w:eastAsia="仿宋" w:cs="Times New Roman"/>
                      <w:color w:val="auto"/>
                      <w:sz w:val="21"/>
                      <w:szCs w:val="21"/>
                      <w:vertAlign w:val="baseline"/>
                      <w:lang w:val="en-US" w:eastAsia="zh-CN"/>
                    </w:rPr>
                    <w:t>暂存密闭包装桶内。</w:t>
                  </w:r>
                </w:p>
              </w:tc>
              <w:tc>
                <w:tcPr>
                  <w:tcW w:w="863" w:type="dxa"/>
                  <w:tcBorders>
                    <w:tl2br w:val="nil"/>
                    <w:tr2bl w:val="nil"/>
                  </w:tcBorders>
                  <w:vAlign w:val="center"/>
                </w:tcPr>
                <w:p w14:paraId="4328789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0A6AD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15873F6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37D7B1F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2</w:t>
                  </w:r>
                </w:p>
              </w:tc>
              <w:tc>
                <w:tcPr>
                  <w:tcW w:w="3437" w:type="dxa"/>
                  <w:tcBorders>
                    <w:tl2br w:val="nil"/>
                    <w:tr2bl w:val="nil"/>
                  </w:tcBorders>
                  <w:vAlign w:val="center"/>
                </w:tcPr>
                <w:p w14:paraId="512D7B0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盛装VOCs物料的容器或包装袋应存放于室内，或存放于设置有雨棚、遮阳和防渗设施的专用场地。盛装VOCs物料的容器或包装袋在非取用状态时应加盖、封口，保持密闭。</w:t>
                  </w:r>
                </w:p>
              </w:tc>
              <w:tc>
                <w:tcPr>
                  <w:tcW w:w="3300" w:type="dxa"/>
                  <w:tcBorders>
                    <w:tl2br w:val="nil"/>
                    <w:tr2bl w:val="nil"/>
                  </w:tcBorders>
                  <w:vAlign w:val="center"/>
                </w:tcPr>
                <w:p w14:paraId="0470548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本项目所使用的</w:t>
                  </w:r>
                  <w:r>
                    <w:rPr>
                      <w:rFonts w:hint="eastAsia" w:eastAsia="仿宋" w:cs="Times New Roman"/>
                      <w:color w:val="auto"/>
                      <w:sz w:val="21"/>
                      <w:szCs w:val="21"/>
                      <w:vertAlign w:val="baseline"/>
                      <w:lang w:val="en-US" w:eastAsia="zh-CN"/>
                    </w:rPr>
                    <w:t>电泳漆树脂、电泳漆色浆</w:t>
                  </w:r>
                  <w:r>
                    <w:rPr>
                      <w:rFonts w:hint="eastAsia" w:ascii="Times New Roman" w:hAnsi="Times New Roman" w:eastAsia="仿宋" w:cs="Times New Roman"/>
                      <w:color w:val="auto"/>
                      <w:sz w:val="21"/>
                      <w:szCs w:val="21"/>
                      <w:vertAlign w:val="baseline"/>
                      <w:lang w:val="en-US" w:eastAsia="zh-CN"/>
                    </w:rPr>
                    <w:t>存密闭包装桶内。非取用时都封口，保持密闭。</w:t>
                  </w:r>
                </w:p>
              </w:tc>
              <w:tc>
                <w:tcPr>
                  <w:tcW w:w="863" w:type="dxa"/>
                  <w:tcBorders>
                    <w:tl2br w:val="nil"/>
                    <w:tr2bl w:val="nil"/>
                  </w:tcBorders>
                  <w:vAlign w:val="center"/>
                </w:tcPr>
                <w:p w14:paraId="33DE381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3209F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tcBorders>
                    <w:tl2br w:val="nil"/>
                    <w:tr2bl w:val="nil"/>
                  </w:tcBorders>
                  <w:vAlign w:val="center"/>
                </w:tcPr>
                <w:p w14:paraId="0E621E7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VOCs物料转移和输送无组织排放控制要求</w:t>
                  </w:r>
                </w:p>
              </w:tc>
              <w:tc>
                <w:tcPr>
                  <w:tcW w:w="682" w:type="dxa"/>
                  <w:tcBorders>
                    <w:tl2br w:val="nil"/>
                    <w:tr2bl w:val="nil"/>
                  </w:tcBorders>
                  <w:vAlign w:val="center"/>
                </w:tcPr>
                <w:p w14:paraId="42D8FA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1</w:t>
                  </w:r>
                </w:p>
              </w:tc>
              <w:tc>
                <w:tcPr>
                  <w:tcW w:w="3437" w:type="dxa"/>
                  <w:tcBorders>
                    <w:tl2br w:val="nil"/>
                    <w:tr2bl w:val="nil"/>
                  </w:tcBorders>
                  <w:vAlign w:val="center"/>
                </w:tcPr>
                <w:p w14:paraId="7589B2F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液态VOCs物料应采用密闭管道输送。采用非管道输送方式转移液态VOCs物料时，应采用密闭容器、罐车。</w:t>
                  </w:r>
                </w:p>
              </w:tc>
              <w:tc>
                <w:tcPr>
                  <w:tcW w:w="3300" w:type="dxa"/>
                  <w:tcBorders>
                    <w:tl2br w:val="nil"/>
                    <w:tr2bl w:val="nil"/>
                  </w:tcBorders>
                  <w:vAlign w:val="center"/>
                </w:tcPr>
                <w:p w14:paraId="5C98E2D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本项目所使用的</w:t>
                  </w:r>
                  <w:r>
                    <w:rPr>
                      <w:rFonts w:hint="eastAsia" w:eastAsia="仿宋" w:cs="Times New Roman"/>
                      <w:color w:val="auto"/>
                      <w:sz w:val="21"/>
                      <w:szCs w:val="21"/>
                      <w:vertAlign w:val="baseline"/>
                      <w:lang w:val="en-US" w:eastAsia="zh-CN"/>
                    </w:rPr>
                    <w:t>电泳漆树脂、电泳漆色浆</w:t>
                  </w:r>
                  <w:r>
                    <w:rPr>
                      <w:rFonts w:hint="eastAsia" w:ascii="Times New Roman" w:hAnsi="Times New Roman" w:eastAsia="仿宋" w:cs="Times New Roman"/>
                      <w:color w:val="auto"/>
                      <w:sz w:val="21"/>
                      <w:szCs w:val="21"/>
                      <w:vertAlign w:val="baseline"/>
                      <w:lang w:val="en-US" w:eastAsia="zh-CN"/>
                    </w:rPr>
                    <w:t>采用密闭的包装桶进行物料转移。</w:t>
                  </w:r>
                </w:p>
              </w:tc>
              <w:tc>
                <w:tcPr>
                  <w:tcW w:w="863" w:type="dxa"/>
                  <w:tcBorders>
                    <w:tl2br w:val="nil"/>
                    <w:tr2bl w:val="nil"/>
                  </w:tcBorders>
                  <w:vAlign w:val="center"/>
                </w:tcPr>
                <w:p w14:paraId="0536D5F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620D0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restart"/>
                  <w:tcBorders>
                    <w:tl2br w:val="nil"/>
                    <w:tr2bl w:val="nil"/>
                  </w:tcBorders>
                  <w:vAlign w:val="center"/>
                </w:tcPr>
                <w:p w14:paraId="46AABCC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工艺过程VOCs无组织排放控制要求</w:t>
                  </w:r>
                </w:p>
              </w:tc>
              <w:tc>
                <w:tcPr>
                  <w:tcW w:w="682" w:type="dxa"/>
                  <w:tcBorders>
                    <w:tl2br w:val="nil"/>
                    <w:tr2bl w:val="nil"/>
                  </w:tcBorders>
                  <w:vAlign w:val="center"/>
                </w:tcPr>
                <w:p w14:paraId="7B61A0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1</w:t>
                  </w:r>
                </w:p>
              </w:tc>
              <w:tc>
                <w:tcPr>
                  <w:tcW w:w="3437" w:type="dxa"/>
                  <w:tcBorders>
                    <w:tl2br w:val="nil"/>
                    <w:tr2bl w:val="nil"/>
                  </w:tcBorders>
                  <w:vAlign w:val="center"/>
                </w:tcPr>
                <w:p w14:paraId="4F11C22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3300" w:type="dxa"/>
                  <w:tcBorders>
                    <w:tl2br w:val="nil"/>
                    <w:tr2bl w:val="nil"/>
                  </w:tcBorders>
                  <w:vAlign w:val="center"/>
                </w:tcPr>
                <w:p w14:paraId="3B7679E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本项目电泳线酸洗废气、电泳废气、电泳烘干废气、喷粉前处理酸洗废气、喷粉烘干废气收集后通过1套</w:t>
                  </w:r>
                  <w:r>
                    <w:rPr>
                      <w:rFonts w:hint="eastAsia" w:eastAsia="仿宋" w:cs="Times New Roman"/>
                      <w:color w:val="auto"/>
                      <w:sz w:val="21"/>
                      <w:szCs w:val="21"/>
                      <w:vertAlign w:val="baseline"/>
                      <w:lang w:val="en-US" w:eastAsia="zh-CN"/>
                    </w:rPr>
                    <w:t>“</w:t>
                  </w:r>
                  <w:r>
                    <w:rPr>
                      <w:rFonts w:hint="eastAsia" w:ascii="Times New Roman" w:hAnsi="Times New Roman" w:eastAsia="仿宋" w:cs="Times New Roman"/>
                      <w:color w:val="auto"/>
                      <w:sz w:val="21"/>
                      <w:szCs w:val="21"/>
                      <w:vertAlign w:val="baseline"/>
                      <w:lang w:val="en-US" w:eastAsia="zh-CN"/>
                    </w:rPr>
                    <w:t>碱性喷淋塔+</w:t>
                  </w:r>
                  <w:r>
                    <w:rPr>
                      <w:rFonts w:hint="eastAsia" w:eastAsia="仿宋" w:cs="Times New Roman"/>
                      <w:color w:val="auto"/>
                      <w:sz w:val="21"/>
                      <w:szCs w:val="21"/>
                      <w:vertAlign w:val="baseline"/>
                      <w:lang w:val="en-US" w:eastAsia="zh-CN"/>
                    </w:rPr>
                    <w:t>干式过滤器</w:t>
                  </w:r>
                  <w:r>
                    <w:rPr>
                      <w:rFonts w:hint="eastAsia" w:ascii="Times New Roman" w:hAnsi="Times New Roman" w:eastAsia="仿宋" w:cs="Times New Roman"/>
                      <w:color w:val="auto"/>
                      <w:sz w:val="21"/>
                      <w:szCs w:val="21"/>
                      <w:vertAlign w:val="baseline"/>
                      <w:lang w:val="en-US" w:eastAsia="zh-CN"/>
                    </w:rPr>
                    <w:t>+二级活性炭吸附</w:t>
                  </w:r>
                  <w:r>
                    <w:rPr>
                      <w:rFonts w:hint="eastAsia" w:eastAsia="仿宋" w:cs="Times New Roman"/>
                      <w:color w:val="auto"/>
                      <w:sz w:val="21"/>
                      <w:szCs w:val="21"/>
                      <w:vertAlign w:val="baseline"/>
                      <w:lang w:val="en-US" w:eastAsia="zh-CN"/>
                    </w:rPr>
                    <w:t>”</w:t>
                  </w:r>
                  <w:r>
                    <w:rPr>
                      <w:rFonts w:hint="eastAsia" w:ascii="Times New Roman" w:hAnsi="Times New Roman" w:eastAsia="仿宋" w:cs="Times New Roman"/>
                      <w:color w:val="auto"/>
                      <w:sz w:val="21"/>
                      <w:szCs w:val="21"/>
                      <w:vertAlign w:val="baseline"/>
                      <w:lang w:val="en-US" w:eastAsia="zh-CN"/>
                    </w:rPr>
                    <w:t>装置处理后通过15m高DA001排气筒排放</w:t>
                  </w:r>
                  <w:r>
                    <w:rPr>
                      <w:rFonts w:hint="eastAsia" w:eastAsia="仿宋" w:cs="Times New Roman"/>
                      <w:color w:val="auto"/>
                      <w:sz w:val="21"/>
                      <w:szCs w:val="21"/>
                      <w:vertAlign w:val="baseline"/>
                      <w:lang w:val="en-US" w:eastAsia="zh-CN"/>
                    </w:rPr>
                    <w:t>，喷粉废气经“滤芯回收系统”处理后</w:t>
                  </w:r>
                  <w:r>
                    <w:rPr>
                      <w:rFonts w:hint="default" w:ascii="Times New Roman" w:hAnsi="Times New Roman" w:eastAsia="仿宋" w:cs="Times New Roman"/>
                      <w:color w:val="auto"/>
                      <w:sz w:val="21"/>
                      <w:szCs w:val="21"/>
                      <w:highlight w:val="none"/>
                      <w:lang w:val="en-US" w:eastAsia="zh-CN"/>
                    </w:rPr>
                    <w:t>通过15m高DA001排气筒排放</w:t>
                  </w:r>
                  <w:r>
                    <w:rPr>
                      <w:rFonts w:hint="eastAsia" w:ascii="Times New Roman" w:hAnsi="Times New Roman" w:eastAsia="仿宋" w:cs="Times New Roman"/>
                      <w:color w:val="auto"/>
                      <w:sz w:val="21"/>
                      <w:szCs w:val="21"/>
                      <w:vertAlign w:val="baseline"/>
                      <w:lang w:val="en-US" w:eastAsia="zh-CN"/>
                    </w:rPr>
                    <w:t>。</w:t>
                  </w:r>
                </w:p>
              </w:tc>
              <w:tc>
                <w:tcPr>
                  <w:tcW w:w="863" w:type="dxa"/>
                  <w:tcBorders>
                    <w:tl2br w:val="nil"/>
                    <w:tr2bl w:val="nil"/>
                  </w:tcBorders>
                  <w:vAlign w:val="center"/>
                </w:tcPr>
                <w:p w14:paraId="75544F6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59DA5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26EE503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1760471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2</w:t>
                  </w:r>
                </w:p>
              </w:tc>
              <w:tc>
                <w:tcPr>
                  <w:tcW w:w="3437" w:type="dxa"/>
                  <w:tcBorders>
                    <w:tl2br w:val="nil"/>
                    <w:tr2bl w:val="nil"/>
                  </w:tcBorders>
                  <w:vAlign w:val="center"/>
                </w:tcPr>
                <w:p w14:paraId="44E9508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企业应建立台账，记录含VOCs原辅材料和含VOCs产品的名称、使用量、回收量、废弃量、去向以及VOCs含量等信息。台账保存期限不少于3年。</w:t>
                  </w:r>
                </w:p>
              </w:tc>
              <w:tc>
                <w:tcPr>
                  <w:tcW w:w="3300" w:type="dxa"/>
                  <w:tcBorders>
                    <w:tl2br w:val="nil"/>
                    <w:tr2bl w:val="nil"/>
                  </w:tcBorders>
                  <w:vAlign w:val="center"/>
                </w:tcPr>
                <w:p w14:paraId="6EDC44D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项目运行后，企业应建立台账，记录含VOCs原辅材料和含VOCs产品的名称、使用量、回收量、废弃量、去向以及VOCs含量等信息。台账保存期限不少于3年。</w:t>
                  </w:r>
                </w:p>
              </w:tc>
              <w:tc>
                <w:tcPr>
                  <w:tcW w:w="863" w:type="dxa"/>
                  <w:tcBorders>
                    <w:tl2br w:val="nil"/>
                    <w:tr2bl w:val="nil"/>
                  </w:tcBorders>
                  <w:vAlign w:val="center"/>
                </w:tcPr>
                <w:p w14:paraId="7164B7B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5E457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340A291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0E2D8B4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3</w:t>
                  </w:r>
                </w:p>
              </w:tc>
              <w:tc>
                <w:tcPr>
                  <w:tcW w:w="3437" w:type="dxa"/>
                  <w:tcBorders>
                    <w:tl2br w:val="nil"/>
                    <w:tr2bl w:val="nil"/>
                  </w:tcBorders>
                  <w:vAlign w:val="center"/>
                </w:tcPr>
                <w:p w14:paraId="6F5492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通风生产设备、操作工位、车间厂房等应在符合安全生产、职业卫生相关规定的前提下，根据行业作业规程与标准、工业建筑及洁净厂房通风设计规范等的要求，采用合理的通风量。</w:t>
                  </w:r>
                </w:p>
              </w:tc>
              <w:tc>
                <w:tcPr>
                  <w:tcW w:w="3300" w:type="dxa"/>
                  <w:tcBorders>
                    <w:tl2br w:val="nil"/>
                    <w:tr2bl w:val="nil"/>
                  </w:tcBorders>
                  <w:vAlign w:val="center"/>
                </w:tcPr>
                <w:p w14:paraId="498BE67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本项目通风生产设备、车间厂房等应在符合安全生产、职业卫生相关规定的前提下，根据行业作业规程与标准、工业建筑及洁净厂房通风设计规范等的要求，采用合理的通风量。</w:t>
                  </w:r>
                </w:p>
              </w:tc>
              <w:tc>
                <w:tcPr>
                  <w:tcW w:w="863" w:type="dxa"/>
                  <w:tcBorders>
                    <w:tl2br w:val="nil"/>
                    <w:tr2bl w:val="nil"/>
                  </w:tcBorders>
                  <w:vAlign w:val="center"/>
                </w:tcPr>
                <w:p w14:paraId="4946010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0CF06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restart"/>
                  <w:tcBorders>
                    <w:tl2br w:val="nil"/>
                    <w:tr2bl w:val="nil"/>
                  </w:tcBorders>
                  <w:vAlign w:val="center"/>
                </w:tcPr>
                <w:p w14:paraId="15F0BC4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VOCs无组织排放废气收集处理系统要求</w:t>
                  </w:r>
                </w:p>
              </w:tc>
              <w:tc>
                <w:tcPr>
                  <w:tcW w:w="682" w:type="dxa"/>
                  <w:tcBorders>
                    <w:tl2br w:val="nil"/>
                    <w:tr2bl w:val="nil"/>
                  </w:tcBorders>
                  <w:vAlign w:val="center"/>
                </w:tcPr>
                <w:p w14:paraId="687228C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1</w:t>
                  </w:r>
                </w:p>
              </w:tc>
              <w:tc>
                <w:tcPr>
                  <w:tcW w:w="3437" w:type="dxa"/>
                  <w:tcBorders>
                    <w:tl2br w:val="nil"/>
                    <w:tr2bl w:val="nil"/>
                  </w:tcBorders>
                  <w:vAlign w:val="center"/>
                </w:tcPr>
                <w:p w14:paraId="1A4CB85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废气收集处理系统应与生产工艺设备同步运行。VOCs废气收集处理系统发生故障或检修时，对应的生产工艺设备应停止运行，待检修完毕后同步投入使用；生产工艺设备不能及时停止运行的，应设置废气应急处理设施或采取其他替代措施。</w:t>
                  </w:r>
                </w:p>
              </w:tc>
              <w:tc>
                <w:tcPr>
                  <w:tcW w:w="3300" w:type="dxa"/>
                  <w:tcBorders>
                    <w:tl2br w:val="nil"/>
                    <w:tr2bl w:val="nil"/>
                  </w:tcBorders>
                  <w:vAlign w:val="center"/>
                </w:tcPr>
                <w:p w14:paraId="09C034C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本项目电泳线酸洗废气、电泳废气、电泳烘干废气、喷粉前处理酸洗废气、喷粉烘干废气</w:t>
                  </w:r>
                  <w:r>
                    <w:rPr>
                      <w:rFonts w:hint="eastAsia" w:eastAsia="仿宋" w:cs="Times New Roman"/>
                      <w:color w:val="auto"/>
                      <w:sz w:val="21"/>
                      <w:szCs w:val="21"/>
                      <w:vertAlign w:val="baseline"/>
                      <w:lang w:val="en-US" w:eastAsia="zh-CN"/>
                    </w:rPr>
                    <w:t>、喷粉废气</w:t>
                  </w:r>
                  <w:r>
                    <w:rPr>
                      <w:rFonts w:hint="eastAsia" w:ascii="Times New Roman" w:hAnsi="Times New Roman" w:eastAsia="仿宋" w:cs="Times New Roman"/>
                      <w:color w:val="auto"/>
                      <w:sz w:val="21"/>
                      <w:szCs w:val="21"/>
                      <w:vertAlign w:val="baseline"/>
                      <w:lang w:val="en-US" w:eastAsia="zh-CN"/>
                    </w:rPr>
                    <w:t>收集处理系统与生产工艺设备同步运行，废气收集处理系统发生故障或检修时，对应的生产工艺设备停止运行，待检修完毕后同步投入使用。</w:t>
                  </w:r>
                </w:p>
              </w:tc>
              <w:tc>
                <w:tcPr>
                  <w:tcW w:w="863" w:type="dxa"/>
                  <w:tcBorders>
                    <w:tl2br w:val="nil"/>
                    <w:tr2bl w:val="nil"/>
                  </w:tcBorders>
                  <w:vAlign w:val="center"/>
                </w:tcPr>
                <w:p w14:paraId="3AAB41B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62F17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127B6E2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2F31F20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2</w:t>
                  </w:r>
                </w:p>
              </w:tc>
              <w:tc>
                <w:tcPr>
                  <w:tcW w:w="3437" w:type="dxa"/>
                  <w:tcBorders>
                    <w:tl2br w:val="nil"/>
                    <w:tr2bl w:val="nil"/>
                  </w:tcBorders>
                  <w:vAlign w:val="center"/>
                </w:tcPr>
                <w:p w14:paraId="5CBFB28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废气收集系统的输送管道应密闭。</w:t>
                  </w:r>
                </w:p>
              </w:tc>
              <w:tc>
                <w:tcPr>
                  <w:tcW w:w="3300" w:type="dxa"/>
                  <w:tcBorders>
                    <w:tl2br w:val="nil"/>
                    <w:tr2bl w:val="nil"/>
                  </w:tcBorders>
                  <w:vAlign w:val="center"/>
                </w:tcPr>
                <w:p w14:paraId="30B50ED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本项目废气收集管道密闭。</w:t>
                  </w:r>
                </w:p>
              </w:tc>
              <w:tc>
                <w:tcPr>
                  <w:tcW w:w="863" w:type="dxa"/>
                  <w:tcBorders>
                    <w:tl2br w:val="nil"/>
                    <w:tr2bl w:val="nil"/>
                  </w:tcBorders>
                  <w:vAlign w:val="center"/>
                </w:tcPr>
                <w:p w14:paraId="343C3FB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2B0C6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1C4CCD6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33C4540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3</w:t>
                  </w:r>
                </w:p>
              </w:tc>
              <w:tc>
                <w:tcPr>
                  <w:tcW w:w="3437" w:type="dxa"/>
                  <w:tcBorders>
                    <w:tl2br w:val="nil"/>
                    <w:tr2bl w:val="nil"/>
                  </w:tcBorders>
                  <w:vAlign w:val="center"/>
                </w:tcPr>
                <w:p w14:paraId="505A5E6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VOCs废气收集处理系统污染物排放应符合GB 16297或相关行业排放标准的规定</w:t>
                  </w:r>
                </w:p>
              </w:tc>
              <w:tc>
                <w:tcPr>
                  <w:tcW w:w="3300" w:type="dxa"/>
                  <w:tcBorders>
                    <w:tl2br w:val="nil"/>
                    <w:tr2bl w:val="nil"/>
                  </w:tcBorders>
                  <w:vAlign w:val="center"/>
                </w:tcPr>
                <w:p w14:paraId="2666C23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本项目废气经收集处理系统处理后能够符合</w:t>
                  </w:r>
                  <w:r>
                    <w:rPr>
                      <w:rFonts w:hint="eastAsia" w:eastAsia="仿宋" w:cs="Times New Roman"/>
                      <w:color w:val="auto"/>
                      <w:sz w:val="21"/>
                      <w:szCs w:val="21"/>
                      <w:vertAlign w:val="baseline"/>
                      <w:lang w:val="en-US" w:eastAsia="zh-CN"/>
                    </w:rPr>
                    <w:t>相应标准</w:t>
                  </w:r>
                  <w:r>
                    <w:rPr>
                      <w:rFonts w:hint="eastAsia" w:ascii="Times New Roman" w:hAnsi="Times New Roman" w:eastAsia="仿宋" w:cs="Times New Roman"/>
                      <w:color w:val="auto"/>
                      <w:sz w:val="21"/>
                      <w:szCs w:val="21"/>
                      <w:vertAlign w:val="baseline"/>
                      <w:lang w:val="en-US" w:eastAsia="zh-CN"/>
                    </w:rPr>
                    <w:t>排放限值要求。</w:t>
                  </w:r>
                </w:p>
              </w:tc>
              <w:tc>
                <w:tcPr>
                  <w:tcW w:w="863" w:type="dxa"/>
                  <w:tcBorders>
                    <w:tl2br w:val="nil"/>
                    <w:tr2bl w:val="nil"/>
                  </w:tcBorders>
                  <w:vAlign w:val="center"/>
                </w:tcPr>
                <w:p w14:paraId="778ABDE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r w14:paraId="7DB35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dxa"/>
                  <w:vMerge w:val="continue"/>
                  <w:tcBorders>
                    <w:tl2br w:val="nil"/>
                    <w:tr2bl w:val="nil"/>
                  </w:tcBorders>
                  <w:vAlign w:val="center"/>
                </w:tcPr>
                <w:p w14:paraId="4C5A8F8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p>
              </w:tc>
              <w:tc>
                <w:tcPr>
                  <w:tcW w:w="682" w:type="dxa"/>
                  <w:tcBorders>
                    <w:tl2br w:val="nil"/>
                    <w:tr2bl w:val="nil"/>
                  </w:tcBorders>
                  <w:vAlign w:val="center"/>
                </w:tcPr>
                <w:p w14:paraId="6CEDAC2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4</w:t>
                  </w:r>
                </w:p>
              </w:tc>
              <w:tc>
                <w:tcPr>
                  <w:tcW w:w="3437" w:type="dxa"/>
                  <w:tcBorders>
                    <w:tl2br w:val="nil"/>
                    <w:tr2bl w:val="nil"/>
                  </w:tcBorders>
                  <w:vAlign w:val="center"/>
                </w:tcPr>
                <w:p w14:paraId="34D2DA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收集的废气中NMHC初始排放速率≥3kg/h时，应配置VOCs处置设施，处理效率不应低于80%；对于重点地区，收集的废气中NMHC初始排放速率≥2kg/h，应配置VOCs处理设施，处理效率不应低于80%；采用的原辅材料符合国家有关低VOCs含量产品规定的除外。</w:t>
                  </w:r>
                </w:p>
              </w:tc>
              <w:tc>
                <w:tcPr>
                  <w:tcW w:w="3300" w:type="dxa"/>
                  <w:tcBorders>
                    <w:tl2br w:val="nil"/>
                    <w:tr2bl w:val="nil"/>
                  </w:tcBorders>
                  <w:vAlign w:val="center"/>
                </w:tcPr>
                <w:p w14:paraId="2193EB2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本项目位于重点地区，收集的NMHC初始排放速率＜2kg/h，电泳线酸洗废气、电泳废气、电泳烘干废气、喷粉前处理酸洗废气、喷粉烘干废气收集后通过1套</w:t>
                  </w:r>
                  <w:r>
                    <w:rPr>
                      <w:rFonts w:hint="eastAsia" w:eastAsia="仿宋" w:cs="Times New Roman"/>
                      <w:color w:val="auto"/>
                      <w:sz w:val="21"/>
                      <w:szCs w:val="21"/>
                      <w:vertAlign w:val="baseline"/>
                      <w:lang w:val="en-US" w:eastAsia="zh-CN"/>
                    </w:rPr>
                    <w:t>“</w:t>
                  </w:r>
                  <w:r>
                    <w:rPr>
                      <w:rFonts w:hint="eastAsia" w:ascii="Times New Roman" w:hAnsi="Times New Roman" w:eastAsia="仿宋" w:cs="Times New Roman"/>
                      <w:color w:val="auto"/>
                      <w:sz w:val="21"/>
                      <w:szCs w:val="21"/>
                      <w:vertAlign w:val="baseline"/>
                      <w:lang w:val="en-US" w:eastAsia="zh-CN"/>
                    </w:rPr>
                    <w:t>碱性喷淋塔+</w:t>
                  </w:r>
                  <w:r>
                    <w:rPr>
                      <w:rFonts w:hint="eastAsia" w:eastAsia="仿宋" w:cs="Times New Roman"/>
                      <w:color w:val="auto"/>
                      <w:sz w:val="21"/>
                      <w:szCs w:val="21"/>
                      <w:vertAlign w:val="baseline"/>
                      <w:lang w:val="en-US" w:eastAsia="zh-CN"/>
                    </w:rPr>
                    <w:t>干式过滤器</w:t>
                  </w:r>
                  <w:r>
                    <w:rPr>
                      <w:rFonts w:hint="eastAsia" w:ascii="Times New Roman" w:hAnsi="Times New Roman" w:eastAsia="仿宋" w:cs="Times New Roman"/>
                      <w:color w:val="auto"/>
                      <w:sz w:val="21"/>
                      <w:szCs w:val="21"/>
                      <w:vertAlign w:val="baseline"/>
                      <w:lang w:val="en-US" w:eastAsia="zh-CN"/>
                    </w:rPr>
                    <w:t>+二级活性炭吸附</w:t>
                  </w:r>
                  <w:r>
                    <w:rPr>
                      <w:rFonts w:hint="eastAsia" w:eastAsia="仿宋" w:cs="Times New Roman"/>
                      <w:color w:val="auto"/>
                      <w:sz w:val="21"/>
                      <w:szCs w:val="21"/>
                      <w:vertAlign w:val="baseline"/>
                      <w:lang w:val="en-US" w:eastAsia="zh-CN"/>
                    </w:rPr>
                    <w:t>”（</w:t>
                  </w:r>
                  <w:r>
                    <w:rPr>
                      <w:rFonts w:hint="eastAsia" w:ascii="Times New Roman" w:hAnsi="Times New Roman" w:eastAsia="仿宋" w:cs="Times New Roman"/>
                      <w:color w:val="auto"/>
                      <w:sz w:val="21"/>
                      <w:szCs w:val="21"/>
                      <w:vertAlign w:val="baseline"/>
                      <w:lang w:val="en-US" w:eastAsia="zh-CN"/>
                    </w:rPr>
                    <w:t>VOCs</w:t>
                  </w:r>
                  <w:r>
                    <w:rPr>
                      <w:rFonts w:hint="eastAsia" w:eastAsia="仿宋" w:cs="Times New Roman"/>
                      <w:color w:val="auto"/>
                      <w:sz w:val="21"/>
                      <w:szCs w:val="21"/>
                      <w:vertAlign w:val="baseline"/>
                      <w:lang w:val="en-US" w:eastAsia="zh-CN"/>
                    </w:rPr>
                    <w:t>处理效率为90%）</w:t>
                  </w:r>
                  <w:r>
                    <w:rPr>
                      <w:rFonts w:hint="eastAsia" w:ascii="Times New Roman" w:hAnsi="Times New Roman" w:eastAsia="仿宋" w:cs="Times New Roman"/>
                      <w:color w:val="auto"/>
                      <w:sz w:val="21"/>
                      <w:szCs w:val="21"/>
                      <w:vertAlign w:val="baseline"/>
                      <w:lang w:val="en-US" w:eastAsia="zh-CN"/>
                    </w:rPr>
                    <w:t>装置处理后通过15m高DA001排气筒排放</w:t>
                  </w:r>
                  <w:r>
                    <w:rPr>
                      <w:rFonts w:hint="eastAsia" w:eastAsia="仿宋" w:cs="Times New Roman"/>
                      <w:color w:val="auto"/>
                      <w:sz w:val="21"/>
                      <w:szCs w:val="21"/>
                      <w:vertAlign w:val="baseline"/>
                      <w:lang w:val="en-US" w:eastAsia="zh-CN"/>
                    </w:rPr>
                    <w:t>。</w:t>
                  </w:r>
                </w:p>
              </w:tc>
              <w:tc>
                <w:tcPr>
                  <w:tcW w:w="863" w:type="dxa"/>
                  <w:tcBorders>
                    <w:tl2br w:val="nil"/>
                    <w:tr2bl w:val="nil"/>
                  </w:tcBorders>
                  <w:vAlign w:val="center"/>
                </w:tcPr>
                <w:p w14:paraId="38D9D8B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相符</w:t>
                  </w:r>
                </w:p>
              </w:tc>
            </w:tr>
          </w:tbl>
          <w:p w14:paraId="3F469A44">
            <w:pPr>
              <w:pStyle w:val="29"/>
              <w:spacing w:line="360" w:lineRule="auto"/>
              <w:ind w:left="0" w:leftChars="0" w:firstLine="0" w:firstLineChars="0"/>
              <w:jc w:val="both"/>
              <w:rPr>
                <w:rFonts w:hint="default" w:ascii="Times New Roman" w:cs="Times New Roman"/>
                <w:b/>
                <w:bCs/>
                <w:color w:val="auto"/>
                <w:kern w:val="2"/>
                <w:highlight w:val="none"/>
                <w:lang w:val="en-US" w:eastAsia="zh-CN"/>
              </w:rPr>
            </w:pPr>
            <w:r>
              <w:rPr>
                <w:rFonts w:hint="eastAsia" w:ascii="Times New Roman" w:cs="Times New Roman"/>
                <w:b/>
                <w:bCs/>
                <w:color w:val="auto"/>
                <w:kern w:val="2"/>
                <w:highlight w:val="none"/>
                <w:lang w:val="en-US" w:eastAsia="zh-CN"/>
              </w:rPr>
              <w:t>13、与《低挥发性有机化合物含量涂料产品技术要求》（GB/T 38597-2020）相符性分析</w:t>
            </w:r>
          </w:p>
          <w:p w14:paraId="7D9EC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本项目使用</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t>塑粉为</w:t>
            </w:r>
            <w:r>
              <w:rPr>
                <w:rFonts w:hint="default" w:ascii="Times New Roman" w:hAnsi="Times New Roman" w:eastAsia="宋体" w:cs="Times New Roman"/>
                <w:color w:val="auto"/>
                <w:sz w:val="24"/>
                <w:szCs w:val="24"/>
              </w:rPr>
              <w:t>粉末涂料，根据《低挥发性有机化合物含量涂料产品技术要求》（GB/T 38597-2020）8.1章节，粉末涂料、无机建筑涂料（含建筑无机粉末涂装材料）、建筑用有机粉体涂料产品中VOC含量通常很少，属于低挥发性有机化合物含量涂料产品，因此本项目使用的粉末涂料符合《低挥发性有机化合物含量涂料产品技术要求》（GB/T38597-2020），为低VOCs涂料</w:t>
            </w:r>
            <w:r>
              <w:rPr>
                <w:rFonts w:hint="default" w:ascii="Times New Roman" w:hAnsi="Times New Roman" w:eastAsia="宋体" w:cs="Times New Roman"/>
                <w:color w:val="auto"/>
                <w:sz w:val="24"/>
                <w:szCs w:val="24"/>
                <w:lang w:eastAsia="zh-CN"/>
              </w:rPr>
              <w:t>。</w:t>
            </w:r>
          </w:p>
          <w:p w14:paraId="185994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（2）电泳漆与</w:t>
            </w:r>
            <w:r>
              <w:rPr>
                <w:rFonts w:hint="default" w:ascii="Times New Roman" w:hAnsi="Times New Roman" w:eastAsia="宋体" w:cs="Times New Roman"/>
                <w:color w:val="auto"/>
                <w:sz w:val="24"/>
                <w:szCs w:val="24"/>
              </w:rPr>
              <w:t>《低挥发性有机化合物含量涂料产品技术要求》（GB/T38597-2020）</w:t>
            </w:r>
            <w:r>
              <w:rPr>
                <w:rFonts w:hint="eastAsia" w:ascii="Times New Roman" w:hAnsi="Times New Roman" w:eastAsia="宋体" w:cs="Times New Roman"/>
                <w:color w:val="auto"/>
                <w:sz w:val="24"/>
                <w:szCs w:val="24"/>
                <w:lang w:val="en-US" w:eastAsia="zh-CN"/>
              </w:rPr>
              <w:t>相符性</w:t>
            </w:r>
          </w:p>
          <w:p w14:paraId="65AE774D">
            <w:pPr>
              <w:numPr>
                <w:ilvl w:val="0"/>
                <w:numId w:val="0"/>
              </w:numPr>
              <w:jc w:val="center"/>
              <w:rPr>
                <w:rFonts w:hint="default"/>
                <w:color w:val="auto"/>
                <w:lang w:val="en-US" w:eastAsia="zh-CN"/>
              </w:rPr>
            </w:pPr>
            <w:r>
              <w:rPr>
                <w:rFonts w:hint="default"/>
                <w:b/>
                <w:color w:val="auto"/>
                <w:sz w:val="24"/>
                <w:szCs w:val="24"/>
                <w:highlight w:val="none"/>
                <w:lang w:val="en-US" w:eastAsia="zh-CN"/>
              </w:rPr>
              <w:t>表</w:t>
            </w:r>
            <w:r>
              <w:rPr>
                <w:rFonts w:hint="eastAsia"/>
                <w:b/>
                <w:color w:val="auto"/>
                <w:sz w:val="24"/>
                <w:szCs w:val="24"/>
                <w:highlight w:val="none"/>
                <w:lang w:val="en-US" w:eastAsia="zh-CN"/>
              </w:rPr>
              <w:t xml:space="preserve">1-12  </w:t>
            </w:r>
            <w:r>
              <w:rPr>
                <w:rFonts w:hint="default"/>
                <w:b/>
                <w:color w:val="auto"/>
                <w:sz w:val="24"/>
                <w:szCs w:val="24"/>
                <w:highlight w:val="none"/>
                <w:lang w:val="en-US" w:eastAsia="zh-CN"/>
              </w:rPr>
              <w:t>与《低挥发性有机化合物含量涂料产品技术要求》（GB/T 38597-2020）相符性分析</w:t>
            </w:r>
          </w:p>
          <w:tbl>
            <w:tblPr>
              <w:tblStyle w:val="21"/>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371"/>
              <w:gridCol w:w="942"/>
              <w:gridCol w:w="6109"/>
            </w:tblGrid>
            <w:tr w14:paraId="6431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5" w:type="dxa"/>
                  <w:vAlign w:val="center"/>
                </w:tcPr>
                <w:p w14:paraId="00A4E11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产品类别</w:t>
                  </w:r>
                </w:p>
              </w:tc>
              <w:tc>
                <w:tcPr>
                  <w:tcW w:w="1375" w:type="dxa"/>
                  <w:vAlign w:val="center"/>
                </w:tcPr>
                <w:p w14:paraId="486BC0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主要产品类型</w:t>
                  </w:r>
                </w:p>
              </w:tc>
              <w:tc>
                <w:tcPr>
                  <w:tcW w:w="925" w:type="dxa"/>
                  <w:vAlign w:val="center"/>
                </w:tcPr>
                <w:p w14:paraId="5F21FDC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限量值/（g/L）</w:t>
                  </w:r>
                </w:p>
              </w:tc>
              <w:tc>
                <w:tcPr>
                  <w:tcW w:w="6121" w:type="dxa"/>
                  <w:vAlign w:val="center"/>
                </w:tcPr>
                <w:p w14:paraId="297A922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eastAsia="仿宋" w:cs="Times New Roman"/>
                      <w:b/>
                      <w:bCs/>
                      <w:color w:val="auto"/>
                      <w:sz w:val="21"/>
                      <w:szCs w:val="21"/>
                      <w:vertAlign w:val="baseline"/>
                      <w:lang w:val="en-US" w:eastAsia="zh-CN"/>
                    </w:rPr>
                    <w:t>相符性</w:t>
                  </w:r>
                </w:p>
              </w:tc>
            </w:tr>
            <w:tr w14:paraId="176D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14:paraId="3A18E73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车辆</w:t>
                  </w:r>
                  <w:r>
                    <w:rPr>
                      <w:rFonts w:hint="eastAsia" w:ascii="Times New Roman" w:hAnsi="Times New Roman" w:eastAsia="仿宋" w:cs="Times New Roman"/>
                      <w:color w:val="auto"/>
                      <w:sz w:val="21"/>
                      <w:szCs w:val="21"/>
                      <w:vertAlign w:val="baseline"/>
                      <w:lang w:val="en-US" w:eastAsia="zh-CN"/>
                    </w:rPr>
                    <w:t>涂料</w:t>
                  </w:r>
                </w:p>
              </w:tc>
              <w:tc>
                <w:tcPr>
                  <w:tcW w:w="1375" w:type="dxa"/>
                  <w:vAlign w:val="center"/>
                </w:tcPr>
                <w:p w14:paraId="2B317BA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汽车原厂涂料-电泳底漆</w:t>
                  </w:r>
                </w:p>
              </w:tc>
              <w:tc>
                <w:tcPr>
                  <w:tcW w:w="925" w:type="dxa"/>
                  <w:vAlign w:val="center"/>
                </w:tcPr>
                <w:p w14:paraId="64C2F2A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w:t>
                  </w:r>
                  <w:r>
                    <w:rPr>
                      <w:rFonts w:hint="eastAsia" w:eastAsia="仿宋" w:cs="Times New Roman"/>
                      <w:color w:val="auto"/>
                      <w:sz w:val="21"/>
                      <w:szCs w:val="21"/>
                      <w:vertAlign w:val="baseline"/>
                      <w:lang w:val="en-US" w:eastAsia="zh-CN"/>
                    </w:rPr>
                    <w:t>200</w:t>
                  </w:r>
                </w:p>
              </w:tc>
              <w:tc>
                <w:tcPr>
                  <w:tcW w:w="6121" w:type="dxa"/>
                  <w:vAlign w:val="center"/>
                </w:tcPr>
                <w:p w14:paraId="626023C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color w:val="auto"/>
                      <w:sz w:val="21"/>
                      <w:szCs w:val="21"/>
                      <w:vertAlign w:val="baseline"/>
                      <w:lang w:val="en-US" w:eastAsia="zh-CN"/>
                    </w:rPr>
                    <w:t>本项目</w:t>
                  </w:r>
                  <w:r>
                    <w:rPr>
                      <w:rFonts w:hint="eastAsia" w:eastAsia="仿宋" w:cs="Times New Roman"/>
                      <w:color w:val="auto"/>
                      <w:sz w:val="21"/>
                      <w:szCs w:val="21"/>
                      <w:vertAlign w:val="baseline"/>
                      <w:lang w:val="en-US" w:eastAsia="zh-CN"/>
                    </w:rPr>
                    <w:t>电泳漆树脂</w:t>
                  </w:r>
                  <w:r>
                    <w:rPr>
                      <w:rFonts w:hint="eastAsia" w:ascii="Times New Roman" w:hAnsi="Times New Roman" w:eastAsia="仿宋" w:cs="Times New Roman"/>
                      <w:color w:val="auto"/>
                      <w:sz w:val="21"/>
                      <w:szCs w:val="21"/>
                      <w:highlight w:val="none"/>
                      <w:vertAlign w:val="baseline"/>
                      <w:lang w:val="en-US" w:eastAsia="zh-CN"/>
                    </w:rPr>
                    <w:t>：</w:t>
                  </w:r>
                  <w:r>
                    <w:rPr>
                      <w:rFonts w:hint="eastAsia" w:eastAsia="仿宋" w:cs="Times New Roman"/>
                      <w:color w:val="auto"/>
                      <w:sz w:val="21"/>
                      <w:szCs w:val="21"/>
                      <w:highlight w:val="none"/>
                      <w:vertAlign w:val="baseline"/>
                      <w:lang w:val="en-US" w:eastAsia="zh-CN"/>
                    </w:rPr>
                    <w:t>电泳漆色浆</w:t>
                  </w:r>
                  <w:r>
                    <w:rPr>
                      <w:rFonts w:hint="eastAsia" w:ascii="Times New Roman" w:hAnsi="Times New Roman" w:eastAsia="仿宋" w:cs="Times New Roman"/>
                      <w:color w:val="auto"/>
                      <w:sz w:val="21"/>
                      <w:szCs w:val="21"/>
                      <w:highlight w:val="none"/>
                      <w:vertAlign w:val="baseline"/>
                      <w:lang w:val="en-US" w:eastAsia="zh-CN"/>
                    </w:rPr>
                    <w:t>使用配比为</w:t>
                  </w:r>
                  <w:r>
                    <w:rPr>
                      <w:rFonts w:hint="eastAsia" w:eastAsia="仿宋" w:cs="Times New Roman"/>
                      <w:color w:val="auto"/>
                      <w:sz w:val="21"/>
                      <w:szCs w:val="21"/>
                      <w:highlight w:val="none"/>
                      <w:vertAlign w:val="baseline"/>
                      <w:lang w:val="en-US" w:eastAsia="zh-CN"/>
                    </w:rPr>
                    <w:t>4：1</w:t>
                  </w:r>
                  <w:r>
                    <w:rPr>
                      <w:rFonts w:hint="eastAsia" w:ascii="Times New Roman" w:hAnsi="Times New Roman" w:eastAsia="仿宋" w:cs="Times New Roman"/>
                      <w:color w:val="auto"/>
                      <w:sz w:val="21"/>
                      <w:szCs w:val="21"/>
                      <w:highlight w:val="none"/>
                      <w:vertAlign w:val="baseline"/>
                      <w:lang w:val="en-US" w:eastAsia="zh-CN"/>
                    </w:rPr>
                    <w:t>，密度分别取1.</w:t>
                  </w:r>
                  <w:r>
                    <w:rPr>
                      <w:rFonts w:hint="eastAsia" w:eastAsia="仿宋" w:cs="Times New Roman"/>
                      <w:color w:val="auto"/>
                      <w:sz w:val="21"/>
                      <w:szCs w:val="21"/>
                      <w:highlight w:val="none"/>
                      <w:vertAlign w:val="baseline"/>
                      <w:lang w:val="en-US" w:eastAsia="zh-CN"/>
                    </w:rPr>
                    <w:t>05</w:t>
                  </w:r>
                  <w:r>
                    <w:rPr>
                      <w:rFonts w:hint="eastAsia" w:ascii="Times New Roman" w:hAnsi="Times New Roman" w:eastAsia="仿宋" w:cs="Times New Roman"/>
                      <w:color w:val="auto"/>
                      <w:sz w:val="21"/>
                      <w:szCs w:val="21"/>
                      <w:highlight w:val="none"/>
                      <w:vertAlign w:val="baseline"/>
                      <w:lang w:val="en-US" w:eastAsia="zh-CN"/>
                    </w:rPr>
                    <w:t>g/cm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vertAlign w:val="baseline"/>
                      <w:lang w:val="en-US" w:eastAsia="zh-CN"/>
                    </w:rPr>
                    <w:t>、</w:t>
                  </w:r>
                  <w:r>
                    <w:rPr>
                      <w:rFonts w:hint="eastAsia" w:eastAsia="仿宋" w:cs="Times New Roman"/>
                      <w:color w:val="auto"/>
                      <w:sz w:val="21"/>
                      <w:szCs w:val="21"/>
                      <w:highlight w:val="none"/>
                      <w:vertAlign w:val="baseline"/>
                      <w:lang w:val="en-US" w:eastAsia="zh-CN"/>
                    </w:rPr>
                    <w:t>1.22</w:t>
                  </w:r>
                  <w:r>
                    <w:rPr>
                      <w:rFonts w:hint="eastAsia" w:ascii="Times New Roman" w:hAnsi="Times New Roman" w:eastAsia="仿宋" w:cs="Times New Roman"/>
                      <w:color w:val="auto"/>
                      <w:sz w:val="21"/>
                      <w:szCs w:val="21"/>
                      <w:highlight w:val="none"/>
                      <w:vertAlign w:val="baseline"/>
                      <w:lang w:val="en-US" w:eastAsia="zh-CN"/>
                    </w:rPr>
                    <w:t>g/cm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vertAlign w:val="baseline"/>
                      <w:lang w:val="en-US" w:eastAsia="zh-CN"/>
                    </w:rPr>
                    <w:t>，挥发分分别为21</w:t>
                  </w:r>
                  <w:r>
                    <w:rPr>
                      <w:rFonts w:hint="eastAsia" w:eastAsia="仿宋" w:cs="Times New Roman"/>
                      <w:color w:val="auto"/>
                      <w:sz w:val="21"/>
                      <w:szCs w:val="21"/>
                      <w:highlight w:val="none"/>
                      <w:vertAlign w:val="baseline"/>
                      <w:lang w:val="en-US" w:eastAsia="zh-CN"/>
                    </w:rPr>
                    <w:t>.7</w:t>
                  </w:r>
                  <w:r>
                    <w:rPr>
                      <w:rFonts w:hint="eastAsia" w:ascii="Times New Roman" w:hAnsi="Times New Roman" w:eastAsia="仿宋" w:cs="Times New Roman"/>
                      <w:color w:val="auto"/>
                      <w:sz w:val="21"/>
                      <w:szCs w:val="21"/>
                      <w:highlight w:val="none"/>
                      <w:vertAlign w:val="baseline"/>
                      <w:lang w:val="en-US" w:eastAsia="zh-CN"/>
                    </w:rPr>
                    <w:t>%、</w:t>
                  </w:r>
                  <w:r>
                    <w:rPr>
                      <w:rFonts w:hint="eastAsia" w:eastAsia="仿宋" w:cs="Times New Roman"/>
                      <w:color w:val="auto"/>
                      <w:sz w:val="21"/>
                      <w:szCs w:val="21"/>
                      <w:vertAlign w:val="baseline"/>
                      <w:lang w:val="en-US" w:eastAsia="zh-CN"/>
                    </w:rPr>
                    <w:t>0.5</w:t>
                  </w:r>
                  <w:r>
                    <w:rPr>
                      <w:rFonts w:hint="eastAsia" w:ascii="Times New Roman" w:hAnsi="Times New Roman" w:eastAsia="仿宋" w:cs="Times New Roman"/>
                      <w:color w:val="auto"/>
                      <w:sz w:val="21"/>
                      <w:szCs w:val="21"/>
                      <w:vertAlign w:val="baseline"/>
                      <w:lang w:val="en-US" w:eastAsia="zh-CN"/>
                    </w:rPr>
                    <w:t>%，则VOCs含量为（</w:t>
                  </w:r>
                  <w:r>
                    <w:rPr>
                      <w:rFonts w:hint="eastAsia" w:eastAsia="仿宋" w:cs="Times New Roman"/>
                      <w:color w:val="auto"/>
                      <w:sz w:val="21"/>
                      <w:szCs w:val="21"/>
                      <w:vertAlign w:val="baseline"/>
                      <w:lang w:val="en-US" w:eastAsia="zh-CN"/>
                    </w:rPr>
                    <w:t>4</w:t>
                  </w:r>
                  <w:r>
                    <w:rPr>
                      <w:rFonts w:hint="eastAsia" w:ascii="Times New Roman" w:hAnsi="Times New Roman" w:eastAsia="仿宋" w:cs="Times New Roman"/>
                      <w:color w:val="auto"/>
                      <w:sz w:val="21"/>
                      <w:szCs w:val="21"/>
                      <w:vertAlign w:val="baseline"/>
                      <w:lang w:val="en-US" w:eastAsia="zh-CN"/>
                    </w:rPr>
                    <w:t>×1.</w:t>
                  </w:r>
                  <w:r>
                    <w:rPr>
                      <w:rFonts w:hint="eastAsia" w:eastAsia="仿宋" w:cs="Times New Roman"/>
                      <w:color w:val="auto"/>
                      <w:sz w:val="21"/>
                      <w:szCs w:val="21"/>
                      <w:vertAlign w:val="baseline"/>
                      <w:lang w:val="en-US" w:eastAsia="zh-CN"/>
                    </w:rPr>
                    <w:t>05</w:t>
                  </w:r>
                  <w:r>
                    <w:rPr>
                      <w:rFonts w:hint="eastAsia" w:ascii="Times New Roman" w:hAnsi="Times New Roman" w:eastAsia="仿宋" w:cs="Times New Roman"/>
                      <w:color w:val="auto"/>
                      <w:sz w:val="21"/>
                      <w:szCs w:val="21"/>
                      <w:vertAlign w:val="baseline"/>
                      <w:lang w:val="en-US" w:eastAsia="zh-CN"/>
                    </w:rPr>
                    <w:t>×0.21</w:t>
                  </w:r>
                  <w:r>
                    <w:rPr>
                      <w:rFonts w:hint="eastAsia" w:eastAsia="仿宋" w:cs="Times New Roman"/>
                      <w:color w:val="auto"/>
                      <w:sz w:val="21"/>
                      <w:szCs w:val="21"/>
                      <w:vertAlign w:val="baseline"/>
                      <w:lang w:val="en-US" w:eastAsia="zh-CN"/>
                    </w:rPr>
                    <w:t>7</w:t>
                  </w:r>
                  <w:r>
                    <w:rPr>
                      <w:rFonts w:hint="eastAsia" w:ascii="Times New Roman" w:hAnsi="Times New Roman" w:eastAsia="仿宋" w:cs="Times New Roman"/>
                      <w:color w:val="auto"/>
                      <w:sz w:val="21"/>
                      <w:szCs w:val="21"/>
                      <w:vertAlign w:val="baseline"/>
                      <w:lang w:val="en-US" w:eastAsia="zh-CN"/>
                    </w:rPr>
                    <w:t>+</w:t>
                  </w:r>
                  <w:r>
                    <w:rPr>
                      <w:rFonts w:hint="eastAsia" w:eastAsia="仿宋" w:cs="Times New Roman"/>
                      <w:color w:val="auto"/>
                      <w:sz w:val="21"/>
                      <w:szCs w:val="21"/>
                      <w:vertAlign w:val="baseline"/>
                      <w:lang w:val="en-US" w:eastAsia="zh-CN"/>
                    </w:rPr>
                    <w:t>1</w:t>
                  </w:r>
                  <w:r>
                    <w:rPr>
                      <w:rFonts w:hint="eastAsia" w:ascii="Times New Roman" w:hAnsi="Times New Roman" w:eastAsia="仿宋" w:cs="Times New Roman"/>
                      <w:color w:val="auto"/>
                      <w:sz w:val="21"/>
                      <w:szCs w:val="21"/>
                      <w:vertAlign w:val="baseline"/>
                      <w:lang w:val="en-US" w:eastAsia="zh-CN"/>
                    </w:rPr>
                    <w:t>×</w:t>
                  </w:r>
                  <w:r>
                    <w:rPr>
                      <w:rFonts w:hint="eastAsia" w:eastAsia="仿宋" w:cs="Times New Roman"/>
                      <w:color w:val="auto"/>
                      <w:sz w:val="21"/>
                      <w:szCs w:val="21"/>
                      <w:vertAlign w:val="baseline"/>
                      <w:lang w:val="en-US" w:eastAsia="zh-CN"/>
                    </w:rPr>
                    <w:t>1.22</w:t>
                  </w:r>
                  <w:r>
                    <w:rPr>
                      <w:rFonts w:hint="eastAsia" w:ascii="Times New Roman" w:hAnsi="Times New Roman" w:eastAsia="仿宋" w:cs="Times New Roman"/>
                      <w:color w:val="auto"/>
                      <w:sz w:val="21"/>
                      <w:szCs w:val="21"/>
                      <w:vertAlign w:val="baseline"/>
                      <w:lang w:val="en-US" w:eastAsia="zh-CN"/>
                    </w:rPr>
                    <w:t>×</w:t>
                  </w:r>
                  <w:r>
                    <w:rPr>
                      <w:rFonts w:hint="eastAsia" w:eastAsia="仿宋" w:cs="Times New Roman"/>
                      <w:color w:val="auto"/>
                      <w:sz w:val="21"/>
                      <w:szCs w:val="21"/>
                      <w:vertAlign w:val="baseline"/>
                      <w:lang w:val="en-US" w:eastAsia="zh-CN"/>
                    </w:rPr>
                    <w:t>0.005</w:t>
                  </w:r>
                  <w:r>
                    <w:rPr>
                      <w:rFonts w:hint="eastAsia" w:ascii="Times New Roman" w:hAnsi="Times New Roman" w:eastAsia="仿宋" w:cs="Times New Roman"/>
                      <w:color w:val="auto"/>
                      <w:sz w:val="21"/>
                      <w:szCs w:val="21"/>
                      <w:vertAlign w:val="baseline"/>
                      <w:lang w:val="en-US" w:eastAsia="zh-CN"/>
                    </w:rPr>
                    <w:t>）/（</w:t>
                  </w:r>
                  <w:r>
                    <w:rPr>
                      <w:rFonts w:hint="eastAsia" w:eastAsia="仿宋" w:cs="Times New Roman"/>
                      <w:color w:val="auto"/>
                      <w:sz w:val="21"/>
                      <w:szCs w:val="21"/>
                      <w:vertAlign w:val="baseline"/>
                      <w:lang w:val="en-US" w:eastAsia="zh-CN"/>
                    </w:rPr>
                    <w:t>4+1</w:t>
                  </w:r>
                  <w:r>
                    <w:rPr>
                      <w:rFonts w:hint="eastAsia" w:ascii="Times New Roman" w:hAnsi="Times New Roman" w:eastAsia="仿宋" w:cs="Times New Roman"/>
                      <w:color w:val="auto"/>
                      <w:sz w:val="21"/>
                      <w:szCs w:val="21"/>
                      <w:vertAlign w:val="baseline"/>
                      <w:lang w:val="en-US" w:eastAsia="zh-CN"/>
                    </w:rPr>
                    <w:t>）×1000=</w:t>
                  </w:r>
                  <w:r>
                    <w:rPr>
                      <w:rFonts w:hint="eastAsia" w:eastAsia="仿宋" w:cs="Times New Roman"/>
                      <w:color w:val="auto"/>
                      <w:sz w:val="21"/>
                      <w:szCs w:val="21"/>
                      <w:vertAlign w:val="baseline"/>
                      <w:lang w:val="en-US" w:eastAsia="zh-CN"/>
                    </w:rPr>
                    <w:t>183.5</w:t>
                  </w:r>
                  <w:r>
                    <w:rPr>
                      <w:rFonts w:hint="eastAsia" w:ascii="Times New Roman" w:hAnsi="Times New Roman" w:eastAsia="仿宋" w:cs="Times New Roman"/>
                      <w:color w:val="auto"/>
                      <w:sz w:val="21"/>
                      <w:szCs w:val="21"/>
                      <w:vertAlign w:val="baseline"/>
                      <w:lang w:val="en-US" w:eastAsia="zh-CN"/>
                    </w:rPr>
                    <w:t>g/L&lt;</w:t>
                  </w:r>
                  <w:r>
                    <w:rPr>
                      <w:rFonts w:hint="eastAsia" w:eastAsia="仿宋" w:cs="Times New Roman"/>
                      <w:color w:val="auto"/>
                      <w:sz w:val="21"/>
                      <w:szCs w:val="21"/>
                      <w:vertAlign w:val="baseline"/>
                      <w:lang w:val="en-US" w:eastAsia="zh-CN"/>
                    </w:rPr>
                    <w:t>200</w:t>
                  </w:r>
                  <w:r>
                    <w:rPr>
                      <w:rFonts w:hint="eastAsia" w:ascii="Times New Roman" w:hAnsi="Times New Roman" w:eastAsia="仿宋" w:cs="Times New Roman"/>
                      <w:color w:val="auto"/>
                      <w:sz w:val="21"/>
                      <w:szCs w:val="21"/>
                      <w:vertAlign w:val="baseline"/>
                      <w:lang w:val="en-US" w:eastAsia="zh-CN"/>
                    </w:rPr>
                    <w:t>g/L，符合要求。</w:t>
                  </w:r>
                </w:p>
              </w:tc>
            </w:tr>
          </w:tbl>
          <w:p w14:paraId="5CEA5132">
            <w:pPr>
              <w:autoSpaceDE w:val="0"/>
              <w:autoSpaceDN w:val="0"/>
              <w:adjustRightInd w:val="0"/>
              <w:snapToGrid w:val="0"/>
              <w:spacing w:beforeLines="-2147483648"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由上表可知，本项目使用的油漆符合《低挥发性有机化合物含量涂料产品技术要求》（GB/T 38597-2020）中表2溶剂型涂料中--车辆涂料-</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汽车原厂涂料（乘用车、卸载货车）-</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电泳底漆</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200</w:t>
            </w:r>
            <w:r>
              <w:rPr>
                <w:rFonts w:hint="eastAsia" w:ascii="Times New Roman" w:hAnsi="Times New Roman" w:eastAsia="宋体" w:cs="Times New Roman"/>
                <w:color w:val="auto"/>
                <w:kern w:val="0"/>
                <w:sz w:val="24"/>
                <w:highlight w:val="none"/>
                <w:lang w:val="en-US" w:eastAsia="zh-CN"/>
              </w:rPr>
              <w:t>g/L的要求。</w:t>
            </w:r>
          </w:p>
          <w:p w14:paraId="33A800CB">
            <w:pPr>
              <w:pStyle w:val="29"/>
              <w:spacing w:line="360" w:lineRule="auto"/>
              <w:jc w:val="both"/>
              <w:rPr>
                <w:rFonts w:ascii="Times New Roman" w:cs="Times New Roman"/>
                <w:bCs/>
                <w:color w:val="auto"/>
                <w:sz w:val="21"/>
                <w:szCs w:val="21"/>
                <w:highlight w:val="none"/>
              </w:rPr>
            </w:pPr>
          </w:p>
          <w:p w14:paraId="117B71F2">
            <w:pPr>
              <w:pStyle w:val="29"/>
              <w:spacing w:line="360" w:lineRule="auto"/>
              <w:jc w:val="both"/>
              <w:rPr>
                <w:rFonts w:ascii="Times New Roman" w:cs="Times New Roman"/>
                <w:bCs/>
                <w:color w:val="auto"/>
                <w:sz w:val="21"/>
                <w:szCs w:val="21"/>
                <w:highlight w:val="none"/>
              </w:rPr>
            </w:pPr>
          </w:p>
          <w:p w14:paraId="20A06C7D">
            <w:pPr>
              <w:pStyle w:val="29"/>
              <w:spacing w:line="360" w:lineRule="auto"/>
              <w:jc w:val="both"/>
              <w:rPr>
                <w:rFonts w:ascii="Times New Roman" w:cs="Times New Roman"/>
                <w:bCs/>
                <w:color w:val="auto"/>
                <w:sz w:val="21"/>
                <w:szCs w:val="21"/>
                <w:highlight w:val="none"/>
              </w:rPr>
            </w:pPr>
          </w:p>
          <w:p w14:paraId="553F520C">
            <w:pPr>
              <w:pStyle w:val="29"/>
              <w:spacing w:line="360" w:lineRule="auto"/>
              <w:jc w:val="both"/>
              <w:rPr>
                <w:rFonts w:ascii="Times New Roman" w:cs="Times New Roman"/>
                <w:bCs/>
                <w:color w:val="auto"/>
                <w:sz w:val="21"/>
                <w:szCs w:val="21"/>
                <w:highlight w:val="none"/>
              </w:rPr>
            </w:pPr>
          </w:p>
          <w:p w14:paraId="57B9B717">
            <w:pPr>
              <w:pStyle w:val="29"/>
              <w:spacing w:line="360" w:lineRule="auto"/>
              <w:jc w:val="both"/>
              <w:rPr>
                <w:rFonts w:ascii="Times New Roman" w:cs="Times New Roman"/>
                <w:bCs/>
                <w:color w:val="auto"/>
                <w:sz w:val="21"/>
                <w:szCs w:val="21"/>
                <w:highlight w:val="none"/>
              </w:rPr>
            </w:pPr>
          </w:p>
        </w:tc>
      </w:tr>
    </w:tbl>
    <w:p w14:paraId="478F173A">
      <w:pPr>
        <w:spacing w:line="360" w:lineRule="auto"/>
        <w:outlineLvl w:val="0"/>
        <w:rPr>
          <w:color w:val="auto"/>
          <w:sz w:val="30"/>
          <w:highlight w:val="none"/>
        </w:rPr>
        <w:sectPr>
          <w:footerReference r:id="rId5" w:type="default"/>
          <w:pgSz w:w="11906" w:h="16838"/>
          <w:pgMar w:top="1440" w:right="1080" w:bottom="1440" w:left="108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27E6727">
      <w:pPr>
        <w:pStyle w:val="18"/>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7" w:name="_Toc10731"/>
      <w:bookmarkStart w:id="8" w:name="_Toc29637"/>
      <w:r>
        <w:rPr>
          <w:rFonts w:ascii="黑体" w:hAnsi="黑体" w:eastAsia="黑体"/>
          <w:snapToGrid w:val="0"/>
          <w:color w:val="auto"/>
          <w:sz w:val="30"/>
          <w:szCs w:val="30"/>
          <w:highlight w:val="none"/>
        </w:rPr>
        <w:t>二、建设项目工程分析</w:t>
      </w:r>
      <w:bookmarkEnd w:id="7"/>
      <w:bookmarkEnd w:id="8"/>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6"/>
      </w:tblGrid>
      <w:tr w14:paraId="3BB4B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6" w:hRule="atLeast"/>
          <w:jc w:val="center"/>
        </w:trPr>
        <w:tc>
          <w:tcPr>
            <w:tcW w:w="228" w:type="pct"/>
            <w:vAlign w:val="center"/>
          </w:tcPr>
          <w:p w14:paraId="66481703">
            <w:pPr>
              <w:pStyle w:val="18"/>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4"/>
                <w:szCs w:val="24"/>
                <w:highlight w:val="none"/>
              </w:rPr>
              <w:t>建设内容</w:t>
            </w:r>
          </w:p>
        </w:tc>
        <w:tc>
          <w:tcPr>
            <w:tcW w:w="4771" w:type="pct"/>
          </w:tcPr>
          <w:p w14:paraId="76A7B1BE">
            <w:pPr>
              <w:adjustRightInd w:val="0"/>
              <w:snapToGrid w:val="0"/>
              <w:spacing w:line="360" w:lineRule="auto"/>
              <w:jc w:val="left"/>
              <w:rPr>
                <w:b/>
                <w:color w:val="auto"/>
                <w:sz w:val="24"/>
                <w:szCs w:val="24"/>
                <w:highlight w:val="none"/>
              </w:rPr>
            </w:pPr>
            <w:r>
              <w:rPr>
                <w:rFonts w:hint="eastAsia"/>
                <w:b/>
                <w:color w:val="auto"/>
                <w:sz w:val="24"/>
                <w:szCs w:val="24"/>
                <w:highlight w:val="none"/>
                <w:lang w:val="en-US" w:eastAsia="zh-CN"/>
              </w:rPr>
              <w:t>1、</w:t>
            </w:r>
            <w:r>
              <w:rPr>
                <w:b/>
                <w:color w:val="auto"/>
                <w:sz w:val="24"/>
                <w:szCs w:val="24"/>
                <w:highlight w:val="none"/>
              </w:rPr>
              <w:t>项目由来</w:t>
            </w:r>
          </w:p>
          <w:p w14:paraId="0AC539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苏州市利达亿涂饰厂成立于1997年7月，地址位于苏州市相城区太平工业园</w:t>
            </w:r>
            <w:r>
              <w:rPr>
                <w:rFonts w:hint="eastAsia" w:ascii="Times New Roman" w:hAnsi="Times New Roman" w:eastAsia="宋体" w:cs="Times New Roman"/>
                <w:bCs/>
                <w:color w:val="auto"/>
                <w:sz w:val="24"/>
                <w:szCs w:val="24"/>
                <w:highlight w:val="none"/>
                <w:lang w:val="en-US" w:eastAsia="zh-CN"/>
              </w:rPr>
              <w:t>元春路353号</w:t>
            </w:r>
            <w:r>
              <w:rPr>
                <w:rFonts w:hint="eastAsia" w:ascii="Times New Roman" w:hAnsi="Times New Roman" w:eastAsia="宋体" w:cs="Times New Roman"/>
                <w:bCs/>
                <w:color w:val="auto"/>
                <w:sz w:val="24"/>
                <w:szCs w:val="24"/>
                <w:highlight w:val="none"/>
                <w:lang w:val="en-US" w:eastAsia="zh-CN"/>
              </w:rPr>
              <w:t>。主要经营范围为铁支架喷涂、电器、五金配件、包装材料等的生产销售。</w:t>
            </w:r>
          </w:p>
          <w:p w14:paraId="2E1FB8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2007年，苏州市利达亿涂饰厂利用租赁</w:t>
            </w:r>
            <w:r>
              <w:rPr>
                <w:rFonts w:hint="eastAsia" w:ascii="Times New Roman" w:hAnsi="Times New Roman" w:eastAsia="宋体" w:cs="Times New Roman"/>
                <w:bCs/>
                <w:color w:val="auto"/>
                <w:sz w:val="24"/>
                <w:szCs w:val="24"/>
                <w:highlight w:val="none"/>
                <w:lang w:val="en-US" w:eastAsia="zh-CN"/>
              </w:rPr>
              <w:t>苏州万松工业自动化有限公司</w:t>
            </w:r>
            <w:r>
              <w:rPr>
                <w:rFonts w:hint="eastAsia" w:cs="Times New Roman"/>
                <w:bCs/>
                <w:color w:val="auto"/>
                <w:sz w:val="24"/>
                <w:szCs w:val="24"/>
                <w:highlight w:val="none"/>
                <w:lang w:val="en-US" w:eastAsia="zh-CN"/>
              </w:rPr>
              <w:t>所属位于</w:t>
            </w:r>
            <w:r>
              <w:rPr>
                <w:rFonts w:hint="eastAsia" w:ascii="Times New Roman" w:hAnsi="Times New Roman" w:eastAsia="宋体" w:cs="Times New Roman"/>
                <w:bCs/>
                <w:color w:val="auto"/>
                <w:sz w:val="24"/>
                <w:szCs w:val="24"/>
                <w:highlight w:val="none"/>
                <w:lang w:val="en-US" w:eastAsia="zh-CN"/>
              </w:rPr>
              <w:t>苏州市相城区太平工业园元春路353号</w:t>
            </w:r>
            <w:r>
              <w:rPr>
                <w:rFonts w:hint="eastAsia" w:ascii="Times New Roman" w:hAnsi="Times New Roman" w:eastAsia="宋体" w:cs="Times New Roman"/>
                <w:bCs/>
                <w:color w:val="auto"/>
                <w:sz w:val="24"/>
                <w:szCs w:val="24"/>
                <w:highlight w:val="none"/>
                <w:lang w:val="en-US" w:eastAsia="zh-CN"/>
              </w:rPr>
              <w:t>厂房建设</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苏州市利达亿涂饰厂年产铁支架1万件（搬迁）项目</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，该项目于2007年12月4日取得原苏州市环境保护局审批，审批文号：苏环建〔20</w:t>
            </w:r>
            <w:r>
              <w:rPr>
                <w:rFonts w:hint="eastAsia" w:cs="Times New Roman"/>
                <w:bCs/>
                <w:color w:val="auto"/>
                <w:sz w:val="24"/>
                <w:szCs w:val="24"/>
                <w:highlight w:val="none"/>
                <w:lang w:val="en-US" w:eastAsia="zh-CN"/>
              </w:rPr>
              <w:t>07</w:t>
            </w:r>
            <w:r>
              <w:rPr>
                <w:rFonts w:hint="eastAsia" w:ascii="Times New Roman" w:hAnsi="Times New Roman" w:eastAsia="宋体" w:cs="Times New Roman"/>
                <w:bCs/>
                <w:color w:val="auto"/>
                <w:sz w:val="24"/>
                <w:szCs w:val="24"/>
                <w:highlight w:val="none"/>
                <w:lang w:val="en-US" w:eastAsia="zh-CN"/>
              </w:rPr>
              <w:t>〕566号</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于2008年9月15日取得</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三同时</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竣工验收意见，文号：苏相环建〔20</w:t>
            </w:r>
            <w:r>
              <w:rPr>
                <w:rFonts w:hint="eastAsia" w:cs="Times New Roman"/>
                <w:bCs/>
                <w:color w:val="auto"/>
                <w:sz w:val="24"/>
                <w:szCs w:val="24"/>
                <w:highlight w:val="none"/>
                <w:lang w:val="en-US" w:eastAsia="zh-CN"/>
              </w:rPr>
              <w:t>08</w:t>
            </w:r>
            <w:r>
              <w:rPr>
                <w:rFonts w:hint="eastAsia" w:ascii="Times New Roman" w:hAnsi="Times New Roman" w:eastAsia="宋体" w:cs="Times New Roman"/>
                <w:bCs/>
                <w:color w:val="auto"/>
                <w:sz w:val="24"/>
                <w:szCs w:val="24"/>
                <w:highlight w:val="none"/>
                <w:lang w:val="en-US" w:eastAsia="zh-CN"/>
              </w:rPr>
              <w:t>〕551。</w:t>
            </w:r>
          </w:p>
          <w:p w14:paraId="605BEF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为满足发展需求，</w:t>
            </w:r>
            <w:r>
              <w:rPr>
                <w:rFonts w:hint="eastAsia" w:cs="Times New Roman"/>
                <w:bCs/>
                <w:color w:val="auto"/>
                <w:sz w:val="24"/>
                <w:szCs w:val="24"/>
                <w:highlight w:val="none"/>
                <w:lang w:val="en-US" w:eastAsia="zh-CN"/>
              </w:rPr>
              <w:t>2020年，企业</w:t>
            </w:r>
            <w:r>
              <w:rPr>
                <w:rFonts w:hint="eastAsia" w:ascii="Times New Roman" w:hAnsi="Times New Roman" w:eastAsia="宋体" w:cs="Times New Roman"/>
                <w:bCs/>
                <w:color w:val="auto"/>
                <w:sz w:val="24"/>
                <w:szCs w:val="24"/>
                <w:highlight w:val="none"/>
                <w:lang w:val="en-US" w:eastAsia="zh-CN"/>
              </w:rPr>
              <w:t>在现有厂房建设</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苏州市利达亿涂饰厂新建生产家用电器配件400吨项目</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，该项目于</w:t>
            </w:r>
            <w:r>
              <w:rPr>
                <w:rFonts w:hint="eastAsia" w:cs="Times New Roman"/>
                <w:bCs/>
                <w:color w:val="auto"/>
                <w:sz w:val="24"/>
                <w:szCs w:val="24"/>
                <w:highlight w:val="none"/>
                <w:lang w:val="en-US" w:eastAsia="zh-CN"/>
              </w:rPr>
              <w:t>2020年4月28日</w:t>
            </w:r>
            <w:r>
              <w:rPr>
                <w:rFonts w:hint="eastAsia" w:ascii="Times New Roman" w:hAnsi="Times New Roman" w:eastAsia="宋体" w:cs="Times New Roman"/>
                <w:bCs/>
                <w:color w:val="auto"/>
                <w:sz w:val="24"/>
                <w:szCs w:val="24"/>
                <w:highlight w:val="none"/>
                <w:lang w:val="en-US" w:eastAsia="zh-CN"/>
              </w:rPr>
              <w:t>取得苏州市行政审批局批复，审批文号：苏行审环评〔20</w:t>
            </w:r>
            <w:r>
              <w:rPr>
                <w:rFonts w:hint="eastAsia" w:cs="Times New Roman"/>
                <w:bCs/>
                <w:color w:val="auto"/>
                <w:sz w:val="24"/>
                <w:szCs w:val="24"/>
                <w:highlight w:val="none"/>
                <w:lang w:val="en-US" w:eastAsia="zh-CN"/>
              </w:rPr>
              <w:t>20</w:t>
            </w:r>
            <w:r>
              <w:rPr>
                <w:rFonts w:hint="eastAsia" w:ascii="Times New Roman" w:hAnsi="Times New Roman" w:eastAsia="宋体" w:cs="Times New Roman"/>
                <w:bCs/>
                <w:color w:val="auto"/>
                <w:sz w:val="24"/>
                <w:szCs w:val="24"/>
                <w:highlight w:val="none"/>
                <w:lang w:val="en-US" w:eastAsia="zh-CN"/>
              </w:rPr>
              <w:t>〕70072号，于2022年1月25日取得竣工环境保护验收意见。</w:t>
            </w:r>
          </w:p>
          <w:p w14:paraId="34D2D9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随着全球新能源汽车市场规模庞大且持续增长，汽车保有量的不断增加直接带动了汽车冷却系统零部件市场的需求。据统计，近年来全球汽车销量一直保持在较高水平，中国等新兴市场的</w:t>
            </w:r>
            <w:r>
              <w:rPr>
                <w:rFonts w:hint="eastAsia" w:cs="Times New Roman"/>
                <w:bCs/>
                <w:color w:val="auto"/>
                <w:sz w:val="24"/>
                <w:szCs w:val="24"/>
                <w:highlight w:val="none"/>
                <w:lang w:val="en-US" w:eastAsia="zh-CN"/>
              </w:rPr>
              <w:t>新能源</w:t>
            </w:r>
            <w:r>
              <w:rPr>
                <w:rFonts w:hint="eastAsia" w:ascii="Times New Roman" w:hAnsi="Times New Roman" w:eastAsia="宋体" w:cs="Times New Roman"/>
                <w:bCs/>
                <w:color w:val="auto"/>
                <w:sz w:val="24"/>
                <w:szCs w:val="24"/>
                <w:highlight w:val="none"/>
                <w:lang w:val="en-US" w:eastAsia="zh-CN"/>
              </w:rPr>
              <w:t>汽车销量更是增长迅猛，这为汽车</w:t>
            </w:r>
            <w:r>
              <w:rPr>
                <w:rFonts w:hint="eastAsia" w:cs="Times New Roman"/>
                <w:bCs/>
                <w:color w:val="auto"/>
                <w:sz w:val="24"/>
                <w:szCs w:val="24"/>
                <w:highlight w:val="none"/>
                <w:lang w:val="en-US" w:eastAsia="zh-CN"/>
              </w:rPr>
              <w:t>冷却系统零部件</w:t>
            </w:r>
            <w:r>
              <w:rPr>
                <w:rFonts w:hint="eastAsia" w:ascii="Times New Roman" w:hAnsi="Times New Roman" w:eastAsia="宋体" w:cs="Times New Roman"/>
                <w:bCs/>
                <w:color w:val="auto"/>
                <w:sz w:val="24"/>
                <w:szCs w:val="24"/>
                <w:highlight w:val="none"/>
                <w:lang w:val="en-US" w:eastAsia="zh-CN"/>
              </w:rPr>
              <w:t>行业的发展提供了广阔的市场空间</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为了满足市场需求、提高竞争能力，苏州市利达亿涂饰厂将进行改扩建，企业拟投资500万元，利用现</w:t>
            </w:r>
            <w:r>
              <w:rPr>
                <w:rFonts w:hint="eastAsia" w:cs="Times New Roman"/>
                <w:bCs/>
                <w:color w:val="auto"/>
                <w:sz w:val="24"/>
                <w:szCs w:val="24"/>
                <w:highlight w:val="none"/>
                <w:lang w:val="en-US" w:eastAsia="zh-CN"/>
              </w:rPr>
              <w:t>有</w:t>
            </w:r>
            <w:r>
              <w:rPr>
                <w:rFonts w:hint="eastAsia" w:ascii="Times New Roman" w:hAnsi="Times New Roman" w:eastAsia="宋体" w:cs="Times New Roman"/>
                <w:bCs/>
                <w:color w:val="auto"/>
                <w:sz w:val="24"/>
                <w:szCs w:val="24"/>
                <w:highlight w:val="none"/>
                <w:lang w:val="en-US" w:eastAsia="zh-CN"/>
              </w:rPr>
              <w:t>租赁场地进行扩产改建新能源汽车冷却类零部件项目。项目建成后年</w:t>
            </w:r>
            <w:r>
              <w:rPr>
                <w:rFonts w:hint="eastAsia" w:cs="Times New Roman"/>
                <w:bCs/>
                <w:color w:val="auto"/>
                <w:sz w:val="24"/>
                <w:szCs w:val="24"/>
                <w:highlight w:val="none"/>
                <w:lang w:val="en-US" w:eastAsia="zh-CN"/>
              </w:rPr>
              <w:t>产</w:t>
            </w:r>
            <w:r>
              <w:rPr>
                <w:rFonts w:hint="eastAsia" w:ascii="Times New Roman" w:hAnsi="Times New Roman" w:eastAsia="宋体" w:cs="Times New Roman"/>
                <w:bCs/>
                <w:color w:val="auto"/>
                <w:sz w:val="24"/>
                <w:szCs w:val="24"/>
                <w:highlight w:val="none"/>
                <w:lang w:val="en-US" w:eastAsia="zh-CN"/>
              </w:rPr>
              <w:t>新能源汽车冷却类零部件60万件。</w:t>
            </w:r>
            <w:r>
              <w:rPr>
                <w:rFonts w:hint="eastAsia" w:cs="Times New Roman"/>
                <w:bCs/>
                <w:color w:val="auto"/>
                <w:sz w:val="24"/>
                <w:szCs w:val="24"/>
                <w:highlight w:val="none"/>
                <w:lang w:val="en-US" w:eastAsia="zh-CN"/>
              </w:rPr>
              <w:t>项目建成后“苏州市利达亿涂饰厂年产铁支架1万件（搬迁）”和“苏州市利达亿涂饰厂新建生产家用电器配件400吨项目”均停止生产。</w:t>
            </w:r>
          </w:p>
          <w:p w14:paraId="63DF5D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bCs/>
                <w:color w:val="auto"/>
                <w:sz w:val="24"/>
                <w:szCs w:val="24"/>
                <w:highlight w:val="none"/>
              </w:rPr>
            </w:pPr>
            <w:r>
              <w:rPr>
                <w:rFonts w:hint="eastAsia" w:cs="Times New Roman"/>
                <w:bCs/>
                <w:color w:val="auto"/>
                <w:sz w:val="24"/>
                <w:szCs w:val="24"/>
                <w:highlight w:val="none"/>
                <w:lang w:val="en-US" w:eastAsia="zh-CN"/>
              </w:rPr>
              <w:t>项目</w:t>
            </w:r>
            <w:r>
              <w:rPr>
                <w:rFonts w:hint="eastAsia" w:ascii="Times New Roman" w:hAnsi="Times New Roman" w:eastAsia="宋体" w:cs="Times New Roman"/>
                <w:bCs/>
                <w:color w:val="auto"/>
                <w:sz w:val="24"/>
                <w:szCs w:val="24"/>
                <w:highlight w:val="none"/>
                <w:lang w:val="en-US" w:eastAsia="zh-CN"/>
              </w:rPr>
              <w:t>于20</w:t>
            </w:r>
            <w:r>
              <w:rPr>
                <w:rFonts w:hint="eastAsia" w:cs="Times New Roman"/>
                <w:bCs/>
                <w:color w:val="auto"/>
                <w:sz w:val="24"/>
                <w:szCs w:val="24"/>
                <w:highlight w:val="none"/>
                <w:lang w:val="en-US" w:eastAsia="zh-CN"/>
              </w:rPr>
              <w:t>25</w:t>
            </w:r>
            <w:r>
              <w:rPr>
                <w:rFonts w:hint="eastAsia" w:ascii="Times New Roman" w:hAnsi="Times New Roman" w:eastAsia="宋体" w:cs="Times New Roman"/>
                <w:bCs/>
                <w:color w:val="auto"/>
                <w:sz w:val="24"/>
                <w:szCs w:val="24"/>
                <w:highlight w:val="none"/>
                <w:lang w:val="en-US" w:eastAsia="zh-CN"/>
              </w:rPr>
              <w:t>年9月2日苏州</w:t>
            </w:r>
            <w:r>
              <w:rPr>
                <w:rFonts w:hint="eastAsia"/>
                <w:color w:val="auto"/>
                <w:sz w:val="24"/>
                <w:lang w:val="en-US" w:eastAsia="zh-CN"/>
              </w:rPr>
              <w:t>市相城区</w:t>
            </w:r>
            <w:r>
              <w:rPr>
                <w:rFonts w:hint="eastAsia"/>
                <w:color w:val="auto"/>
                <w:sz w:val="24"/>
              </w:rPr>
              <w:t>行政审批局出具的《江苏省投资项目备案证》（备案证号：</w:t>
            </w:r>
            <w:r>
              <w:rPr>
                <w:rFonts w:hint="eastAsia" w:ascii="Times New Roman" w:hAnsi="Times New Roman" w:eastAsia="宋体" w:cs="Times New Roman"/>
                <w:bCs/>
                <w:color w:val="auto"/>
                <w:sz w:val="24"/>
                <w:szCs w:val="24"/>
                <w:highlight w:val="none"/>
                <w:lang w:val="en-US" w:eastAsia="zh-CN"/>
              </w:rPr>
              <w:t>相数据投备〔2025〕437号</w:t>
            </w:r>
            <w:r>
              <w:rPr>
                <w:rFonts w:hint="eastAsia"/>
                <w:color w:val="auto"/>
                <w:sz w:val="24"/>
              </w:rPr>
              <w:t>，项目代码：</w:t>
            </w:r>
            <w:r>
              <w:rPr>
                <w:rFonts w:hint="eastAsia" w:ascii="Times New Roman" w:hAnsi="Times New Roman" w:eastAsia="宋体" w:cs="Times New Roman"/>
                <w:bCs/>
                <w:color w:val="auto"/>
                <w:sz w:val="24"/>
                <w:szCs w:val="24"/>
                <w:highlight w:val="none"/>
                <w:lang w:val="en-US" w:eastAsia="zh-CN"/>
              </w:rPr>
              <w:t>2509-320507-89-01-352753</w:t>
            </w:r>
            <w:r>
              <w:rPr>
                <w:rFonts w:hint="eastAsia"/>
                <w:color w:val="auto"/>
                <w:sz w:val="24"/>
              </w:rPr>
              <w:t>）</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依据《国民经济行业分类》（GB/T4754-2017）及国家统计局《关于执行国民经济行业分类第1号修改单的通知》（国统字〔2019〕66号），</w:t>
            </w:r>
            <w:r>
              <w:rPr>
                <w:rFonts w:hint="eastAsia" w:cs="Times New Roman"/>
                <w:bCs/>
                <w:color w:val="auto"/>
                <w:sz w:val="24"/>
                <w:szCs w:val="24"/>
                <w:highlight w:val="none"/>
                <w:lang w:val="en-US" w:eastAsia="zh-CN"/>
              </w:rPr>
              <w:t>本</w:t>
            </w:r>
            <w:r>
              <w:rPr>
                <w:rFonts w:hint="default" w:ascii="Times New Roman" w:hAnsi="Times New Roman" w:eastAsia="宋体" w:cs="Times New Roman"/>
                <w:bCs/>
                <w:color w:val="auto"/>
                <w:sz w:val="24"/>
                <w:szCs w:val="24"/>
                <w:highlight w:val="none"/>
                <w:lang w:val="en-US" w:eastAsia="zh-CN"/>
              </w:rPr>
              <w:t>项目属于</w:t>
            </w:r>
            <w:r>
              <w:rPr>
                <w:rFonts w:hint="eastAsia" w:cs="Times New Roman"/>
                <w:bCs/>
                <w:color w:val="auto"/>
                <w:sz w:val="24"/>
                <w:szCs w:val="24"/>
                <w:highlight w:val="none"/>
                <w:lang w:val="en-US" w:eastAsia="zh-CN"/>
              </w:rPr>
              <w:t>“</w:t>
            </w:r>
            <w:r>
              <w:rPr>
                <w:rFonts w:hint="default" w:ascii="Times New Roman" w:hAnsi="Times New Roman" w:eastAsia="宋体" w:cs="Times New Roman"/>
                <w:b w:val="0"/>
                <w:bCs w:val="0"/>
                <w:color w:val="auto"/>
                <w:sz w:val="24"/>
                <w:szCs w:val="24"/>
                <w:lang w:val="en-US" w:eastAsia="zh-CN"/>
              </w:rPr>
              <w:t>C3</w:t>
            </w:r>
            <w:r>
              <w:rPr>
                <w:rFonts w:hint="eastAsia" w:ascii="Times New Roman" w:hAnsi="Times New Roman" w:eastAsia="宋体" w:cs="Times New Roman"/>
                <w:b w:val="0"/>
                <w:bCs w:val="0"/>
                <w:color w:val="auto"/>
                <w:sz w:val="24"/>
                <w:szCs w:val="24"/>
                <w:lang w:val="en-US" w:eastAsia="zh-CN"/>
              </w:rPr>
              <w:t>670汽车零部件及配件制造</w:t>
            </w:r>
            <w:r>
              <w:rPr>
                <w:rFonts w:hint="eastAsia"/>
                <w:bCs/>
                <w:color w:val="auto"/>
                <w:sz w:val="24"/>
                <w:szCs w:val="24"/>
                <w:highlight w:val="none"/>
                <w:lang w:val="en-US" w:eastAsia="zh-CN"/>
              </w:rPr>
              <w:t>”</w:t>
            </w:r>
            <w:r>
              <w:rPr>
                <w:rFonts w:hint="default"/>
                <w:bCs/>
                <w:color w:val="auto"/>
                <w:sz w:val="24"/>
                <w:szCs w:val="24"/>
                <w:highlight w:val="none"/>
                <w:lang w:val="en-US" w:eastAsia="zh-CN"/>
              </w:rPr>
              <w:t>；根据《建设项目环境影响评价分类管理名录》（2021年版），本项目属于</w:t>
            </w:r>
            <w:r>
              <w:rPr>
                <w:rFonts w:hint="eastAsia"/>
                <w:bCs/>
                <w:color w:val="auto"/>
                <w:sz w:val="24"/>
                <w:szCs w:val="24"/>
                <w:highlight w:val="none"/>
                <w:lang w:val="en-US" w:eastAsia="zh-CN"/>
              </w:rPr>
              <w:t>“</w:t>
            </w:r>
            <w:r>
              <w:rPr>
                <w:rFonts w:hint="eastAsia" w:ascii="Times New Roman" w:hAnsi="Times New Roman" w:eastAsia="宋体" w:cs="Times New Roman"/>
                <w:color w:val="auto"/>
                <w:sz w:val="24"/>
                <w:szCs w:val="32"/>
                <w:highlight w:val="none"/>
                <w:lang w:val="en-US" w:eastAsia="zh-CN"/>
              </w:rPr>
              <w:t>三十三、汽车制造业 36</w:t>
            </w:r>
            <w:r>
              <w:rPr>
                <w:rFonts w:hint="eastAsia"/>
                <w:bCs/>
                <w:color w:val="auto"/>
                <w:sz w:val="24"/>
                <w:szCs w:val="24"/>
                <w:highlight w:val="none"/>
                <w:lang w:val="en-US" w:eastAsia="zh-CN"/>
              </w:rPr>
              <w:t>”中的“71.汽车零部件及配件制造367”中的“其他（年用非溶剂型低VOCs含量涂料10吨以下的除外）”</w:t>
            </w:r>
            <w:r>
              <w:rPr>
                <w:rFonts w:hint="default"/>
                <w:bCs/>
                <w:color w:val="auto"/>
                <w:sz w:val="24"/>
                <w:szCs w:val="24"/>
                <w:highlight w:val="none"/>
                <w:lang w:val="en-US" w:eastAsia="zh-CN"/>
              </w:rPr>
              <w:t>，因此，本项目需编制环境影响报告表</w:t>
            </w:r>
            <w:r>
              <w:rPr>
                <w:rFonts w:hint="eastAsia"/>
                <w:bCs/>
                <w:color w:val="auto"/>
                <w:sz w:val="24"/>
                <w:szCs w:val="24"/>
                <w:highlight w:val="none"/>
                <w:lang w:val="en-US" w:eastAsia="zh-CN"/>
              </w:rPr>
              <w:t>。</w:t>
            </w:r>
          </w:p>
          <w:p w14:paraId="0B19C93C">
            <w:pPr>
              <w:adjustRightInd w:val="0"/>
              <w:snapToGrid w:val="0"/>
              <w:spacing w:line="360" w:lineRule="auto"/>
              <w:jc w:val="left"/>
              <w:rPr>
                <w:b/>
                <w:color w:val="auto"/>
                <w:sz w:val="24"/>
                <w:szCs w:val="24"/>
                <w:highlight w:val="none"/>
              </w:rPr>
            </w:pPr>
            <w:r>
              <w:rPr>
                <w:rFonts w:hint="eastAsia"/>
                <w:b/>
                <w:color w:val="auto"/>
                <w:sz w:val="24"/>
                <w:szCs w:val="24"/>
                <w:highlight w:val="none"/>
                <w:lang w:val="en-US" w:eastAsia="zh-CN"/>
              </w:rPr>
              <w:t>2、</w:t>
            </w:r>
            <w:r>
              <w:rPr>
                <w:b/>
                <w:color w:val="auto"/>
                <w:sz w:val="24"/>
                <w:szCs w:val="24"/>
                <w:highlight w:val="none"/>
              </w:rPr>
              <w:t>项目概况</w:t>
            </w:r>
          </w:p>
          <w:p w14:paraId="7749C149">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项目名称：</w:t>
            </w:r>
            <w:r>
              <w:rPr>
                <w:rFonts w:hint="eastAsia"/>
                <w:bCs/>
                <w:color w:val="auto"/>
                <w:sz w:val="24"/>
                <w:szCs w:val="24"/>
                <w:highlight w:val="none"/>
              </w:rPr>
              <w:t>苏州市利达亿涂饰厂扩建生产新能源汽车冷却类零部件项目；</w:t>
            </w:r>
          </w:p>
          <w:p w14:paraId="6388FA17">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建设单位</w:t>
            </w:r>
            <w:r>
              <w:rPr>
                <w:rFonts w:hint="eastAsia"/>
                <w:bCs/>
                <w:color w:val="auto"/>
                <w:sz w:val="24"/>
                <w:szCs w:val="24"/>
                <w:highlight w:val="none"/>
                <w:lang w:eastAsia="zh-CN"/>
              </w:rPr>
              <w:t>：</w:t>
            </w:r>
            <w:r>
              <w:rPr>
                <w:rFonts w:hint="eastAsia"/>
                <w:bCs/>
                <w:color w:val="auto"/>
                <w:sz w:val="24"/>
                <w:szCs w:val="24"/>
                <w:highlight w:val="none"/>
              </w:rPr>
              <w:t>苏州市利达亿涂饰厂；</w:t>
            </w:r>
          </w:p>
          <w:p w14:paraId="18EF25D7">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建设地点：</w:t>
            </w:r>
            <w:r>
              <w:rPr>
                <w:rFonts w:hint="eastAsia" w:ascii="Times New Roman" w:hAnsi="Times New Roman" w:eastAsia="宋体" w:cs="Times New Roman"/>
                <w:color w:val="auto"/>
                <w:sz w:val="24"/>
                <w:szCs w:val="24"/>
                <w:highlight w:val="none"/>
                <w:lang w:eastAsia="zh-CN"/>
              </w:rPr>
              <w:t>江苏省苏州市相城区元春路353号</w:t>
            </w:r>
            <w:r>
              <w:rPr>
                <w:rFonts w:hint="eastAsia"/>
                <w:color w:val="auto"/>
                <w:sz w:val="24"/>
                <w:szCs w:val="24"/>
                <w:highlight w:val="none"/>
              </w:rPr>
              <w:t>；</w:t>
            </w:r>
          </w:p>
          <w:p w14:paraId="298B68A5">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建设性质：</w:t>
            </w:r>
            <w:r>
              <w:rPr>
                <w:rFonts w:hint="eastAsia"/>
                <w:bCs/>
                <w:color w:val="auto"/>
                <w:sz w:val="24"/>
                <w:szCs w:val="24"/>
                <w:highlight w:val="none"/>
                <w:lang w:val="en-US" w:eastAsia="zh-CN"/>
              </w:rPr>
              <w:t>扩</w:t>
            </w:r>
            <w:r>
              <w:rPr>
                <w:rFonts w:hint="eastAsia"/>
                <w:bCs/>
                <w:color w:val="auto"/>
                <w:sz w:val="24"/>
                <w:szCs w:val="24"/>
                <w:highlight w:val="none"/>
              </w:rPr>
              <w:t>建；</w:t>
            </w:r>
          </w:p>
          <w:p w14:paraId="643A5CFA">
            <w:pPr>
              <w:adjustRightInd w:val="0"/>
              <w:snapToGrid w:val="0"/>
              <w:spacing w:line="360" w:lineRule="auto"/>
              <w:ind w:firstLine="480" w:firstLineChars="200"/>
              <w:jc w:val="both"/>
              <w:rPr>
                <w:bCs/>
                <w:color w:val="auto"/>
                <w:sz w:val="24"/>
                <w:szCs w:val="24"/>
                <w:highlight w:val="none"/>
              </w:rPr>
            </w:pPr>
            <w:r>
              <w:rPr>
                <w:bCs/>
                <w:color w:val="auto"/>
                <w:sz w:val="24"/>
                <w:szCs w:val="24"/>
                <w:highlight w:val="none"/>
              </w:rPr>
              <w:t>建设规模</w:t>
            </w:r>
            <w:r>
              <w:rPr>
                <w:rFonts w:hint="eastAsia"/>
                <w:bCs/>
                <w:color w:val="auto"/>
                <w:sz w:val="24"/>
                <w:szCs w:val="24"/>
                <w:highlight w:val="none"/>
                <w:lang w:val="en-US" w:eastAsia="zh-CN"/>
              </w:rPr>
              <w:t>及内容</w:t>
            </w:r>
            <w:r>
              <w:rPr>
                <w:bCs/>
                <w:color w:val="auto"/>
                <w:sz w:val="24"/>
                <w:szCs w:val="24"/>
                <w:highlight w:val="none"/>
              </w:rPr>
              <w:t>：</w:t>
            </w:r>
            <w:r>
              <w:rPr>
                <w:rFonts w:hint="eastAsia"/>
                <w:bCs/>
                <w:color w:val="auto"/>
                <w:sz w:val="24"/>
                <w:szCs w:val="24"/>
                <w:highlight w:val="none"/>
              </w:rPr>
              <w:t>项目建成后年生产</w:t>
            </w:r>
            <w:r>
              <w:rPr>
                <w:rFonts w:hint="eastAsia" w:ascii="Times New Roman" w:hAnsi="Times New Roman" w:eastAsia="宋体" w:cs="Times New Roman"/>
                <w:color w:val="auto"/>
                <w:sz w:val="24"/>
                <w:szCs w:val="24"/>
                <w:highlight w:val="none"/>
                <w:lang w:eastAsia="zh-CN"/>
              </w:rPr>
              <w:t>新能源汽车冷却类零部件</w:t>
            </w:r>
            <w:r>
              <w:rPr>
                <w:rFonts w:hint="eastAsia" w:eastAsia="宋体"/>
                <w:bCs/>
                <w:color w:val="auto"/>
                <w:sz w:val="24"/>
                <w:szCs w:val="24"/>
                <w:highlight w:val="none"/>
                <w:lang w:val="en-US" w:eastAsia="zh-CN"/>
              </w:rPr>
              <w:t>60万件</w:t>
            </w:r>
            <w:r>
              <w:rPr>
                <w:rFonts w:hint="eastAsia"/>
                <w:bCs/>
                <w:color w:val="auto"/>
                <w:sz w:val="24"/>
                <w:szCs w:val="24"/>
                <w:highlight w:val="none"/>
              </w:rPr>
              <w:t>；</w:t>
            </w:r>
          </w:p>
          <w:p w14:paraId="2E0DD743">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总投资：</w:t>
            </w:r>
            <w:r>
              <w:rPr>
                <w:rFonts w:hint="eastAsia"/>
                <w:bCs/>
                <w:color w:val="auto"/>
                <w:sz w:val="24"/>
                <w:szCs w:val="24"/>
                <w:highlight w:val="none"/>
                <w:lang w:val="en-US" w:eastAsia="zh-CN"/>
              </w:rPr>
              <w:t>本</w:t>
            </w:r>
            <w:r>
              <w:rPr>
                <w:bCs/>
                <w:color w:val="auto"/>
                <w:sz w:val="24"/>
                <w:szCs w:val="24"/>
                <w:highlight w:val="none"/>
              </w:rPr>
              <w:t>项目总投</w:t>
            </w:r>
            <w:r>
              <w:rPr>
                <w:rFonts w:hint="eastAsia"/>
                <w:bCs/>
                <w:color w:val="auto"/>
                <w:sz w:val="24"/>
                <w:szCs w:val="24"/>
                <w:highlight w:val="none"/>
                <w:lang w:val="en-US" w:eastAsia="zh-CN"/>
              </w:rPr>
              <w:t>资500万元，其中环保投</w:t>
            </w:r>
            <w:r>
              <w:rPr>
                <w:rFonts w:hint="eastAsia"/>
                <w:b w:val="0"/>
                <w:bCs/>
                <w:color w:val="auto"/>
                <w:sz w:val="24"/>
                <w:szCs w:val="24"/>
                <w:highlight w:val="none"/>
                <w:lang w:val="en-US" w:eastAsia="zh-CN"/>
              </w:rPr>
              <w:t>资50</w:t>
            </w:r>
            <w:r>
              <w:rPr>
                <w:rFonts w:hint="eastAsia"/>
                <w:bCs/>
                <w:color w:val="auto"/>
                <w:sz w:val="24"/>
                <w:szCs w:val="24"/>
                <w:highlight w:val="none"/>
                <w:lang w:val="en-US" w:eastAsia="zh-CN"/>
              </w:rPr>
              <w:t>万元</w:t>
            </w:r>
            <w:r>
              <w:rPr>
                <w:rFonts w:hint="eastAsia"/>
                <w:bCs/>
                <w:color w:val="auto"/>
                <w:sz w:val="24"/>
                <w:szCs w:val="24"/>
                <w:highlight w:val="none"/>
              </w:rPr>
              <w:t>；</w:t>
            </w:r>
          </w:p>
          <w:p w14:paraId="6407E327">
            <w:pPr>
              <w:adjustRightInd w:val="0"/>
              <w:snapToGrid w:val="0"/>
              <w:spacing w:line="360" w:lineRule="auto"/>
              <w:ind w:firstLine="480" w:firstLineChars="200"/>
              <w:jc w:val="left"/>
              <w:rPr>
                <w:bCs/>
                <w:color w:val="auto"/>
                <w:sz w:val="24"/>
                <w:szCs w:val="24"/>
                <w:highlight w:val="none"/>
              </w:rPr>
            </w:pPr>
            <w:r>
              <w:rPr>
                <w:bCs/>
                <w:color w:val="auto"/>
                <w:sz w:val="24"/>
                <w:szCs w:val="24"/>
                <w:highlight w:val="none"/>
              </w:rPr>
              <w:t>员工人数和工作制度</w:t>
            </w:r>
            <w:r>
              <w:rPr>
                <w:rFonts w:hint="eastAsia"/>
                <w:bCs/>
                <w:color w:val="auto"/>
                <w:sz w:val="24"/>
                <w:szCs w:val="24"/>
                <w:highlight w:val="none"/>
              </w:rPr>
              <w:t>：</w:t>
            </w:r>
            <w:r>
              <w:rPr>
                <w:bCs/>
                <w:color w:val="auto"/>
                <w:sz w:val="24"/>
                <w:szCs w:val="24"/>
                <w:highlight w:val="none"/>
              </w:rPr>
              <w:t>本项目</w:t>
            </w:r>
            <w:r>
              <w:rPr>
                <w:rFonts w:hint="eastAsia"/>
                <w:bCs/>
                <w:color w:val="auto"/>
                <w:sz w:val="24"/>
                <w:szCs w:val="24"/>
                <w:highlight w:val="none"/>
                <w:lang w:val="en-US" w:eastAsia="zh-CN"/>
              </w:rPr>
              <w:t>不新增员工，劳动定员40人，</w:t>
            </w:r>
            <w:r>
              <w:rPr>
                <w:bCs/>
                <w:color w:val="auto"/>
                <w:sz w:val="24"/>
                <w:szCs w:val="24"/>
                <w:highlight w:val="none"/>
              </w:rPr>
              <w:t>全年工作</w:t>
            </w:r>
            <w:r>
              <w:rPr>
                <w:rFonts w:hint="eastAsia"/>
                <w:bCs/>
                <w:color w:val="auto"/>
                <w:sz w:val="24"/>
                <w:szCs w:val="24"/>
                <w:highlight w:val="none"/>
                <w:lang w:val="en-US" w:eastAsia="zh-CN"/>
              </w:rPr>
              <w:t>300</w:t>
            </w:r>
            <w:r>
              <w:rPr>
                <w:bCs/>
                <w:color w:val="auto"/>
                <w:sz w:val="24"/>
                <w:szCs w:val="24"/>
                <w:highlight w:val="none"/>
              </w:rPr>
              <w:t>天，实行</w:t>
            </w:r>
            <w:r>
              <w:rPr>
                <w:rFonts w:hint="eastAsia"/>
                <w:bCs/>
                <w:color w:val="auto"/>
                <w:sz w:val="24"/>
                <w:szCs w:val="24"/>
                <w:highlight w:val="none"/>
                <w:lang w:val="en-US" w:eastAsia="zh-CN"/>
              </w:rPr>
              <w:t>一</w:t>
            </w:r>
            <w:r>
              <w:rPr>
                <w:bCs/>
                <w:color w:val="auto"/>
                <w:sz w:val="24"/>
                <w:szCs w:val="24"/>
                <w:highlight w:val="none"/>
              </w:rPr>
              <w:t>班</w:t>
            </w:r>
            <w:r>
              <w:rPr>
                <w:rFonts w:hint="eastAsia"/>
                <w:bCs/>
                <w:color w:val="auto"/>
                <w:sz w:val="24"/>
                <w:szCs w:val="24"/>
                <w:highlight w:val="none"/>
                <w:lang w:val="en-US" w:eastAsia="zh-CN"/>
              </w:rPr>
              <w:t>制</w:t>
            </w:r>
            <w:r>
              <w:rPr>
                <w:bCs/>
                <w:color w:val="auto"/>
                <w:sz w:val="24"/>
                <w:szCs w:val="24"/>
                <w:highlight w:val="none"/>
              </w:rPr>
              <w:t>工作制度，每班工作</w:t>
            </w:r>
            <w:r>
              <w:rPr>
                <w:rFonts w:hint="eastAsia"/>
                <w:bCs/>
                <w:color w:val="auto"/>
                <w:sz w:val="24"/>
                <w:szCs w:val="24"/>
                <w:highlight w:val="none"/>
                <w:lang w:val="en-US" w:eastAsia="zh-CN"/>
              </w:rPr>
              <w:t>10</w:t>
            </w:r>
            <w:r>
              <w:rPr>
                <w:bCs/>
                <w:color w:val="auto"/>
                <w:sz w:val="24"/>
                <w:szCs w:val="24"/>
                <w:highlight w:val="none"/>
              </w:rPr>
              <w:t>小时</w:t>
            </w:r>
            <w:r>
              <w:rPr>
                <w:rFonts w:hint="eastAsia"/>
                <w:bCs/>
                <w:color w:val="auto"/>
                <w:sz w:val="24"/>
                <w:szCs w:val="24"/>
                <w:highlight w:val="none"/>
                <w:lang w:eastAsia="zh-CN"/>
              </w:rPr>
              <w:t>，</w:t>
            </w:r>
            <w:r>
              <w:rPr>
                <w:rFonts w:hint="eastAsia"/>
                <w:bCs/>
                <w:color w:val="auto"/>
                <w:sz w:val="24"/>
                <w:szCs w:val="24"/>
                <w:highlight w:val="none"/>
              </w:rPr>
              <w:t>厂区内不设置食堂，不设置住宿</w:t>
            </w:r>
            <w:r>
              <w:rPr>
                <w:bCs/>
                <w:color w:val="auto"/>
                <w:sz w:val="24"/>
                <w:szCs w:val="24"/>
                <w:highlight w:val="none"/>
              </w:rPr>
              <w:t>。</w:t>
            </w:r>
          </w:p>
          <w:p w14:paraId="1DA249C1">
            <w:pPr>
              <w:numPr>
                <w:ilvl w:val="0"/>
                <w:numId w:val="0"/>
              </w:numPr>
              <w:adjustRightInd w:val="0"/>
              <w:snapToGrid w:val="0"/>
              <w:spacing w:line="360" w:lineRule="auto"/>
              <w:jc w:val="left"/>
              <w:rPr>
                <w:b/>
                <w:bCs/>
                <w:color w:val="auto"/>
                <w:sz w:val="24"/>
                <w:szCs w:val="24"/>
                <w:highlight w:val="none"/>
              </w:rPr>
            </w:pPr>
            <w:r>
              <w:rPr>
                <w:rFonts w:ascii="Times New Roman" w:hAnsi="Times New Roman" w:eastAsia="宋体" w:cs="Times New Roman"/>
                <w:b/>
                <w:bCs/>
                <w:color w:val="auto"/>
                <w:kern w:val="2"/>
                <w:sz w:val="24"/>
                <w:szCs w:val="24"/>
                <w:highlight w:val="none"/>
                <w:lang w:val="en-US" w:eastAsia="zh-CN" w:bidi="ar-SA"/>
              </w:rPr>
              <w:t>3、</w:t>
            </w:r>
            <w:r>
              <w:rPr>
                <w:b/>
                <w:bCs/>
                <w:color w:val="auto"/>
                <w:sz w:val="24"/>
                <w:szCs w:val="24"/>
                <w:highlight w:val="none"/>
              </w:rPr>
              <w:t>建设内容</w:t>
            </w:r>
          </w:p>
          <w:p w14:paraId="22DBB6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本项目租赁</w:t>
            </w:r>
            <w:r>
              <w:rPr>
                <w:rFonts w:hint="eastAsia" w:cs="Times New Roman"/>
                <w:i w:val="0"/>
                <w:iCs w:val="0"/>
                <w:caps w:val="0"/>
                <w:color w:val="auto"/>
                <w:spacing w:val="0"/>
                <w:sz w:val="24"/>
                <w:szCs w:val="24"/>
                <w:highlight w:val="none"/>
                <w:shd w:val="clear" w:color="auto" w:fill="FFFFFF"/>
                <w:lang w:val="en-US" w:eastAsia="zh-CN"/>
              </w:rPr>
              <w:t>苏州万松自动化工业有限公司</w:t>
            </w:r>
            <w:r>
              <w:rPr>
                <w:rFonts w:ascii="Times New Roman" w:hAnsi="Times New Roman" w:eastAsia="宋体" w:cs="Times New Roman"/>
                <w:color w:val="auto"/>
                <w:sz w:val="24"/>
                <w:szCs w:val="24"/>
                <w:highlight w:val="none"/>
              </w:rPr>
              <w:t>内已建标准厂房，</w:t>
            </w:r>
            <w:r>
              <w:rPr>
                <w:rFonts w:hint="eastAsia" w:cs="Times New Roman"/>
                <w:color w:val="auto"/>
                <w:sz w:val="24"/>
                <w:szCs w:val="24"/>
                <w:highlight w:val="none"/>
                <w:lang w:val="en-US" w:eastAsia="zh-CN"/>
              </w:rPr>
              <w:t>租赁</w:t>
            </w:r>
            <w:r>
              <w:rPr>
                <w:rFonts w:ascii="Times New Roman" w:hAnsi="Times New Roman" w:eastAsia="宋体" w:cs="Times New Roman"/>
                <w:color w:val="auto"/>
                <w:sz w:val="24"/>
                <w:szCs w:val="24"/>
                <w:highlight w:val="none"/>
              </w:rPr>
              <w:t>厂房分布情况见</w:t>
            </w:r>
            <w:r>
              <w:rPr>
                <w:rFonts w:hint="eastAsia" w:cs="Times New Roman"/>
                <w:color w:val="auto"/>
                <w:sz w:val="24"/>
                <w:szCs w:val="24"/>
                <w:highlight w:val="none"/>
                <w:lang w:val="en-US" w:eastAsia="zh-CN"/>
              </w:rPr>
              <w:t>下表</w:t>
            </w:r>
            <w:r>
              <w:rPr>
                <w:rFonts w:ascii="Times New Roman" w:hAnsi="Times New Roman" w:eastAsia="宋体" w:cs="Times New Roman"/>
                <w:color w:val="auto"/>
                <w:sz w:val="24"/>
                <w:szCs w:val="24"/>
                <w:highlight w:val="none"/>
              </w:rPr>
              <w:t>。</w:t>
            </w:r>
          </w:p>
          <w:p w14:paraId="2093328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本</w:t>
            </w:r>
            <w:r>
              <w:rPr>
                <w:rFonts w:hint="eastAsia" w:cs="Times New Roman"/>
                <w:b/>
                <w:bCs/>
                <w:color w:val="auto"/>
                <w:kern w:val="2"/>
                <w:sz w:val="24"/>
                <w:szCs w:val="24"/>
                <w:highlight w:val="none"/>
                <w:lang w:val="en-US" w:eastAsia="zh-CN" w:bidi="ar"/>
              </w:rPr>
              <w:t>项目第4幢</w:t>
            </w:r>
            <w:r>
              <w:rPr>
                <w:rFonts w:hint="default" w:ascii="Times New Roman" w:hAnsi="Times New Roman" w:eastAsia="宋体" w:cs="Times New Roman"/>
                <w:b/>
                <w:bCs/>
                <w:color w:val="auto"/>
                <w:kern w:val="2"/>
                <w:sz w:val="24"/>
                <w:szCs w:val="24"/>
                <w:highlight w:val="none"/>
                <w:lang w:val="en-US" w:eastAsia="zh-CN" w:bidi="ar"/>
              </w:rPr>
              <w:t>建筑物分布情况</w:t>
            </w:r>
          </w:p>
          <w:tbl>
            <w:tblPr>
              <w:tblStyle w:val="21"/>
              <w:tblW w:w="499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2061"/>
              <w:gridCol w:w="1424"/>
              <w:gridCol w:w="1261"/>
              <w:gridCol w:w="3113"/>
            </w:tblGrid>
            <w:tr w14:paraId="4B341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53" w:type="pct"/>
                  <w:tcBorders>
                    <w:tl2br w:val="nil"/>
                    <w:tr2bl w:val="nil"/>
                  </w:tcBorders>
                  <w:vAlign w:val="center"/>
                </w:tcPr>
                <w:p w14:paraId="2E1AC6E7">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建筑物名称</w:t>
                  </w:r>
                </w:p>
              </w:tc>
              <w:tc>
                <w:tcPr>
                  <w:tcW w:w="1113" w:type="pct"/>
                  <w:tcBorders>
                    <w:tl2br w:val="nil"/>
                    <w:tr2bl w:val="nil"/>
                  </w:tcBorders>
                  <w:vAlign w:val="center"/>
                </w:tcPr>
                <w:p w14:paraId="5BE25125">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租赁建筑面积（m</w:t>
                  </w:r>
                  <w:r>
                    <w:rPr>
                      <w:rFonts w:hint="default" w:ascii="Times New Roman" w:hAnsi="Times New Roman" w:eastAsia="仿宋" w:cs="Times New Roman"/>
                      <w:b/>
                      <w:bCs/>
                      <w:color w:val="auto"/>
                      <w:sz w:val="21"/>
                      <w:szCs w:val="21"/>
                      <w:highlight w:val="none"/>
                      <w:vertAlign w:val="superscript"/>
                      <w:lang w:val="en-US" w:eastAsia="zh-CN"/>
                    </w:rPr>
                    <w:t>2</w:t>
                  </w:r>
                  <w:r>
                    <w:rPr>
                      <w:rFonts w:hint="default" w:ascii="Times New Roman" w:hAnsi="Times New Roman" w:eastAsia="仿宋" w:cs="Times New Roman"/>
                      <w:b/>
                      <w:bCs/>
                      <w:color w:val="auto"/>
                      <w:sz w:val="21"/>
                      <w:szCs w:val="21"/>
                      <w:highlight w:val="none"/>
                      <w:vertAlign w:val="baseline"/>
                      <w:lang w:val="en-US" w:eastAsia="zh-CN"/>
                    </w:rPr>
                    <w:t>）</w:t>
                  </w:r>
                </w:p>
              </w:tc>
              <w:tc>
                <w:tcPr>
                  <w:tcW w:w="769" w:type="pct"/>
                  <w:tcBorders>
                    <w:tl2br w:val="nil"/>
                    <w:tr2bl w:val="nil"/>
                  </w:tcBorders>
                  <w:vAlign w:val="center"/>
                </w:tcPr>
                <w:p w14:paraId="4458D796">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建筑物层数</w:t>
                  </w:r>
                </w:p>
              </w:tc>
              <w:tc>
                <w:tcPr>
                  <w:tcW w:w="681" w:type="pct"/>
                  <w:tcBorders>
                    <w:tl2br w:val="nil"/>
                    <w:tr2bl w:val="nil"/>
                  </w:tcBorders>
                  <w:vAlign w:val="center"/>
                </w:tcPr>
                <w:p w14:paraId="5BF979D5">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建筑性质</w:t>
                  </w:r>
                </w:p>
              </w:tc>
              <w:tc>
                <w:tcPr>
                  <w:tcW w:w="1681" w:type="pct"/>
                  <w:tcBorders>
                    <w:tl2br w:val="nil"/>
                    <w:tr2bl w:val="nil"/>
                  </w:tcBorders>
                  <w:vAlign w:val="center"/>
                </w:tcPr>
                <w:p w14:paraId="4CAF86AA">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生产布局及功能用途</w:t>
                  </w:r>
                </w:p>
              </w:tc>
            </w:tr>
            <w:tr w14:paraId="5162C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53" w:type="pct"/>
                  <w:tcBorders>
                    <w:tl2br w:val="nil"/>
                    <w:tr2bl w:val="nil"/>
                  </w:tcBorders>
                  <w:vAlign w:val="center"/>
                </w:tcPr>
                <w:p w14:paraId="5EE8BDF1">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第</w:t>
                  </w:r>
                  <w:r>
                    <w:rPr>
                      <w:rFonts w:hint="eastAsia" w:ascii="Times New Roman" w:hAnsi="Times New Roman" w:eastAsia="仿宋" w:cs="Times New Roman"/>
                      <w:b w:val="0"/>
                      <w:bCs w:val="0"/>
                      <w:color w:val="auto"/>
                      <w:sz w:val="21"/>
                      <w:szCs w:val="21"/>
                      <w:highlight w:val="none"/>
                      <w:vertAlign w:val="baseline"/>
                      <w:lang w:val="en-US" w:eastAsia="zh-CN"/>
                    </w:rPr>
                    <w:t>4</w:t>
                  </w:r>
                  <w:r>
                    <w:rPr>
                      <w:rFonts w:hint="eastAsia" w:eastAsia="仿宋" w:cs="Times New Roman"/>
                      <w:b w:val="0"/>
                      <w:bCs w:val="0"/>
                      <w:color w:val="auto"/>
                      <w:sz w:val="21"/>
                      <w:szCs w:val="21"/>
                      <w:highlight w:val="none"/>
                      <w:vertAlign w:val="baseline"/>
                      <w:lang w:val="en-US" w:eastAsia="zh-CN"/>
                    </w:rPr>
                    <w:t>幢</w:t>
                  </w:r>
                </w:p>
              </w:tc>
              <w:tc>
                <w:tcPr>
                  <w:tcW w:w="1113" w:type="pct"/>
                  <w:tcBorders>
                    <w:tl2br w:val="nil"/>
                    <w:tr2bl w:val="nil"/>
                  </w:tcBorders>
                  <w:vAlign w:val="center"/>
                </w:tcPr>
                <w:p w14:paraId="61923D6F">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4000</w:t>
                  </w:r>
                </w:p>
              </w:tc>
              <w:tc>
                <w:tcPr>
                  <w:tcW w:w="769" w:type="pct"/>
                  <w:tcBorders>
                    <w:tl2br w:val="nil"/>
                    <w:tr2bl w:val="nil"/>
                  </w:tcBorders>
                  <w:vAlign w:val="center"/>
                </w:tcPr>
                <w:p w14:paraId="6CA46181">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ascii="Times New Roman" w:hAnsi="Times New Roman" w:eastAsia="仿宋" w:cs="Times New Roman"/>
                      <w:b w:val="0"/>
                      <w:bCs w:val="0"/>
                      <w:color w:val="auto"/>
                      <w:sz w:val="21"/>
                      <w:szCs w:val="21"/>
                      <w:highlight w:val="none"/>
                      <w:vertAlign w:val="baseline"/>
                      <w:lang w:val="en-US" w:eastAsia="zh-CN"/>
                    </w:rPr>
                    <w:t>3</w:t>
                  </w:r>
                </w:p>
              </w:tc>
              <w:tc>
                <w:tcPr>
                  <w:tcW w:w="681" w:type="pct"/>
                  <w:tcBorders>
                    <w:tl2br w:val="nil"/>
                    <w:tr2bl w:val="nil"/>
                  </w:tcBorders>
                  <w:vAlign w:val="center"/>
                </w:tcPr>
                <w:p w14:paraId="67E9F41A">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工业厂房</w:t>
                  </w:r>
                </w:p>
              </w:tc>
              <w:tc>
                <w:tcPr>
                  <w:tcW w:w="1681" w:type="pct"/>
                  <w:tcBorders>
                    <w:tl2br w:val="nil"/>
                    <w:tr2bl w:val="nil"/>
                  </w:tcBorders>
                  <w:vAlign w:val="center"/>
                </w:tcPr>
                <w:p w14:paraId="64B8D91C">
                  <w:pPr>
                    <w:keepNext w:val="0"/>
                    <w:keepLines w:val="0"/>
                    <w:pageBreakBefore w:val="0"/>
                    <w:widowControl w:val="0"/>
                    <w:numPr>
                      <w:ilvl w:val="-1"/>
                      <w:numId w:val="0"/>
                    </w:numPr>
                    <w:tabs>
                      <w:tab w:val="left" w:pos="0"/>
                    </w:tabs>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1</w:t>
                  </w:r>
                  <w:r>
                    <w:rPr>
                      <w:rFonts w:hint="eastAsia" w:eastAsia="仿宋" w:cs="Times New Roman"/>
                      <w:b w:val="0"/>
                      <w:bCs w:val="0"/>
                      <w:color w:val="auto"/>
                      <w:sz w:val="21"/>
                      <w:szCs w:val="21"/>
                      <w:highlight w:val="none"/>
                      <w:vertAlign w:val="baseline"/>
                      <w:lang w:val="en-US" w:eastAsia="zh-CN"/>
                    </w:rPr>
                    <w:t>层为</w:t>
                  </w:r>
                  <w:r>
                    <w:rPr>
                      <w:rFonts w:hint="eastAsia" w:ascii="Times New Roman" w:hAnsi="Times New Roman" w:eastAsia="仿宋" w:cs="Times New Roman"/>
                      <w:b w:val="0"/>
                      <w:bCs w:val="0"/>
                      <w:color w:val="auto"/>
                      <w:sz w:val="21"/>
                      <w:szCs w:val="21"/>
                      <w:highlight w:val="none"/>
                      <w:vertAlign w:val="baseline"/>
                      <w:lang w:val="en-US" w:eastAsia="zh-CN"/>
                    </w:rPr>
                    <w:t>本项目租赁区域</w:t>
                  </w:r>
                  <w:r>
                    <w:rPr>
                      <w:rFonts w:hint="eastAsia" w:ascii="Times New Roman" w:hAnsi="Times New Roman" w:eastAsia="仿宋" w:cs="Times New Roman"/>
                      <w:color w:val="auto"/>
                      <w:kern w:val="2"/>
                      <w:sz w:val="21"/>
                      <w:szCs w:val="21"/>
                      <w:vertAlign w:val="baseline"/>
                      <w:lang w:val="en-US" w:eastAsia="zh-CN" w:bidi="ar-SA"/>
                    </w:rPr>
                    <w:t>；</w:t>
                  </w:r>
                  <w:r>
                    <w:rPr>
                      <w:rFonts w:hint="default" w:ascii="Times New Roman" w:hAnsi="Times New Roman" w:eastAsia="仿宋" w:cs="Times New Roman"/>
                      <w:color w:val="auto"/>
                      <w:kern w:val="2"/>
                      <w:sz w:val="21"/>
                      <w:szCs w:val="21"/>
                      <w:vertAlign w:val="baseline"/>
                      <w:lang w:val="en-US" w:eastAsia="zh-CN" w:bidi="ar-SA"/>
                    </w:rPr>
                    <w:t>2层</w:t>
                  </w:r>
                  <w:r>
                    <w:rPr>
                      <w:rFonts w:hint="eastAsia" w:ascii="Times New Roman" w:hAnsi="Times New Roman" w:eastAsia="仿宋" w:cs="Times New Roman"/>
                      <w:color w:val="auto"/>
                      <w:kern w:val="2"/>
                      <w:sz w:val="21"/>
                      <w:szCs w:val="21"/>
                      <w:vertAlign w:val="baseline"/>
                      <w:lang w:val="en-US" w:eastAsia="zh-CN" w:bidi="ar-SA"/>
                    </w:rPr>
                    <w:t>和</w:t>
                  </w:r>
                  <w:r>
                    <w:rPr>
                      <w:rFonts w:hint="default" w:ascii="Times New Roman" w:hAnsi="Times New Roman" w:eastAsia="仿宋" w:cs="Times New Roman"/>
                      <w:color w:val="auto"/>
                      <w:kern w:val="2"/>
                      <w:sz w:val="21"/>
                      <w:szCs w:val="21"/>
                      <w:vertAlign w:val="baseline"/>
                      <w:lang w:val="en-US" w:eastAsia="zh-CN" w:bidi="ar-SA"/>
                    </w:rPr>
                    <w:t>3层</w:t>
                  </w:r>
                  <w:r>
                    <w:rPr>
                      <w:rFonts w:hint="eastAsia" w:ascii="Times New Roman" w:hAnsi="Times New Roman" w:eastAsia="仿宋" w:cs="Times New Roman"/>
                      <w:color w:val="auto"/>
                      <w:kern w:val="2"/>
                      <w:sz w:val="21"/>
                      <w:szCs w:val="21"/>
                      <w:vertAlign w:val="baseline"/>
                      <w:lang w:val="en-US" w:eastAsia="zh-CN" w:bidi="ar-SA"/>
                    </w:rPr>
                    <w:t>为空闲仓库</w:t>
                  </w:r>
                </w:p>
              </w:tc>
            </w:tr>
          </w:tbl>
          <w:p w14:paraId="75F42AE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项目建设内容</w:t>
            </w:r>
          </w:p>
          <w:tbl>
            <w:tblPr>
              <w:tblStyle w:val="20"/>
              <w:tblW w:w="4996"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48"/>
              <w:gridCol w:w="1075"/>
              <w:gridCol w:w="2369"/>
              <w:gridCol w:w="2988"/>
              <w:gridCol w:w="1490"/>
            </w:tblGrid>
            <w:tr w14:paraId="28E15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restart"/>
                  <w:tcBorders>
                    <w:tl2br w:val="nil"/>
                    <w:tr2bl w:val="nil"/>
                  </w:tcBorders>
                  <w:vAlign w:val="center"/>
                </w:tcPr>
                <w:p w14:paraId="331DFBA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类别</w:t>
                  </w:r>
                </w:p>
              </w:tc>
              <w:tc>
                <w:tcPr>
                  <w:tcW w:w="931" w:type="pct"/>
                  <w:gridSpan w:val="2"/>
                  <w:vMerge w:val="restart"/>
                  <w:tcBorders>
                    <w:tl2br w:val="nil"/>
                    <w:tr2bl w:val="nil"/>
                  </w:tcBorders>
                  <w:vAlign w:val="center"/>
                </w:tcPr>
                <w:p w14:paraId="204C816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工程名称</w:t>
                  </w:r>
                </w:p>
              </w:tc>
              <w:tc>
                <w:tcPr>
                  <w:tcW w:w="2894" w:type="pct"/>
                  <w:gridSpan w:val="2"/>
                  <w:tcBorders>
                    <w:tl2br w:val="nil"/>
                    <w:tr2bl w:val="nil"/>
                  </w:tcBorders>
                  <w:vAlign w:val="center"/>
                </w:tcPr>
                <w:p w14:paraId="22BB536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主要建设内容</w:t>
                  </w:r>
                </w:p>
              </w:tc>
              <w:tc>
                <w:tcPr>
                  <w:tcW w:w="805" w:type="pct"/>
                  <w:vMerge w:val="restart"/>
                  <w:tcBorders>
                    <w:tl2br w:val="nil"/>
                    <w:tr2bl w:val="nil"/>
                  </w:tcBorders>
                  <w:vAlign w:val="center"/>
                </w:tcPr>
                <w:p w14:paraId="3CE528E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备注</w:t>
                  </w:r>
                </w:p>
              </w:tc>
            </w:tr>
            <w:tr w14:paraId="22DFD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0DA497E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p>
              </w:tc>
              <w:tc>
                <w:tcPr>
                  <w:tcW w:w="931" w:type="pct"/>
                  <w:gridSpan w:val="2"/>
                  <w:vMerge w:val="continue"/>
                  <w:tcBorders>
                    <w:tl2br w:val="nil"/>
                    <w:tr2bl w:val="nil"/>
                  </w:tcBorders>
                  <w:vAlign w:val="center"/>
                </w:tcPr>
                <w:p w14:paraId="7F26838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p>
              </w:tc>
              <w:tc>
                <w:tcPr>
                  <w:tcW w:w="1280" w:type="pct"/>
                  <w:tcBorders>
                    <w:tl2br w:val="nil"/>
                    <w:tr2bl w:val="nil"/>
                  </w:tcBorders>
                  <w:vAlign w:val="center"/>
                </w:tcPr>
                <w:p w14:paraId="551B74D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扩建前</w:t>
                  </w:r>
                </w:p>
              </w:tc>
              <w:tc>
                <w:tcPr>
                  <w:tcW w:w="1614" w:type="pct"/>
                  <w:tcBorders>
                    <w:tl2br w:val="nil"/>
                    <w:tr2bl w:val="nil"/>
                  </w:tcBorders>
                  <w:vAlign w:val="center"/>
                </w:tcPr>
                <w:p w14:paraId="1B2F15C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扩建后</w:t>
                  </w:r>
                </w:p>
              </w:tc>
              <w:tc>
                <w:tcPr>
                  <w:tcW w:w="805" w:type="pct"/>
                  <w:vMerge w:val="continue"/>
                  <w:tcBorders>
                    <w:tl2br w:val="nil"/>
                    <w:tr2bl w:val="nil"/>
                  </w:tcBorders>
                  <w:vAlign w:val="center"/>
                </w:tcPr>
                <w:p w14:paraId="2A08C1C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b/>
                      <w:color w:val="auto"/>
                      <w:sz w:val="21"/>
                      <w:szCs w:val="21"/>
                      <w:highlight w:val="none"/>
                      <w:lang w:val="en-US" w:eastAsia="zh-CN"/>
                    </w:rPr>
                  </w:pPr>
                </w:p>
              </w:tc>
            </w:tr>
            <w:tr w14:paraId="5FE26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00" w:type="pct"/>
                  <w:gridSpan w:val="3"/>
                  <w:tcBorders>
                    <w:tl2br w:val="nil"/>
                    <w:tr2bl w:val="nil"/>
                  </w:tcBorders>
                  <w:vAlign w:val="center"/>
                </w:tcPr>
                <w:p w14:paraId="4308D64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总租赁面积</w:t>
                  </w:r>
                </w:p>
              </w:tc>
              <w:tc>
                <w:tcPr>
                  <w:tcW w:w="1280" w:type="pct"/>
                  <w:tcBorders>
                    <w:tl2br w:val="nil"/>
                    <w:tr2bl w:val="nil"/>
                  </w:tcBorders>
                  <w:vAlign w:val="center"/>
                </w:tcPr>
                <w:p w14:paraId="19689BE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建筑面积4200m</w:t>
                  </w:r>
                  <w:r>
                    <w:rPr>
                      <w:rFonts w:hint="eastAsia" w:eastAsia="仿宋" w:cs="Times New Roman"/>
                      <w:color w:val="auto"/>
                      <w:sz w:val="21"/>
                      <w:szCs w:val="21"/>
                      <w:highlight w:val="none"/>
                      <w:vertAlign w:val="superscript"/>
                      <w:lang w:val="en-US" w:eastAsia="zh-CN"/>
                    </w:rPr>
                    <w:t>2</w:t>
                  </w:r>
                </w:p>
              </w:tc>
              <w:tc>
                <w:tcPr>
                  <w:tcW w:w="1614" w:type="pct"/>
                  <w:tcBorders>
                    <w:tl2br w:val="nil"/>
                    <w:tr2bl w:val="nil"/>
                  </w:tcBorders>
                  <w:vAlign w:val="center"/>
                </w:tcPr>
                <w:p w14:paraId="1856A78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建筑面积4000m</w:t>
                  </w:r>
                  <w:r>
                    <w:rPr>
                      <w:rFonts w:hint="eastAsia" w:eastAsia="仿宋" w:cs="Times New Roman"/>
                      <w:color w:val="auto"/>
                      <w:sz w:val="21"/>
                      <w:szCs w:val="21"/>
                      <w:highlight w:val="none"/>
                      <w:vertAlign w:val="superscript"/>
                      <w:lang w:val="en-US" w:eastAsia="zh-CN"/>
                    </w:rPr>
                    <w:t>2</w:t>
                  </w:r>
                </w:p>
              </w:tc>
              <w:tc>
                <w:tcPr>
                  <w:tcW w:w="805" w:type="pct"/>
                  <w:tcBorders>
                    <w:tl2br w:val="nil"/>
                    <w:tr2bl w:val="nil"/>
                  </w:tcBorders>
                  <w:vAlign w:val="center"/>
                </w:tcPr>
                <w:p w14:paraId="7D559CA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原公共使用面积（办公室、厕所等）260m</w:t>
                  </w:r>
                  <w:r>
                    <w:rPr>
                      <w:rFonts w:hint="eastAsia" w:eastAsia="仿宋" w:cs="Times New Roman"/>
                      <w:color w:val="auto"/>
                      <w:sz w:val="21"/>
                      <w:szCs w:val="21"/>
                      <w:highlight w:val="none"/>
                      <w:vertAlign w:val="superscript"/>
                      <w:lang w:val="en-US" w:eastAsia="zh-CN"/>
                    </w:rPr>
                    <w:t>2</w:t>
                  </w:r>
                  <w:r>
                    <w:rPr>
                      <w:rFonts w:hint="eastAsia" w:eastAsia="仿宋" w:cs="Times New Roman"/>
                      <w:color w:val="auto"/>
                      <w:sz w:val="21"/>
                      <w:szCs w:val="21"/>
                      <w:highlight w:val="none"/>
                      <w:lang w:val="en-US" w:eastAsia="zh-CN"/>
                    </w:rPr>
                    <w:t>本次不计入租赁</w:t>
                  </w:r>
                </w:p>
              </w:tc>
            </w:tr>
            <w:tr w14:paraId="4316E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tcBorders>
                    <w:tl2br w:val="nil"/>
                    <w:tr2bl w:val="nil"/>
                  </w:tcBorders>
                  <w:vAlign w:val="center"/>
                </w:tcPr>
                <w:p w14:paraId="48354F4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主体工程</w:t>
                  </w:r>
                </w:p>
              </w:tc>
              <w:tc>
                <w:tcPr>
                  <w:tcW w:w="931" w:type="pct"/>
                  <w:gridSpan w:val="2"/>
                  <w:tcBorders>
                    <w:tl2br w:val="nil"/>
                    <w:tr2bl w:val="nil"/>
                  </w:tcBorders>
                  <w:vAlign w:val="center"/>
                </w:tcPr>
                <w:p w14:paraId="74476A1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生产车间</w:t>
                  </w:r>
                </w:p>
              </w:tc>
              <w:tc>
                <w:tcPr>
                  <w:tcW w:w="1280" w:type="pct"/>
                  <w:tcBorders>
                    <w:tl2br w:val="nil"/>
                    <w:tr2bl w:val="nil"/>
                  </w:tcBorders>
                  <w:vAlign w:val="center"/>
                </w:tcPr>
                <w:p w14:paraId="0E3CB39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3800m</w:t>
                  </w:r>
                  <w:r>
                    <w:rPr>
                      <w:rFonts w:hint="eastAsia" w:eastAsia="仿宋" w:cs="Times New Roman"/>
                      <w:color w:val="auto"/>
                      <w:sz w:val="21"/>
                      <w:szCs w:val="21"/>
                      <w:highlight w:val="none"/>
                      <w:vertAlign w:val="superscript"/>
                      <w:lang w:val="en-US" w:eastAsia="zh-CN"/>
                    </w:rPr>
                    <w:t>2</w:t>
                  </w:r>
                </w:p>
              </w:tc>
              <w:tc>
                <w:tcPr>
                  <w:tcW w:w="1614" w:type="pct"/>
                  <w:tcBorders>
                    <w:tl2br w:val="nil"/>
                    <w:tr2bl w:val="nil"/>
                  </w:tcBorders>
                  <w:vAlign w:val="center"/>
                </w:tcPr>
                <w:p w14:paraId="4F5E178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vertAlign w:val="superscript"/>
                      <w:lang w:val="en-US" w:eastAsia="zh-CN"/>
                    </w:rPr>
                  </w:pPr>
                  <w:r>
                    <w:rPr>
                      <w:rFonts w:hint="eastAsia" w:eastAsia="仿宋" w:cs="Times New Roman"/>
                      <w:color w:val="auto"/>
                      <w:sz w:val="21"/>
                      <w:szCs w:val="21"/>
                      <w:highlight w:val="none"/>
                      <w:lang w:val="en-US" w:eastAsia="zh-CN"/>
                    </w:rPr>
                    <w:t>3800m</w:t>
                  </w:r>
                  <w:r>
                    <w:rPr>
                      <w:rFonts w:hint="eastAsia" w:eastAsia="仿宋" w:cs="Times New Roman"/>
                      <w:color w:val="auto"/>
                      <w:sz w:val="21"/>
                      <w:szCs w:val="21"/>
                      <w:highlight w:val="none"/>
                      <w:vertAlign w:val="superscript"/>
                      <w:lang w:val="en-US" w:eastAsia="zh-CN"/>
                    </w:rPr>
                    <w:t>2</w:t>
                  </w:r>
                </w:p>
              </w:tc>
              <w:tc>
                <w:tcPr>
                  <w:tcW w:w="805" w:type="pct"/>
                  <w:tcBorders>
                    <w:tl2br w:val="nil"/>
                    <w:tr2bl w:val="nil"/>
                  </w:tcBorders>
                  <w:vAlign w:val="center"/>
                </w:tcPr>
                <w:p w14:paraId="29E9E4E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依托现有，包含办原料仓库、一般工业固废暂存间、化学品仓库、成品仓库、生产车间</w:t>
                  </w:r>
                </w:p>
              </w:tc>
            </w:tr>
            <w:tr w14:paraId="24D32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tcBorders>
                    <w:tl2br w:val="nil"/>
                    <w:tr2bl w:val="nil"/>
                  </w:tcBorders>
                  <w:vAlign w:val="center"/>
                </w:tcPr>
                <w:p w14:paraId="069A696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辅助工程</w:t>
                  </w:r>
                </w:p>
              </w:tc>
              <w:tc>
                <w:tcPr>
                  <w:tcW w:w="931" w:type="pct"/>
                  <w:gridSpan w:val="2"/>
                  <w:tcBorders>
                    <w:tl2br w:val="nil"/>
                    <w:tr2bl w:val="nil"/>
                  </w:tcBorders>
                  <w:vAlign w:val="center"/>
                </w:tcPr>
                <w:p w14:paraId="6CC9DE1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办公室等</w:t>
                  </w:r>
                </w:p>
              </w:tc>
              <w:tc>
                <w:tcPr>
                  <w:tcW w:w="1280" w:type="pct"/>
                  <w:tcBorders>
                    <w:tl2br w:val="nil"/>
                    <w:tr2bl w:val="nil"/>
                  </w:tcBorders>
                  <w:vAlign w:val="center"/>
                </w:tcPr>
                <w:p w14:paraId="175A2479">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sz w:val="21"/>
                      <w:szCs w:val="21"/>
                      <w:highlight w:val="none"/>
                      <w:lang w:val="en-US" w:eastAsia="zh-CN"/>
                    </w:rPr>
                    <w:t>360m</w:t>
                  </w:r>
                  <w:r>
                    <w:rPr>
                      <w:rFonts w:hint="eastAsia" w:eastAsia="仿宋" w:cs="Times New Roman"/>
                      <w:color w:val="auto"/>
                      <w:sz w:val="21"/>
                      <w:szCs w:val="21"/>
                      <w:highlight w:val="none"/>
                      <w:vertAlign w:val="superscript"/>
                      <w:lang w:val="en-US" w:eastAsia="zh-CN"/>
                    </w:rPr>
                    <w:t>2</w:t>
                  </w:r>
                </w:p>
              </w:tc>
              <w:tc>
                <w:tcPr>
                  <w:tcW w:w="1614" w:type="pct"/>
                  <w:tcBorders>
                    <w:tl2br w:val="nil"/>
                    <w:tr2bl w:val="nil"/>
                  </w:tcBorders>
                  <w:vAlign w:val="center"/>
                </w:tcPr>
                <w:p w14:paraId="656CB2D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100m</w:t>
                  </w:r>
                  <w:r>
                    <w:rPr>
                      <w:rFonts w:hint="eastAsia" w:eastAsia="仿宋" w:cs="Times New Roman"/>
                      <w:color w:val="auto"/>
                      <w:sz w:val="21"/>
                      <w:szCs w:val="21"/>
                      <w:highlight w:val="none"/>
                      <w:vertAlign w:val="superscript"/>
                      <w:lang w:val="en-US" w:eastAsia="zh-CN"/>
                    </w:rPr>
                    <w:t>2</w:t>
                  </w:r>
                </w:p>
              </w:tc>
              <w:tc>
                <w:tcPr>
                  <w:tcW w:w="805" w:type="pct"/>
                  <w:tcBorders>
                    <w:tl2br w:val="nil"/>
                    <w:tr2bl w:val="nil"/>
                  </w:tcBorders>
                  <w:vAlign w:val="center"/>
                </w:tcPr>
                <w:p w14:paraId="0349A54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r>
                    <w:rPr>
                      <w:rFonts w:hint="eastAsia" w:eastAsia="仿宋" w:cs="Times New Roman"/>
                      <w:color w:val="auto"/>
                      <w:sz w:val="21"/>
                      <w:szCs w:val="21"/>
                      <w:highlight w:val="none"/>
                      <w:lang w:val="en-US" w:eastAsia="zh-CN"/>
                    </w:rPr>
                    <w:t>原公共使用面积（办公室、厕所等）260m</w:t>
                  </w:r>
                  <w:r>
                    <w:rPr>
                      <w:rFonts w:hint="eastAsia" w:eastAsia="仿宋" w:cs="Times New Roman"/>
                      <w:color w:val="auto"/>
                      <w:sz w:val="21"/>
                      <w:szCs w:val="21"/>
                      <w:highlight w:val="none"/>
                      <w:vertAlign w:val="superscript"/>
                      <w:lang w:val="en-US" w:eastAsia="zh-CN"/>
                    </w:rPr>
                    <w:t>2</w:t>
                  </w:r>
                  <w:r>
                    <w:rPr>
                      <w:rFonts w:hint="eastAsia" w:eastAsia="仿宋" w:cs="Times New Roman"/>
                      <w:color w:val="auto"/>
                      <w:sz w:val="21"/>
                      <w:szCs w:val="21"/>
                      <w:highlight w:val="none"/>
                      <w:lang w:val="en-US" w:eastAsia="zh-CN"/>
                    </w:rPr>
                    <w:t>本次不计入租赁</w:t>
                  </w:r>
                </w:p>
              </w:tc>
            </w:tr>
            <w:tr w14:paraId="7C2EB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restart"/>
                  <w:tcBorders>
                    <w:tl2br w:val="nil"/>
                    <w:tr2bl w:val="nil"/>
                  </w:tcBorders>
                  <w:vAlign w:val="center"/>
                </w:tcPr>
                <w:p w14:paraId="4B25EC8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储运工程</w:t>
                  </w:r>
                </w:p>
              </w:tc>
              <w:tc>
                <w:tcPr>
                  <w:tcW w:w="931" w:type="pct"/>
                  <w:gridSpan w:val="2"/>
                  <w:tcBorders>
                    <w:tl2br w:val="nil"/>
                    <w:tr2bl w:val="nil"/>
                  </w:tcBorders>
                  <w:shd w:val="clear" w:color="auto" w:fill="auto"/>
                  <w:vAlign w:val="center"/>
                </w:tcPr>
                <w:p w14:paraId="08EF129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原料仓库</w:t>
                  </w:r>
                </w:p>
              </w:tc>
              <w:tc>
                <w:tcPr>
                  <w:tcW w:w="1280" w:type="pct"/>
                  <w:tcBorders>
                    <w:tl2br w:val="nil"/>
                    <w:tr2bl w:val="nil"/>
                  </w:tcBorders>
                  <w:shd w:val="clear" w:color="auto" w:fill="auto"/>
                  <w:vAlign w:val="center"/>
                </w:tcPr>
                <w:p w14:paraId="56A8084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1614" w:type="pct"/>
                  <w:tcBorders>
                    <w:tl2br w:val="nil"/>
                    <w:tr2bl w:val="nil"/>
                  </w:tcBorders>
                  <w:shd w:val="clear" w:color="auto" w:fill="auto"/>
                  <w:vAlign w:val="center"/>
                </w:tcPr>
                <w:p w14:paraId="07F82E2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lang w:val="en-US" w:eastAsia="zh-CN"/>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805" w:type="pct"/>
                  <w:tcBorders>
                    <w:tl2br w:val="nil"/>
                    <w:tr2bl w:val="nil"/>
                  </w:tcBorders>
                  <w:vAlign w:val="center"/>
                </w:tcPr>
                <w:p w14:paraId="5C66564C">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p>
              </w:tc>
            </w:tr>
            <w:tr w14:paraId="7E7C4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007D1F2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shd w:val="clear" w:color="auto" w:fill="auto"/>
                  <w:vAlign w:val="center"/>
                </w:tcPr>
                <w:p w14:paraId="500312D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危废仓库</w:t>
                  </w:r>
                </w:p>
              </w:tc>
              <w:tc>
                <w:tcPr>
                  <w:tcW w:w="1280" w:type="pct"/>
                  <w:tcBorders>
                    <w:tl2br w:val="nil"/>
                    <w:tr2bl w:val="nil"/>
                  </w:tcBorders>
                  <w:shd w:val="clear" w:color="auto" w:fill="auto"/>
                  <w:vAlign w:val="center"/>
                </w:tcPr>
                <w:p w14:paraId="41D5F1D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40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1614" w:type="pct"/>
                  <w:tcBorders>
                    <w:tl2br w:val="nil"/>
                    <w:tr2bl w:val="nil"/>
                  </w:tcBorders>
                  <w:shd w:val="clear" w:color="auto" w:fill="auto"/>
                  <w:vAlign w:val="center"/>
                </w:tcPr>
                <w:p w14:paraId="78601B8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highlight w:val="none"/>
                      <w:lang w:val="en-US" w:eastAsia="zh-CN"/>
                    </w:rPr>
                    <w:t>1</w:t>
                  </w:r>
                  <w:r>
                    <w:rPr>
                      <w:rFonts w:hint="eastAsia" w:eastAsia="仿宋" w:cs="Times New Roman"/>
                      <w:color w:val="auto"/>
                      <w:highlight w:val="none"/>
                      <w:lang w:val="en-US" w:eastAsia="zh-CN"/>
                    </w:rPr>
                    <w:t>00</w:t>
                  </w:r>
                  <w:r>
                    <w:rPr>
                      <w:rFonts w:hint="default" w:ascii="Times New Roman" w:hAnsi="Times New Roman" w:eastAsia="仿宋" w:cs="Times New Roman"/>
                      <w:color w:val="auto"/>
                      <w:highlight w:val="none"/>
                      <w:lang w:val="en-US" w:eastAsia="zh-CN"/>
                    </w:rPr>
                    <w:t>m</w:t>
                  </w:r>
                  <w:r>
                    <w:rPr>
                      <w:rFonts w:hint="default" w:ascii="Times New Roman" w:hAnsi="Times New Roman" w:eastAsia="仿宋" w:cs="Times New Roman"/>
                      <w:color w:val="auto"/>
                      <w:highlight w:val="none"/>
                      <w:vertAlign w:val="superscript"/>
                      <w:lang w:val="en-US" w:eastAsia="zh-CN"/>
                    </w:rPr>
                    <w:t>2</w:t>
                  </w:r>
                </w:p>
              </w:tc>
              <w:tc>
                <w:tcPr>
                  <w:tcW w:w="805" w:type="pct"/>
                  <w:tcBorders>
                    <w:tl2br w:val="nil"/>
                    <w:tr2bl w:val="nil"/>
                  </w:tcBorders>
                  <w:vAlign w:val="center"/>
                </w:tcPr>
                <w:p w14:paraId="15079F57">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危废仓库租赁面积增加</w:t>
                  </w:r>
                </w:p>
              </w:tc>
            </w:tr>
            <w:tr w14:paraId="6F1D0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4E43283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shd w:val="clear" w:color="auto" w:fill="auto"/>
                  <w:vAlign w:val="center"/>
                </w:tcPr>
                <w:p w14:paraId="367BAA9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zh-TW" w:eastAsia="zh-TW"/>
                    </w:rPr>
                    <w:t>一般工业固废</w:t>
                  </w:r>
                  <w:r>
                    <w:rPr>
                      <w:rFonts w:hint="eastAsia" w:eastAsia="仿宋" w:cs="Times New Roman"/>
                      <w:color w:val="auto"/>
                      <w:sz w:val="21"/>
                      <w:szCs w:val="21"/>
                      <w:highlight w:val="none"/>
                      <w:lang w:val="en-US" w:eastAsia="zh-CN"/>
                    </w:rPr>
                    <w:t>暂存间</w:t>
                  </w:r>
                </w:p>
              </w:tc>
              <w:tc>
                <w:tcPr>
                  <w:tcW w:w="1280" w:type="pct"/>
                  <w:tcBorders>
                    <w:tl2br w:val="nil"/>
                    <w:tr2bl w:val="nil"/>
                  </w:tcBorders>
                  <w:shd w:val="clear" w:color="auto" w:fill="auto"/>
                  <w:vAlign w:val="center"/>
                </w:tcPr>
                <w:p w14:paraId="18EED51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10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1614" w:type="pct"/>
                  <w:tcBorders>
                    <w:tl2br w:val="nil"/>
                    <w:tr2bl w:val="nil"/>
                  </w:tcBorders>
                  <w:shd w:val="clear" w:color="auto" w:fill="auto"/>
                  <w:vAlign w:val="center"/>
                </w:tcPr>
                <w:p w14:paraId="58F7861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lang w:val="en-US" w:eastAsia="zh-CN"/>
                    </w:rPr>
                    <w:t>10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805" w:type="pct"/>
                  <w:tcBorders>
                    <w:tl2br w:val="nil"/>
                    <w:tr2bl w:val="nil"/>
                  </w:tcBorders>
                  <w:vAlign w:val="center"/>
                </w:tcPr>
                <w:p w14:paraId="55CE6316">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p>
              </w:tc>
            </w:tr>
            <w:tr w14:paraId="6E986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34C30E7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shd w:val="clear" w:color="auto" w:fill="auto"/>
                  <w:vAlign w:val="center"/>
                </w:tcPr>
                <w:p w14:paraId="0B445E9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化学品仓库</w:t>
                  </w:r>
                </w:p>
              </w:tc>
              <w:tc>
                <w:tcPr>
                  <w:tcW w:w="1280" w:type="pct"/>
                  <w:tcBorders>
                    <w:tl2br w:val="nil"/>
                    <w:tr2bl w:val="nil"/>
                  </w:tcBorders>
                  <w:shd w:val="clear" w:color="auto" w:fill="auto"/>
                  <w:vAlign w:val="center"/>
                </w:tcPr>
                <w:p w14:paraId="1BAF631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lang w:val="en-US" w:eastAsia="zh-CN"/>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1614" w:type="pct"/>
                  <w:tcBorders>
                    <w:tl2br w:val="nil"/>
                    <w:tr2bl w:val="nil"/>
                  </w:tcBorders>
                  <w:shd w:val="clear" w:color="auto" w:fill="auto"/>
                  <w:vAlign w:val="center"/>
                </w:tcPr>
                <w:p w14:paraId="64B71079">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lang w:val="en-US" w:eastAsia="zh-CN"/>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805" w:type="pct"/>
                  <w:tcBorders>
                    <w:tl2br w:val="nil"/>
                    <w:tr2bl w:val="nil"/>
                  </w:tcBorders>
                  <w:vAlign w:val="center"/>
                </w:tcPr>
                <w:p w14:paraId="28546ACE">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p>
              </w:tc>
            </w:tr>
            <w:tr w14:paraId="276E0BC4">
              <w:tblPrEx>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5939DD1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shd w:val="clear" w:color="auto" w:fill="auto"/>
                  <w:vAlign w:val="center"/>
                </w:tcPr>
                <w:p w14:paraId="1469819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成品</w:t>
                  </w:r>
                  <w:r>
                    <w:rPr>
                      <w:rFonts w:hint="default" w:ascii="Times New Roman" w:hAnsi="Times New Roman" w:eastAsia="仿宋" w:cs="Times New Roman"/>
                      <w:color w:val="auto"/>
                      <w:sz w:val="21"/>
                      <w:szCs w:val="21"/>
                      <w:highlight w:val="none"/>
                      <w:lang w:val="en-US" w:eastAsia="zh-CN"/>
                    </w:rPr>
                    <w:t>仓库</w:t>
                  </w:r>
                </w:p>
              </w:tc>
              <w:tc>
                <w:tcPr>
                  <w:tcW w:w="1280" w:type="pct"/>
                  <w:tcBorders>
                    <w:tl2br w:val="nil"/>
                    <w:tr2bl w:val="nil"/>
                  </w:tcBorders>
                  <w:shd w:val="clear" w:color="auto" w:fill="auto"/>
                  <w:vAlign w:val="center"/>
                </w:tcPr>
                <w:p w14:paraId="391E0B3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1614" w:type="pct"/>
                  <w:tcBorders>
                    <w:tl2br w:val="nil"/>
                    <w:tr2bl w:val="nil"/>
                  </w:tcBorders>
                  <w:shd w:val="clear" w:color="auto" w:fill="auto"/>
                  <w:vAlign w:val="center"/>
                </w:tcPr>
                <w:p w14:paraId="44DA95E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20</w:t>
                  </w:r>
                  <w:r>
                    <w:rPr>
                      <w:rFonts w:hint="default" w:ascii="Times New Roman" w:hAnsi="Times New Roman" w:eastAsia="仿宋" w:cs="Times New Roman"/>
                      <w:color w:val="auto"/>
                      <w:lang w:val="en-US" w:eastAsia="zh-CN"/>
                    </w:rPr>
                    <w:t>m</w:t>
                  </w:r>
                  <w:r>
                    <w:rPr>
                      <w:rFonts w:hint="default" w:ascii="Times New Roman" w:hAnsi="Times New Roman" w:eastAsia="仿宋" w:cs="Times New Roman"/>
                      <w:color w:val="auto"/>
                      <w:vertAlign w:val="superscript"/>
                      <w:lang w:val="en-US" w:eastAsia="zh-CN"/>
                    </w:rPr>
                    <w:t>2</w:t>
                  </w:r>
                </w:p>
              </w:tc>
              <w:tc>
                <w:tcPr>
                  <w:tcW w:w="805" w:type="pct"/>
                  <w:tcBorders>
                    <w:tl2br w:val="nil"/>
                    <w:tr2bl w:val="nil"/>
                  </w:tcBorders>
                  <w:vAlign w:val="center"/>
                </w:tcPr>
                <w:p w14:paraId="487AF599">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p>
              </w:tc>
            </w:tr>
            <w:tr w14:paraId="69380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6075F13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vAlign w:val="center"/>
                </w:tcPr>
                <w:p w14:paraId="14C981B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运输</w:t>
                  </w:r>
                </w:p>
              </w:tc>
              <w:tc>
                <w:tcPr>
                  <w:tcW w:w="1280" w:type="pct"/>
                  <w:tcBorders>
                    <w:tl2br w:val="nil"/>
                    <w:tr2bl w:val="nil"/>
                  </w:tcBorders>
                  <w:vAlign w:val="center"/>
                </w:tcPr>
                <w:p w14:paraId="3DB7A30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车运</w:t>
                  </w:r>
                </w:p>
              </w:tc>
              <w:tc>
                <w:tcPr>
                  <w:tcW w:w="1614" w:type="pct"/>
                  <w:tcBorders>
                    <w:tl2br w:val="nil"/>
                    <w:tr2bl w:val="nil"/>
                  </w:tcBorders>
                  <w:vAlign w:val="center"/>
                </w:tcPr>
                <w:p w14:paraId="4D4C25A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车运</w:t>
                  </w:r>
                </w:p>
              </w:tc>
              <w:tc>
                <w:tcPr>
                  <w:tcW w:w="805" w:type="pct"/>
                  <w:tcBorders>
                    <w:tl2br w:val="nil"/>
                    <w:tr2bl w:val="nil"/>
                  </w:tcBorders>
                  <w:vAlign w:val="center"/>
                </w:tcPr>
                <w:p w14:paraId="47411DB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6A21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restart"/>
                  <w:tcBorders>
                    <w:tl2br w:val="nil"/>
                    <w:tr2bl w:val="nil"/>
                  </w:tcBorders>
                  <w:vAlign w:val="center"/>
                </w:tcPr>
                <w:p w14:paraId="7A8A554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公用工程</w:t>
                  </w:r>
                </w:p>
              </w:tc>
              <w:tc>
                <w:tcPr>
                  <w:tcW w:w="350" w:type="pct"/>
                  <w:tcBorders>
                    <w:tl2br w:val="nil"/>
                    <w:tr2bl w:val="nil"/>
                  </w:tcBorders>
                  <w:vAlign w:val="center"/>
                </w:tcPr>
                <w:p w14:paraId="27F5CC1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供水</w:t>
                  </w:r>
                </w:p>
              </w:tc>
              <w:tc>
                <w:tcPr>
                  <w:tcW w:w="580" w:type="pct"/>
                  <w:tcBorders>
                    <w:tl2br w:val="nil"/>
                    <w:tr2bl w:val="nil"/>
                  </w:tcBorders>
                  <w:vAlign w:val="center"/>
                </w:tcPr>
                <w:p w14:paraId="605E93B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自来水</w:t>
                  </w:r>
                </w:p>
              </w:tc>
              <w:tc>
                <w:tcPr>
                  <w:tcW w:w="1280" w:type="pct"/>
                  <w:tcBorders>
                    <w:tl2br w:val="nil"/>
                    <w:tr2bl w:val="nil"/>
                  </w:tcBorders>
                  <w:vAlign w:val="center"/>
                </w:tcPr>
                <w:p w14:paraId="21ADC60F">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市政供水管网</w:t>
                  </w:r>
                  <w:r>
                    <w:rPr>
                      <w:rFonts w:hint="eastAsia" w:eastAsia="仿宋" w:cs="Times New Roman"/>
                      <w:color w:val="auto"/>
                      <w:lang w:val="en-US" w:eastAsia="zh-CN"/>
                    </w:rPr>
                    <w:t>4290</w:t>
                  </w:r>
                  <w:r>
                    <w:rPr>
                      <w:rFonts w:hint="eastAsia" w:ascii="Times New Roman" w:hAnsi="Times New Roman" w:eastAsia="仿宋" w:cs="Times New Roman"/>
                      <w:color w:val="auto"/>
                      <w:lang w:val="en-US" w:eastAsia="zh-CN"/>
                    </w:rPr>
                    <w:t>t/a</w:t>
                  </w:r>
                </w:p>
              </w:tc>
              <w:tc>
                <w:tcPr>
                  <w:tcW w:w="1614" w:type="pct"/>
                  <w:tcBorders>
                    <w:tl2br w:val="nil"/>
                    <w:tr2bl w:val="nil"/>
                  </w:tcBorders>
                  <w:vAlign w:val="center"/>
                </w:tcPr>
                <w:p w14:paraId="61F2A81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lang w:val="en-US" w:eastAsia="zh-CN"/>
                    </w:rPr>
                    <w:t>市政供水管网</w:t>
                  </w:r>
                  <w:r>
                    <w:rPr>
                      <w:rFonts w:hint="eastAsia" w:eastAsia="仿宋" w:cs="Times New Roman"/>
                      <w:color w:val="auto"/>
                      <w:lang w:val="en-US" w:eastAsia="zh-CN"/>
                    </w:rPr>
                    <w:t>19502.13</w:t>
                  </w:r>
                  <w:r>
                    <w:rPr>
                      <w:rFonts w:hint="eastAsia" w:ascii="Times New Roman" w:hAnsi="Times New Roman" w:eastAsia="仿宋" w:cs="Times New Roman"/>
                      <w:color w:val="auto"/>
                      <w:lang w:val="en-US" w:eastAsia="zh-CN"/>
                    </w:rPr>
                    <w:t>t/a</w:t>
                  </w:r>
                </w:p>
              </w:tc>
              <w:tc>
                <w:tcPr>
                  <w:tcW w:w="805" w:type="pct"/>
                  <w:tcBorders>
                    <w:tl2br w:val="nil"/>
                    <w:tr2bl w:val="nil"/>
                  </w:tcBorders>
                  <w:vAlign w:val="center"/>
                </w:tcPr>
                <w:p w14:paraId="5E84A1E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w:t>
                  </w:r>
                </w:p>
              </w:tc>
            </w:tr>
            <w:tr w14:paraId="100A6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6AA3420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restart"/>
                  <w:tcBorders>
                    <w:tl2br w:val="nil"/>
                    <w:tr2bl w:val="nil"/>
                  </w:tcBorders>
                  <w:vAlign w:val="center"/>
                </w:tcPr>
                <w:p w14:paraId="1429816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排水</w:t>
                  </w:r>
                </w:p>
              </w:tc>
              <w:tc>
                <w:tcPr>
                  <w:tcW w:w="580" w:type="pct"/>
                  <w:tcBorders>
                    <w:tl2br w:val="nil"/>
                    <w:tr2bl w:val="nil"/>
                  </w:tcBorders>
                  <w:vAlign w:val="center"/>
                </w:tcPr>
                <w:p w14:paraId="389B725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生活污水</w:t>
                  </w:r>
                </w:p>
              </w:tc>
              <w:tc>
                <w:tcPr>
                  <w:tcW w:w="1280" w:type="pct"/>
                  <w:tcBorders>
                    <w:tl2br w:val="nil"/>
                    <w:tr2bl w:val="nil"/>
                  </w:tcBorders>
                  <w:vAlign w:val="center"/>
                </w:tcPr>
                <w:p w14:paraId="119481E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1080t/a接入市政污水管网</w:t>
                  </w:r>
                </w:p>
              </w:tc>
              <w:tc>
                <w:tcPr>
                  <w:tcW w:w="1614" w:type="pct"/>
                  <w:tcBorders>
                    <w:tl2br w:val="nil"/>
                    <w:tr2bl w:val="nil"/>
                  </w:tcBorders>
                  <w:vAlign w:val="center"/>
                </w:tcPr>
                <w:p w14:paraId="2E38139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1080t/a接入市政污水管网</w:t>
                  </w:r>
                </w:p>
              </w:tc>
              <w:tc>
                <w:tcPr>
                  <w:tcW w:w="805" w:type="pct"/>
                  <w:tcBorders>
                    <w:tl2br w:val="nil"/>
                    <w:tr2bl w:val="nil"/>
                  </w:tcBorders>
                  <w:vAlign w:val="center"/>
                </w:tcPr>
                <w:p w14:paraId="7128573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lang w:val="en-US"/>
                    </w:rPr>
                  </w:pPr>
                  <w:r>
                    <w:rPr>
                      <w:rFonts w:hint="eastAsia" w:eastAsia="仿宋" w:cs="Times New Roman"/>
                      <w:color w:val="auto"/>
                      <w:sz w:val="21"/>
                      <w:szCs w:val="21"/>
                      <w:highlight w:val="none"/>
                      <w:lang w:val="en-US" w:eastAsia="zh-CN"/>
                    </w:rPr>
                    <w:t>本项目不新增员工</w:t>
                  </w:r>
                </w:p>
              </w:tc>
            </w:tr>
            <w:tr w14:paraId="7A487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3C09C40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continue"/>
                  <w:tcBorders>
                    <w:tl2br w:val="nil"/>
                    <w:tr2bl w:val="nil"/>
                  </w:tcBorders>
                  <w:vAlign w:val="center"/>
                </w:tcPr>
                <w:p w14:paraId="237390B9">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580" w:type="pct"/>
                  <w:tcBorders>
                    <w:tl2br w:val="nil"/>
                    <w:tr2bl w:val="nil"/>
                  </w:tcBorders>
                  <w:vAlign w:val="center"/>
                </w:tcPr>
                <w:p w14:paraId="46D3C23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工业废水</w:t>
                  </w:r>
                </w:p>
              </w:tc>
              <w:tc>
                <w:tcPr>
                  <w:tcW w:w="1280" w:type="pct"/>
                  <w:tcBorders>
                    <w:tl2br w:val="nil"/>
                    <w:tr2bl w:val="nil"/>
                  </w:tcBorders>
                  <w:vAlign w:val="center"/>
                </w:tcPr>
                <w:p w14:paraId="4EB1503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污水处理后回用于生产，不外排</w:t>
                  </w:r>
                </w:p>
              </w:tc>
              <w:tc>
                <w:tcPr>
                  <w:tcW w:w="1614" w:type="pct"/>
                  <w:tcBorders>
                    <w:tl2br w:val="nil"/>
                    <w:tr2bl w:val="nil"/>
                  </w:tcBorders>
                  <w:vAlign w:val="center"/>
                </w:tcPr>
                <w:p w14:paraId="4048D14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经厂区污水处理设施处理后接入市政污水管网（16765.236t/a）</w:t>
                  </w:r>
                </w:p>
              </w:tc>
              <w:tc>
                <w:tcPr>
                  <w:tcW w:w="805" w:type="pct"/>
                  <w:tcBorders>
                    <w:tl2br w:val="nil"/>
                    <w:tr2bl w:val="nil"/>
                  </w:tcBorders>
                  <w:vAlign w:val="center"/>
                </w:tcPr>
                <w:p w14:paraId="67E7CA4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废水经厂区废水处理设施处理后外排</w:t>
                  </w:r>
                </w:p>
              </w:tc>
            </w:tr>
            <w:tr w14:paraId="1B6FF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271A16B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continue"/>
                  <w:tcBorders>
                    <w:tl2br w:val="nil"/>
                    <w:tr2bl w:val="nil"/>
                  </w:tcBorders>
                  <w:vAlign w:val="center"/>
                </w:tcPr>
                <w:p w14:paraId="3EC5DDAF">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580" w:type="pct"/>
                  <w:tcBorders>
                    <w:tl2br w:val="nil"/>
                    <w:tr2bl w:val="nil"/>
                  </w:tcBorders>
                  <w:vAlign w:val="center"/>
                </w:tcPr>
                <w:p w14:paraId="4099523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雨水</w:t>
                  </w:r>
                </w:p>
              </w:tc>
              <w:tc>
                <w:tcPr>
                  <w:tcW w:w="1280" w:type="pct"/>
                  <w:tcBorders>
                    <w:tl2br w:val="nil"/>
                    <w:tr2bl w:val="nil"/>
                  </w:tcBorders>
                  <w:vAlign w:val="center"/>
                </w:tcPr>
                <w:p w14:paraId="090808BF">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接入市政雨水管网</w:t>
                  </w:r>
                </w:p>
              </w:tc>
              <w:tc>
                <w:tcPr>
                  <w:tcW w:w="1614" w:type="pct"/>
                  <w:tcBorders>
                    <w:tl2br w:val="nil"/>
                    <w:tr2bl w:val="nil"/>
                  </w:tcBorders>
                  <w:vAlign w:val="center"/>
                </w:tcPr>
                <w:p w14:paraId="74222EB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rPr>
                  </w:pPr>
                  <w:r>
                    <w:rPr>
                      <w:rFonts w:hint="eastAsia" w:eastAsia="仿宋" w:cs="Times New Roman"/>
                      <w:color w:val="auto"/>
                      <w:spacing w:val="-6"/>
                      <w:sz w:val="21"/>
                      <w:szCs w:val="21"/>
                      <w:highlight w:val="none"/>
                      <w:lang w:val="en-US" w:eastAsia="zh-CN"/>
                    </w:rPr>
                    <w:t>接入市政雨水管网</w:t>
                  </w:r>
                </w:p>
              </w:tc>
              <w:tc>
                <w:tcPr>
                  <w:tcW w:w="805" w:type="pct"/>
                  <w:tcBorders>
                    <w:tl2br w:val="nil"/>
                    <w:tr2bl w:val="nil"/>
                  </w:tcBorders>
                  <w:vAlign w:val="center"/>
                </w:tcPr>
                <w:p w14:paraId="160B3F5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rPr>
                  </w:pPr>
                  <w:r>
                    <w:rPr>
                      <w:rFonts w:hint="eastAsia" w:eastAsia="仿宋" w:cs="Times New Roman"/>
                      <w:color w:val="auto"/>
                      <w:sz w:val="21"/>
                      <w:szCs w:val="21"/>
                      <w:highlight w:val="none"/>
                      <w:lang w:val="en-US" w:eastAsia="zh-CN"/>
                    </w:rPr>
                    <w:t>/</w:t>
                  </w:r>
                </w:p>
              </w:tc>
            </w:tr>
            <w:tr w14:paraId="08067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1F08018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vAlign w:val="center"/>
                </w:tcPr>
                <w:p w14:paraId="06858A1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天然气</w:t>
                  </w:r>
                </w:p>
              </w:tc>
              <w:tc>
                <w:tcPr>
                  <w:tcW w:w="1280" w:type="pct"/>
                  <w:tcBorders>
                    <w:tl2br w:val="nil"/>
                    <w:tr2bl w:val="nil"/>
                  </w:tcBorders>
                  <w:vAlign w:val="center"/>
                </w:tcPr>
                <w:p w14:paraId="42C4279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9万</w:t>
                  </w:r>
                </w:p>
              </w:tc>
              <w:tc>
                <w:tcPr>
                  <w:tcW w:w="1614" w:type="pct"/>
                  <w:tcBorders>
                    <w:tl2br w:val="nil"/>
                    <w:tr2bl w:val="nil"/>
                  </w:tcBorders>
                  <w:vAlign w:val="center"/>
                </w:tcPr>
                <w:p w14:paraId="0227D92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15万</w:t>
                  </w:r>
                </w:p>
              </w:tc>
              <w:tc>
                <w:tcPr>
                  <w:tcW w:w="805" w:type="pct"/>
                  <w:tcBorders>
                    <w:tl2br w:val="nil"/>
                    <w:tr2bl w:val="nil"/>
                  </w:tcBorders>
                  <w:vAlign w:val="center"/>
                </w:tcPr>
                <w:p w14:paraId="2006183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3BBB5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4BEF549F">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vAlign w:val="center"/>
                </w:tcPr>
                <w:p w14:paraId="196AD8A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供电</w:t>
                  </w:r>
                </w:p>
              </w:tc>
              <w:tc>
                <w:tcPr>
                  <w:tcW w:w="1280" w:type="pct"/>
                  <w:tcBorders>
                    <w:tl2br w:val="nil"/>
                    <w:tr2bl w:val="nil"/>
                  </w:tcBorders>
                  <w:vAlign w:val="center"/>
                </w:tcPr>
                <w:p w14:paraId="33074DA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国家电网供电</w:t>
                  </w:r>
                  <w:r>
                    <w:rPr>
                      <w:rFonts w:hint="default" w:ascii="Times New Roman" w:hAnsi="Times New Roman" w:eastAsia="仿宋" w:cs="Times New Roman"/>
                      <w:color w:val="auto"/>
                      <w:sz w:val="21"/>
                      <w:szCs w:val="21"/>
                      <w:highlight w:val="none"/>
                    </w:rPr>
                    <w:t>150万kW·h/a</w:t>
                  </w:r>
                </w:p>
              </w:tc>
              <w:tc>
                <w:tcPr>
                  <w:tcW w:w="1614" w:type="pct"/>
                  <w:tcBorders>
                    <w:tl2br w:val="nil"/>
                    <w:tr2bl w:val="nil"/>
                  </w:tcBorders>
                  <w:vAlign w:val="center"/>
                </w:tcPr>
                <w:p w14:paraId="0D67340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国家电网供电</w:t>
                  </w:r>
                  <w:r>
                    <w:rPr>
                      <w:rFonts w:hint="eastAsia" w:eastAsia="仿宋" w:cs="Times New Roman"/>
                      <w:color w:val="auto"/>
                      <w:sz w:val="21"/>
                      <w:szCs w:val="21"/>
                      <w:highlight w:val="none"/>
                      <w:lang w:val="en-US" w:eastAsia="zh-CN"/>
                    </w:rPr>
                    <w:t>170</w:t>
                  </w:r>
                  <w:r>
                    <w:rPr>
                      <w:rFonts w:hint="default" w:ascii="Times New Roman" w:hAnsi="Times New Roman" w:eastAsia="仿宋" w:cs="Times New Roman"/>
                      <w:color w:val="auto"/>
                      <w:sz w:val="21"/>
                      <w:szCs w:val="21"/>
                      <w:highlight w:val="none"/>
                    </w:rPr>
                    <w:t>万kW·h/a</w:t>
                  </w:r>
                </w:p>
              </w:tc>
              <w:tc>
                <w:tcPr>
                  <w:tcW w:w="805" w:type="pct"/>
                  <w:tcBorders>
                    <w:tl2br w:val="nil"/>
                    <w:tr2bl w:val="nil"/>
                  </w:tcBorders>
                  <w:vAlign w:val="center"/>
                </w:tcPr>
                <w:p w14:paraId="0DD11B6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7F0AF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restart"/>
                  <w:tcBorders>
                    <w:tl2br w:val="nil"/>
                    <w:tr2bl w:val="nil"/>
                  </w:tcBorders>
                  <w:vAlign w:val="center"/>
                </w:tcPr>
                <w:p w14:paraId="1C1F6F3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环保工程</w:t>
                  </w:r>
                </w:p>
              </w:tc>
              <w:tc>
                <w:tcPr>
                  <w:tcW w:w="931" w:type="pct"/>
                  <w:gridSpan w:val="2"/>
                  <w:tcBorders>
                    <w:tl2br w:val="nil"/>
                    <w:tr2bl w:val="nil"/>
                  </w:tcBorders>
                  <w:vAlign w:val="center"/>
                </w:tcPr>
                <w:p w14:paraId="5297B076">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大气污染防治</w:t>
                  </w:r>
                </w:p>
              </w:tc>
              <w:tc>
                <w:tcPr>
                  <w:tcW w:w="1280" w:type="pct"/>
                  <w:tcBorders>
                    <w:tl2br w:val="nil"/>
                    <w:tr2bl w:val="nil"/>
                  </w:tcBorders>
                  <w:vAlign w:val="center"/>
                </w:tcPr>
                <w:p w14:paraId="02F51FC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喷粉废气经负压整体收集</w:t>
                  </w:r>
                  <w:r>
                    <w:rPr>
                      <w:rFonts w:hint="eastAsia" w:eastAsia="仿宋" w:cs="Times New Roman"/>
                      <w:color w:val="auto"/>
                      <w:lang w:val="en-US" w:eastAsia="zh-CN"/>
                    </w:rPr>
                    <w:t>后</w:t>
                  </w:r>
                  <w:r>
                    <w:rPr>
                      <w:rFonts w:hint="eastAsia" w:ascii="Times New Roman" w:hAnsi="Times New Roman" w:eastAsia="仿宋" w:cs="Times New Roman"/>
                      <w:color w:val="auto"/>
                      <w:lang w:val="en-US" w:eastAsia="zh-CN"/>
                    </w:rPr>
                    <w:t>一起经滤芯回收系统处理后与经集气罩收集的酸洗废气、烘干固化废气、燃烧废气一起经</w:t>
                  </w:r>
                  <w:r>
                    <w:rPr>
                      <w:rFonts w:hint="eastAsia" w:eastAsia="仿宋" w:cs="Times New Roman"/>
                      <w:color w:val="auto"/>
                      <w:lang w:val="en-US" w:eastAsia="zh-CN"/>
                    </w:rPr>
                    <w:t>“</w:t>
                  </w:r>
                  <w:r>
                    <w:rPr>
                      <w:rFonts w:hint="eastAsia" w:ascii="Times New Roman" w:hAnsi="Times New Roman" w:eastAsia="仿宋" w:cs="Times New Roman"/>
                      <w:color w:val="auto"/>
                      <w:lang w:val="en-US" w:eastAsia="zh-CN"/>
                    </w:rPr>
                    <w:t>喷淋塔+</w:t>
                  </w:r>
                  <w:r>
                    <w:rPr>
                      <w:rFonts w:hint="eastAsia" w:eastAsia="仿宋" w:cs="Times New Roman"/>
                      <w:color w:val="auto"/>
                      <w:lang w:val="en-US" w:eastAsia="zh-CN"/>
                    </w:rPr>
                    <w:t>干式过滤器</w:t>
                  </w:r>
                  <w:r>
                    <w:rPr>
                      <w:rFonts w:hint="eastAsia" w:ascii="Times New Roman" w:hAnsi="Times New Roman" w:eastAsia="仿宋" w:cs="Times New Roman"/>
                      <w:color w:val="auto"/>
                      <w:lang w:val="en-US" w:eastAsia="zh-CN"/>
                    </w:rPr>
                    <w:t>+二级活性炭装置</w:t>
                  </w:r>
                  <w:r>
                    <w:rPr>
                      <w:rFonts w:hint="eastAsia" w:eastAsia="仿宋" w:cs="Times New Roman"/>
                      <w:color w:val="auto"/>
                      <w:lang w:val="en-US" w:eastAsia="zh-CN"/>
                    </w:rPr>
                    <w:t>”</w:t>
                  </w:r>
                  <w:r>
                    <w:rPr>
                      <w:rFonts w:hint="eastAsia" w:ascii="Times New Roman" w:hAnsi="Times New Roman" w:eastAsia="仿宋" w:cs="Times New Roman"/>
                      <w:color w:val="auto"/>
                      <w:lang w:val="en-US" w:eastAsia="zh-CN"/>
                    </w:rPr>
                    <w:t>处理后经15m高DA001排气筒排放</w:t>
                  </w:r>
                </w:p>
              </w:tc>
              <w:tc>
                <w:tcPr>
                  <w:tcW w:w="1614" w:type="pct"/>
                  <w:tcBorders>
                    <w:tl2br w:val="nil"/>
                    <w:tr2bl w:val="nil"/>
                  </w:tcBorders>
                  <w:vAlign w:val="center"/>
                </w:tcPr>
                <w:p w14:paraId="7881662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电泳线酸洗废气、电泳废气、电泳烘干废气、喷粉前处理酸洗废气、喷粉烘干废气收集后通过1套</w:t>
                  </w:r>
                  <w:r>
                    <w:rPr>
                      <w:rFonts w:hint="eastAsia" w:eastAsia="仿宋" w:cs="Times New Roman"/>
                      <w:color w:val="auto"/>
                      <w:lang w:val="en-US" w:eastAsia="zh-CN"/>
                    </w:rPr>
                    <w:t>“</w:t>
                  </w:r>
                  <w:r>
                    <w:rPr>
                      <w:rFonts w:hint="default" w:ascii="Times New Roman" w:hAnsi="Times New Roman" w:eastAsia="仿宋" w:cs="Times New Roman"/>
                      <w:color w:val="auto"/>
                      <w:lang w:val="en-US" w:eastAsia="zh-CN"/>
                    </w:rPr>
                    <w:t>碱性喷淋塔+</w:t>
                  </w:r>
                  <w:r>
                    <w:rPr>
                      <w:rFonts w:hint="eastAsia" w:eastAsia="仿宋" w:cs="Times New Roman"/>
                      <w:color w:val="auto"/>
                      <w:lang w:val="en-US" w:eastAsia="zh-CN"/>
                    </w:rPr>
                    <w:t>干式过滤器</w:t>
                  </w:r>
                  <w:r>
                    <w:rPr>
                      <w:rFonts w:hint="default" w:ascii="Times New Roman" w:hAnsi="Times New Roman" w:eastAsia="仿宋" w:cs="Times New Roman"/>
                      <w:color w:val="auto"/>
                      <w:lang w:val="en-US" w:eastAsia="zh-CN"/>
                    </w:rPr>
                    <w:t>+二级活性炭吸附</w:t>
                  </w:r>
                  <w:r>
                    <w:rPr>
                      <w:rFonts w:hint="eastAsia" w:eastAsia="仿宋" w:cs="Times New Roman"/>
                      <w:color w:val="auto"/>
                      <w:lang w:val="en-US" w:eastAsia="zh-CN"/>
                    </w:rPr>
                    <w:t>”</w:t>
                  </w:r>
                  <w:r>
                    <w:rPr>
                      <w:rFonts w:hint="default" w:ascii="Times New Roman" w:hAnsi="Times New Roman" w:eastAsia="仿宋" w:cs="Times New Roman"/>
                      <w:color w:val="auto"/>
                      <w:lang w:val="en-US" w:eastAsia="zh-CN"/>
                    </w:rPr>
                    <w:t>装置处理后通过15m高DA001排气筒排放，</w:t>
                  </w:r>
                  <w:r>
                    <w:rPr>
                      <w:rFonts w:hint="default" w:ascii="Times New Roman" w:hAnsi="Times New Roman" w:eastAsia="仿宋" w:cs="Times New Roman"/>
                      <w:color w:val="auto"/>
                      <w:lang w:val="en-US" w:eastAsia="zh-CN"/>
                    </w:rPr>
                    <w:t>喷粉废气经</w:t>
                  </w:r>
                  <w:r>
                    <w:rPr>
                      <w:rFonts w:hint="eastAsia" w:eastAsia="仿宋" w:cs="Times New Roman"/>
                      <w:color w:val="auto"/>
                      <w:lang w:val="en-US" w:eastAsia="zh-CN"/>
                    </w:rPr>
                    <w:t>“滤芯回收系统”</w:t>
                  </w:r>
                  <w:r>
                    <w:rPr>
                      <w:rFonts w:hint="default" w:ascii="Times New Roman" w:hAnsi="Times New Roman" w:eastAsia="仿宋" w:cs="Times New Roman"/>
                      <w:color w:val="auto"/>
                      <w:lang w:val="en-US" w:eastAsia="zh-CN"/>
                    </w:rPr>
                    <w:t>处理</w:t>
                  </w:r>
                  <w:r>
                    <w:rPr>
                      <w:rFonts w:hint="eastAsia" w:eastAsia="仿宋" w:cs="Times New Roman"/>
                      <w:color w:val="auto"/>
                      <w:lang w:val="en-US" w:eastAsia="zh-CN"/>
                    </w:rPr>
                    <w:t>后直接接入15mDA001排气筒排放</w:t>
                  </w:r>
                </w:p>
              </w:tc>
              <w:tc>
                <w:tcPr>
                  <w:tcW w:w="805" w:type="pct"/>
                  <w:tcBorders>
                    <w:tl2br w:val="nil"/>
                    <w:tr2bl w:val="nil"/>
                  </w:tcBorders>
                  <w:vAlign w:val="center"/>
                </w:tcPr>
                <w:p w14:paraId="0E556A19">
                  <w:pPr>
                    <w:pStyle w:val="31"/>
                    <w:keepNext w:val="0"/>
                    <w:keepLines w:val="0"/>
                    <w:pageBreakBefore w:val="0"/>
                    <w:widowControl w:val="0"/>
                    <w:tabs>
                      <w:tab w:val="left" w:pos="3456"/>
                    </w:tabs>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废气处理方式发生变化</w:t>
                  </w:r>
                </w:p>
              </w:tc>
            </w:tr>
            <w:tr w14:paraId="5809A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064E7F3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restart"/>
                  <w:tcBorders>
                    <w:tl2br w:val="nil"/>
                    <w:tr2bl w:val="nil"/>
                  </w:tcBorders>
                  <w:vAlign w:val="center"/>
                </w:tcPr>
                <w:p w14:paraId="498D88E1">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水污染防治</w:t>
                  </w:r>
                </w:p>
              </w:tc>
              <w:tc>
                <w:tcPr>
                  <w:tcW w:w="580" w:type="pct"/>
                  <w:tcBorders>
                    <w:tl2br w:val="nil"/>
                    <w:tr2bl w:val="nil"/>
                  </w:tcBorders>
                  <w:vAlign w:val="center"/>
                </w:tcPr>
                <w:p w14:paraId="60AA5CA9">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生活污水</w:t>
                  </w:r>
                </w:p>
              </w:tc>
              <w:tc>
                <w:tcPr>
                  <w:tcW w:w="1280" w:type="pct"/>
                  <w:tcBorders>
                    <w:tl2br w:val="nil"/>
                    <w:tr2bl w:val="nil"/>
                  </w:tcBorders>
                  <w:vAlign w:val="center"/>
                </w:tcPr>
                <w:p w14:paraId="30F3B82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接入市政污水管网</w:t>
                  </w:r>
                </w:p>
              </w:tc>
              <w:tc>
                <w:tcPr>
                  <w:tcW w:w="1614" w:type="pct"/>
                  <w:tcBorders>
                    <w:tl2br w:val="nil"/>
                    <w:tr2bl w:val="nil"/>
                  </w:tcBorders>
                  <w:vAlign w:val="center"/>
                </w:tcPr>
                <w:p w14:paraId="0EA92BF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接入市政污水管网</w:t>
                  </w:r>
                </w:p>
              </w:tc>
              <w:tc>
                <w:tcPr>
                  <w:tcW w:w="805" w:type="pct"/>
                  <w:tcBorders>
                    <w:tl2br w:val="nil"/>
                    <w:tr2bl w:val="nil"/>
                  </w:tcBorders>
                  <w:vAlign w:val="center"/>
                </w:tcPr>
                <w:p w14:paraId="7423AFD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lang w:val="en-US" w:eastAsia="zh-CN"/>
                    </w:rPr>
                  </w:pPr>
                  <w:r>
                    <w:rPr>
                      <w:rFonts w:hint="eastAsia" w:eastAsia="仿宋" w:cs="Times New Roman"/>
                      <w:color w:val="auto"/>
                      <w:spacing w:val="-6"/>
                      <w:sz w:val="21"/>
                      <w:szCs w:val="21"/>
                      <w:highlight w:val="none"/>
                      <w:lang w:val="en-US" w:eastAsia="zh-CN"/>
                    </w:rPr>
                    <w:t>本项目不新增员工，因此不新增生活污水</w:t>
                  </w:r>
                </w:p>
              </w:tc>
            </w:tr>
            <w:tr w14:paraId="21CB7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3ADC5BC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continue"/>
                  <w:tcBorders>
                    <w:tl2br w:val="nil"/>
                    <w:tr2bl w:val="nil"/>
                  </w:tcBorders>
                  <w:vAlign w:val="center"/>
                </w:tcPr>
                <w:p w14:paraId="44A95C5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580" w:type="pct"/>
                  <w:tcBorders>
                    <w:tl2br w:val="nil"/>
                    <w:tr2bl w:val="nil"/>
                  </w:tcBorders>
                  <w:vAlign w:val="center"/>
                </w:tcPr>
                <w:p w14:paraId="2F10565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工业废水</w:t>
                  </w:r>
                </w:p>
              </w:tc>
              <w:tc>
                <w:tcPr>
                  <w:tcW w:w="1280" w:type="pct"/>
                  <w:tcBorders>
                    <w:tl2br w:val="nil"/>
                    <w:tr2bl w:val="nil"/>
                  </w:tcBorders>
                  <w:vAlign w:val="center"/>
                </w:tcPr>
                <w:p w14:paraId="0788395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pacing w:val="-6"/>
                      <w:sz w:val="21"/>
                      <w:szCs w:val="21"/>
                      <w:highlight w:val="none"/>
                      <w:lang w:val="en-US" w:eastAsia="zh-CN"/>
                    </w:rPr>
                  </w:pPr>
                  <w:r>
                    <w:rPr>
                      <w:rFonts w:hint="eastAsia" w:ascii="Times New Roman" w:hAnsi="Times New Roman" w:eastAsia="仿宋" w:cs="Times New Roman"/>
                      <w:color w:val="auto"/>
                      <w:spacing w:val="-6"/>
                      <w:sz w:val="21"/>
                      <w:szCs w:val="21"/>
                      <w:highlight w:val="none"/>
                      <w:lang w:val="en-US" w:eastAsia="zh-CN"/>
                    </w:rPr>
                    <w:t>污水处理后回用于生产</w:t>
                  </w:r>
                  <w:r>
                    <w:rPr>
                      <w:rFonts w:hint="eastAsia" w:eastAsia="仿宋" w:cs="Times New Roman"/>
                      <w:color w:val="auto"/>
                      <w:spacing w:val="-6"/>
                      <w:sz w:val="21"/>
                      <w:szCs w:val="21"/>
                      <w:highlight w:val="none"/>
                      <w:lang w:val="en-US" w:eastAsia="zh-CN"/>
                    </w:rPr>
                    <w:t>，处理工艺为“中和+絮凝+混凝+</w:t>
                  </w:r>
                  <w:r>
                    <w:rPr>
                      <w:rFonts w:hint="eastAsia" w:eastAsia="仿宋"/>
                      <w:color w:val="auto"/>
                      <w:spacing w:val="-6"/>
                      <w:highlight w:val="none"/>
                    </w:rPr>
                    <w:t>过滤+离子交换+过滤</w:t>
                  </w:r>
                  <w:r>
                    <w:rPr>
                      <w:rFonts w:hint="eastAsia" w:eastAsia="仿宋"/>
                      <w:color w:val="auto"/>
                      <w:spacing w:val="-6"/>
                      <w:highlight w:val="none"/>
                      <w:lang w:val="en-US" w:eastAsia="zh-CN"/>
                    </w:rPr>
                    <w:t>+</w:t>
                  </w:r>
                  <w:r>
                    <w:rPr>
                      <w:rFonts w:hint="eastAsia" w:eastAsia="仿宋"/>
                      <w:color w:val="auto"/>
                      <w:spacing w:val="-6"/>
                      <w:highlight w:val="none"/>
                    </w:rPr>
                    <w:t>反渗透</w:t>
                  </w:r>
                  <w:r>
                    <w:rPr>
                      <w:rFonts w:hint="eastAsia" w:eastAsia="仿宋"/>
                      <w:color w:val="auto"/>
                      <w:spacing w:val="-6"/>
                      <w:highlight w:val="none"/>
                      <w:lang w:val="en-US" w:eastAsia="zh-CN"/>
                    </w:rPr>
                    <w:t>+</w:t>
                  </w:r>
                  <w:r>
                    <w:rPr>
                      <w:rFonts w:hint="eastAsia" w:eastAsia="仿宋"/>
                      <w:color w:val="auto"/>
                      <w:spacing w:val="-6"/>
                      <w:highlight w:val="none"/>
                    </w:rPr>
                    <w:t>单效加热器</w:t>
                  </w:r>
                  <w:r>
                    <w:rPr>
                      <w:rFonts w:hint="eastAsia" w:eastAsia="仿宋" w:cs="Times New Roman"/>
                      <w:color w:val="auto"/>
                      <w:spacing w:val="-6"/>
                      <w:sz w:val="21"/>
                      <w:szCs w:val="21"/>
                      <w:highlight w:val="none"/>
                      <w:lang w:val="en-US" w:eastAsia="zh-CN"/>
                    </w:rPr>
                    <w:t>”</w:t>
                  </w:r>
                  <w:r>
                    <w:rPr>
                      <w:rFonts w:hint="eastAsia" w:ascii="Times New Roman" w:hAnsi="Times New Roman" w:eastAsia="仿宋" w:cs="Times New Roman"/>
                      <w:color w:val="auto"/>
                      <w:spacing w:val="-6"/>
                      <w:sz w:val="21"/>
                      <w:szCs w:val="21"/>
                      <w:highlight w:val="none"/>
                      <w:lang w:val="en-US" w:eastAsia="zh-CN"/>
                    </w:rPr>
                    <w:t>，不外排，设计处理能力15t/d</w:t>
                  </w:r>
                </w:p>
              </w:tc>
              <w:tc>
                <w:tcPr>
                  <w:tcW w:w="1614" w:type="pct"/>
                  <w:tcBorders>
                    <w:tl2br w:val="nil"/>
                    <w:tr2bl w:val="nil"/>
                  </w:tcBorders>
                  <w:vAlign w:val="center"/>
                </w:tcPr>
                <w:p w14:paraId="19658F1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高浓度废水定期添加（TW001，设计处理能力1t/d）+电泳废水前处理设施（TW002，设计处理能力30t/d，处理工艺：气浮池+中间水池+物化反应池+沉淀池）+综合废水处理设施（TW003，设计处理能力60t/d，处理工艺：pH调节池+反应池+沉淀池+厌氧+好氧+MBR膜+中间水池+RO处理系统）</w:t>
                  </w:r>
                </w:p>
              </w:tc>
              <w:tc>
                <w:tcPr>
                  <w:tcW w:w="805" w:type="pct"/>
                  <w:tcBorders>
                    <w:tl2br w:val="nil"/>
                    <w:tr2bl w:val="nil"/>
                  </w:tcBorders>
                  <w:vAlign w:val="center"/>
                </w:tcPr>
                <w:p w14:paraId="1B27B2E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废水回用改外排，废水处理设施升级改造</w:t>
                  </w:r>
                </w:p>
              </w:tc>
            </w:tr>
            <w:tr w14:paraId="764E2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3F70BD4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931" w:type="pct"/>
                  <w:gridSpan w:val="2"/>
                  <w:tcBorders>
                    <w:tl2br w:val="nil"/>
                    <w:tr2bl w:val="nil"/>
                  </w:tcBorders>
                  <w:vAlign w:val="center"/>
                </w:tcPr>
                <w:p w14:paraId="7CBA1FF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噪声污染防治</w:t>
                  </w:r>
                </w:p>
              </w:tc>
              <w:tc>
                <w:tcPr>
                  <w:tcW w:w="1280" w:type="pct"/>
                  <w:tcBorders>
                    <w:tl2br w:val="nil"/>
                    <w:tr2bl w:val="nil"/>
                  </w:tcBorders>
                  <w:vAlign w:val="center"/>
                </w:tcPr>
                <w:p w14:paraId="0B6A0AF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合理降噪处理，采用低噪声设备、隔声</w:t>
                  </w:r>
                  <w:r>
                    <w:rPr>
                      <w:rFonts w:hint="eastAsia" w:eastAsia="仿宋" w:cs="Times New Roman"/>
                      <w:color w:val="auto"/>
                      <w:lang w:val="en-US" w:eastAsia="zh-CN"/>
                    </w:rPr>
                    <w:t>减振</w:t>
                  </w:r>
                  <w:r>
                    <w:rPr>
                      <w:rFonts w:hint="default" w:ascii="Times New Roman" w:hAnsi="Times New Roman" w:eastAsia="仿宋" w:cs="Times New Roman"/>
                      <w:color w:val="auto"/>
                      <w:lang w:val="en-US" w:eastAsia="zh-CN"/>
                    </w:rPr>
                    <w:t>、距离衰减等措施</w:t>
                  </w:r>
                </w:p>
              </w:tc>
              <w:tc>
                <w:tcPr>
                  <w:tcW w:w="1614" w:type="pct"/>
                  <w:tcBorders>
                    <w:tl2br w:val="nil"/>
                    <w:tr2bl w:val="nil"/>
                  </w:tcBorders>
                  <w:vAlign w:val="center"/>
                </w:tcPr>
                <w:p w14:paraId="7CADCAD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合理降噪处理，采用低噪声设备、隔声</w:t>
                  </w:r>
                  <w:r>
                    <w:rPr>
                      <w:rFonts w:hint="eastAsia" w:eastAsia="仿宋" w:cs="Times New Roman"/>
                      <w:color w:val="auto"/>
                      <w:lang w:val="en-US" w:eastAsia="zh-CN"/>
                    </w:rPr>
                    <w:t>减振</w:t>
                  </w:r>
                  <w:r>
                    <w:rPr>
                      <w:rFonts w:hint="default" w:ascii="Times New Roman" w:hAnsi="Times New Roman" w:eastAsia="仿宋" w:cs="Times New Roman"/>
                      <w:color w:val="auto"/>
                      <w:lang w:val="en-US" w:eastAsia="zh-CN"/>
                    </w:rPr>
                    <w:t>、距离衰减等措施</w:t>
                  </w:r>
                </w:p>
              </w:tc>
              <w:tc>
                <w:tcPr>
                  <w:tcW w:w="805" w:type="pct"/>
                  <w:tcBorders>
                    <w:tl2br w:val="nil"/>
                    <w:tr2bl w:val="nil"/>
                  </w:tcBorders>
                  <w:vAlign w:val="center"/>
                </w:tcPr>
                <w:p w14:paraId="32AF7DC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噪声达标排放</w:t>
                  </w:r>
                </w:p>
              </w:tc>
            </w:tr>
            <w:tr w14:paraId="5C52F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7BB9A35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restart"/>
                  <w:tcBorders>
                    <w:tl2br w:val="nil"/>
                    <w:tr2bl w:val="nil"/>
                  </w:tcBorders>
                  <w:vAlign w:val="center"/>
                </w:tcPr>
                <w:p w14:paraId="1BBD52C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固废污染防治</w:t>
                  </w:r>
                </w:p>
              </w:tc>
              <w:tc>
                <w:tcPr>
                  <w:tcW w:w="580" w:type="pct"/>
                  <w:tcBorders>
                    <w:tl2br w:val="nil"/>
                    <w:tr2bl w:val="nil"/>
                  </w:tcBorders>
                  <w:shd w:val="clear" w:color="auto" w:fill="auto"/>
                  <w:vAlign w:val="center"/>
                </w:tcPr>
                <w:p w14:paraId="5E05FDB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rPr>
                    <w:t>危废</w:t>
                  </w:r>
                  <w:r>
                    <w:rPr>
                      <w:rFonts w:hint="default" w:ascii="Times New Roman" w:hAnsi="Times New Roman" w:eastAsia="仿宋" w:cs="Times New Roman"/>
                      <w:color w:val="auto"/>
                      <w:sz w:val="21"/>
                      <w:szCs w:val="21"/>
                      <w:highlight w:val="none"/>
                      <w:lang w:val="en-US" w:eastAsia="zh-CN"/>
                    </w:rPr>
                    <w:t>暂存间</w:t>
                  </w:r>
                </w:p>
              </w:tc>
              <w:tc>
                <w:tcPr>
                  <w:tcW w:w="1280" w:type="pct"/>
                  <w:tcBorders>
                    <w:tl2br w:val="nil"/>
                    <w:tr2bl w:val="nil"/>
                  </w:tcBorders>
                  <w:shd w:val="clear" w:color="auto" w:fill="auto"/>
                  <w:vAlign w:val="center"/>
                </w:tcPr>
                <w:p w14:paraId="5268F76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lang w:val="en-US" w:eastAsia="zh-CN"/>
                    </w:rPr>
                    <w:t>危险废物委托有资质单位处置</w:t>
                  </w:r>
                </w:p>
              </w:tc>
              <w:tc>
                <w:tcPr>
                  <w:tcW w:w="1614" w:type="pct"/>
                  <w:tcBorders>
                    <w:tl2br w:val="nil"/>
                    <w:tr2bl w:val="nil"/>
                  </w:tcBorders>
                  <w:shd w:val="clear" w:color="auto" w:fill="auto"/>
                  <w:vAlign w:val="center"/>
                </w:tcPr>
                <w:p w14:paraId="258607A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lang w:val="en-US" w:eastAsia="zh-CN"/>
                    </w:rPr>
                    <w:t>危险废物委托有资质单位处置</w:t>
                  </w:r>
                </w:p>
              </w:tc>
              <w:tc>
                <w:tcPr>
                  <w:tcW w:w="805" w:type="pct"/>
                  <w:tcBorders>
                    <w:tl2br w:val="nil"/>
                    <w:tr2bl w:val="nil"/>
                  </w:tcBorders>
                  <w:vAlign w:val="center"/>
                </w:tcPr>
                <w:p w14:paraId="4B43583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bCs/>
                      <w:color w:val="auto"/>
                      <w:sz w:val="21"/>
                      <w:szCs w:val="21"/>
                      <w:highlight w:val="none"/>
                      <w:lang w:val="en-US" w:eastAsia="zh-CN"/>
                    </w:rPr>
                  </w:pPr>
                  <w:r>
                    <w:rPr>
                      <w:rFonts w:hint="eastAsia" w:eastAsia="仿宋" w:cs="Times New Roman"/>
                      <w:color w:val="auto"/>
                      <w:sz w:val="21"/>
                      <w:szCs w:val="21"/>
                      <w:highlight w:val="none"/>
                      <w:lang w:val="en-US" w:eastAsia="zh-CN"/>
                    </w:rPr>
                    <w:t>依托现有位置的情况下租赁面积增大</w:t>
                  </w:r>
                </w:p>
              </w:tc>
            </w:tr>
            <w:tr w14:paraId="4D993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18C88DF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continue"/>
                  <w:tcBorders>
                    <w:tl2br w:val="nil"/>
                    <w:tr2bl w:val="nil"/>
                  </w:tcBorders>
                  <w:vAlign w:val="center"/>
                </w:tcPr>
                <w:p w14:paraId="60FA51F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580" w:type="pct"/>
                  <w:tcBorders>
                    <w:tl2br w:val="nil"/>
                    <w:tr2bl w:val="nil"/>
                  </w:tcBorders>
                  <w:shd w:val="clear" w:color="auto" w:fill="auto"/>
                  <w:vAlign w:val="center"/>
                </w:tcPr>
                <w:p w14:paraId="5B8BEA4C">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bCs/>
                      <w:color w:val="auto"/>
                      <w:sz w:val="21"/>
                      <w:szCs w:val="21"/>
                      <w:highlight w:val="none"/>
                    </w:rPr>
                    <w:t>一般固废</w:t>
                  </w:r>
                  <w:r>
                    <w:rPr>
                      <w:rFonts w:hint="default" w:ascii="Times New Roman" w:hAnsi="Times New Roman" w:eastAsia="仿宋" w:cs="Times New Roman"/>
                      <w:bCs/>
                      <w:color w:val="auto"/>
                      <w:sz w:val="21"/>
                      <w:szCs w:val="21"/>
                      <w:highlight w:val="none"/>
                      <w:lang w:val="en-US" w:eastAsia="zh-CN"/>
                    </w:rPr>
                    <w:t>暂存间</w:t>
                  </w:r>
                </w:p>
              </w:tc>
              <w:tc>
                <w:tcPr>
                  <w:tcW w:w="1280" w:type="pct"/>
                  <w:tcBorders>
                    <w:tl2br w:val="nil"/>
                    <w:tr2bl w:val="nil"/>
                  </w:tcBorders>
                  <w:shd w:val="clear" w:color="auto" w:fill="auto"/>
                  <w:vAlign w:val="center"/>
                </w:tcPr>
                <w:p w14:paraId="39D3AE6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lang w:val="en-US" w:eastAsia="zh-CN"/>
                    </w:rPr>
                    <w:t>一般固废外售综合利用</w:t>
                  </w:r>
                </w:p>
              </w:tc>
              <w:tc>
                <w:tcPr>
                  <w:tcW w:w="1614" w:type="pct"/>
                  <w:tcBorders>
                    <w:tl2br w:val="nil"/>
                    <w:tr2bl w:val="nil"/>
                  </w:tcBorders>
                  <w:shd w:val="clear" w:color="auto" w:fill="auto"/>
                  <w:vAlign w:val="center"/>
                </w:tcPr>
                <w:p w14:paraId="7A6F4944">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lang w:val="en-US" w:eastAsia="zh-CN"/>
                    </w:rPr>
                    <w:t>一般固废外售综合利用</w:t>
                  </w:r>
                </w:p>
              </w:tc>
              <w:tc>
                <w:tcPr>
                  <w:tcW w:w="805" w:type="pct"/>
                  <w:tcBorders>
                    <w:tl2br w:val="nil"/>
                    <w:tr2bl w:val="nil"/>
                  </w:tcBorders>
                  <w:vAlign w:val="center"/>
                </w:tcPr>
                <w:p w14:paraId="1BB789B0">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依托现有</w:t>
                  </w:r>
                </w:p>
              </w:tc>
            </w:tr>
            <w:tr w14:paraId="2BE0E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69" w:type="pct"/>
                  <w:vMerge w:val="continue"/>
                  <w:tcBorders>
                    <w:tl2br w:val="nil"/>
                    <w:tr2bl w:val="nil"/>
                  </w:tcBorders>
                  <w:vAlign w:val="center"/>
                </w:tcPr>
                <w:p w14:paraId="2E09D18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350" w:type="pct"/>
                  <w:vMerge w:val="continue"/>
                  <w:tcBorders>
                    <w:tl2br w:val="nil"/>
                    <w:tr2bl w:val="nil"/>
                  </w:tcBorders>
                  <w:vAlign w:val="center"/>
                </w:tcPr>
                <w:p w14:paraId="49B7B18F">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p>
              </w:tc>
              <w:tc>
                <w:tcPr>
                  <w:tcW w:w="580" w:type="pct"/>
                  <w:tcBorders>
                    <w:tl2br w:val="nil"/>
                    <w:tr2bl w:val="nil"/>
                  </w:tcBorders>
                  <w:vAlign w:val="center"/>
                </w:tcPr>
                <w:p w14:paraId="24B1F777">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生活垃圾</w:t>
                  </w:r>
                </w:p>
              </w:tc>
              <w:tc>
                <w:tcPr>
                  <w:tcW w:w="1280" w:type="pct"/>
                  <w:tcBorders>
                    <w:tl2br w:val="nil"/>
                    <w:tr2bl w:val="nil"/>
                  </w:tcBorders>
                  <w:vAlign w:val="center"/>
                </w:tcPr>
                <w:p w14:paraId="2723976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rPr>
                    <w:t>垃圾桶若</w:t>
                  </w:r>
                  <w:r>
                    <w:rPr>
                      <w:rFonts w:hint="eastAsia" w:eastAsia="仿宋" w:cs="Times New Roman"/>
                      <w:bCs/>
                      <w:color w:val="auto"/>
                      <w:sz w:val="21"/>
                      <w:szCs w:val="21"/>
                      <w:highlight w:val="none"/>
                      <w:lang w:val="en-US" w:eastAsia="zh-CN"/>
                    </w:rPr>
                    <w:t>干</w:t>
                  </w:r>
                  <w:r>
                    <w:rPr>
                      <w:rFonts w:hint="eastAsia" w:eastAsia="仿宋" w:cs="Times New Roman"/>
                      <w:bCs/>
                      <w:color w:val="auto"/>
                      <w:sz w:val="21"/>
                      <w:szCs w:val="21"/>
                      <w:highlight w:val="none"/>
                      <w:lang w:eastAsia="zh-CN"/>
                    </w:rPr>
                    <w:t>，环卫部门清运</w:t>
                  </w:r>
                </w:p>
              </w:tc>
              <w:tc>
                <w:tcPr>
                  <w:tcW w:w="1614" w:type="pct"/>
                  <w:tcBorders>
                    <w:tl2br w:val="nil"/>
                    <w:tr2bl w:val="nil"/>
                  </w:tcBorders>
                  <w:vAlign w:val="center"/>
                </w:tcPr>
                <w:p w14:paraId="060F2D5B">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垃</w:t>
                  </w:r>
                  <w:r>
                    <w:rPr>
                      <w:rFonts w:hint="default" w:ascii="Times New Roman" w:hAnsi="Times New Roman" w:eastAsia="仿宋" w:cs="Times New Roman"/>
                      <w:color w:val="auto"/>
                      <w:lang w:val="en-US" w:eastAsia="zh-CN"/>
                    </w:rPr>
                    <w:t>圾桶若</w:t>
                  </w:r>
                  <w:r>
                    <w:rPr>
                      <w:rFonts w:hint="eastAsia" w:ascii="Times New Roman" w:hAnsi="Times New Roman" w:eastAsia="仿宋" w:cs="Times New Roman"/>
                      <w:color w:val="auto"/>
                      <w:lang w:val="en-US" w:eastAsia="zh-CN"/>
                    </w:rPr>
                    <w:t>干，环</w:t>
                  </w:r>
                  <w:r>
                    <w:rPr>
                      <w:rFonts w:hint="eastAsia" w:eastAsia="仿宋" w:cs="Times New Roman"/>
                      <w:bCs/>
                      <w:color w:val="auto"/>
                      <w:sz w:val="21"/>
                      <w:szCs w:val="21"/>
                      <w:highlight w:val="none"/>
                      <w:lang w:eastAsia="zh-CN"/>
                    </w:rPr>
                    <w:t>卫部门清运</w:t>
                  </w:r>
                </w:p>
              </w:tc>
              <w:tc>
                <w:tcPr>
                  <w:tcW w:w="805" w:type="pct"/>
                  <w:tcBorders>
                    <w:tl2br w:val="nil"/>
                    <w:tr2bl w:val="nil"/>
                  </w:tcBorders>
                  <w:vAlign w:val="center"/>
                </w:tcPr>
                <w:p w14:paraId="50F8698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 w:val="21"/>
                      <w:szCs w:val="21"/>
                      <w:highlight w:val="none"/>
                    </w:rPr>
                  </w:pPr>
                  <w:r>
                    <w:rPr>
                      <w:rFonts w:hint="eastAsia" w:eastAsia="仿宋" w:cs="Times New Roman"/>
                      <w:color w:val="auto"/>
                      <w:sz w:val="21"/>
                      <w:szCs w:val="21"/>
                      <w:highlight w:val="none"/>
                      <w:lang w:val="en-US" w:eastAsia="zh-CN"/>
                    </w:rPr>
                    <w:t>/</w:t>
                  </w:r>
                </w:p>
              </w:tc>
            </w:tr>
          </w:tbl>
          <w:p w14:paraId="0BD831E4">
            <w:pPr>
              <w:adjustRightInd w:val="0"/>
              <w:snapToGrid w:val="0"/>
              <w:spacing w:line="360" w:lineRule="auto"/>
              <w:rPr>
                <w:b/>
                <w:color w:val="auto"/>
                <w:sz w:val="24"/>
                <w:szCs w:val="24"/>
                <w:highlight w:val="none"/>
              </w:rPr>
            </w:pPr>
            <w:r>
              <w:rPr>
                <w:rFonts w:hint="eastAsia"/>
                <w:b/>
                <w:color w:val="auto"/>
                <w:sz w:val="24"/>
                <w:szCs w:val="24"/>
                <w:highlight w:val="none"/>
                <w:lang w:val="en-US" w:eastAsia="zh-CN"/>
              </w:rPr>
              <w:t>4、</w:t>
            </w:r>
            <w:r>
              <w:rPr>
                <w:rFonts w:hint="eastAsia"/>
                <w:b/>
                <w:color w:val="auto"/>
                <w:sz w:val="24"/>
                <w:szCs w:val="24"/>
                <w:highlight w:val="none"/>
              </w:rPr>
              <w:t>产品方案</w:t>
            </w:r>
          </w:p>
          <w:p w14:paraId="26C5FDDC">
            <w:pPr>
              <w:adjustRightInd w:val="0"/>
              <w:snapToGrid w:val="0"/>
              <w:spacing w:line="360" w:lineRule="auto"/>
              <w:rPr>
                <w:rFonts w:hint="default"/>
                <w:b/>
                <w:color w:val="auto"/>
                <w:sz w:val="24"/>
                <w:szCs w:val="24"/>
                <w:highlight w:val="none"/>
                <w:lang w:val="en-US" w:eastAsia="zh-CN"/>
              </w:rPr>
            </w:pPr>
            <w:r>
              <w:rPr>
                <w:rFonts w:hint="eastAsia"/>
                <w:b/>
                <w:color w:val="auto"/>
                <w:sz w:val="24"/>
                <w:szCs w:val="24"/>
                <w:highlight w:val="none"/>
                <w:lang w:val="en-US" w:eastAsia="zh-CN"/>
              </w:rPr>
              <w:t>4.1  产品产能情况表</w:t>
            </w:r>
          </w:p>
          <w:p w14:paraId="7FFEB51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产品产能情况表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71"/>
              <w:gridCol w:w="1598"/>
              <w:gridCol w:w="2310"/>
              <w:gridCol w:w="1079"/>
              <w:gridCol w:w="1009"/>
              <w:gridCol w:w="1242"/>
              <w:gridCol w:w="1344"/>
            </w:tblGrid>
            <w:tr w14:paraId="2E926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63" w:type="pct"/>
                  <w:vMerge w:val="restart"/>
                  <w:tcBorders>
                    <w:tl2br w:val="nil"/>
                    <w:tr2bl w:val="nil"/>
                  </w:tcBorders>
                  <w:vAlign w:val="center"/>
                </w:tcPr>
                <w:p w14:paraId="5E4C30DB">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工程名称</w:t>
                  </w:r>
                </w:p>
              </w:tc>
              <w:tc>
                <w:tcPr>
                  <w:tcW w:w="864" w:type="pct"/>
                  <w:vMerge w:val="restart"/>
                  <w:tcBorders>
                    <w:tl2br w:val="nil"/>
                    <w:tr2bl w:val="nil"/>
                  </w:tcBorders>
                  <w:vAlign w:val="center"/>
                </w:tcPr>
                <w:p w14:paraId="69773010">
                  <w:pPr>
                    <w:pStyle w:val="31"/>
                    <w:rPr>
                      <w:rFonts w:hint="default" w:ascii="Times New Roman" w:hAnsi="Times New Roman" w:eastAsia="仿宋" w:cs="Times New Roman"/>
                      <w:b/>
                      <w:bCs w:val="0"/>
                      <w:color w:val="auto"/>
                      <w:sz w:val="21"/>
                      <w:szCs w:val="21"/>
                      <w:highlight w:val="none"/>
                      <w:lang w:val="en-US" w:eastAsia="zh-CN"/>
                    </w:rPr>
                  </w:pPr>
                  <w:r>
                    <w:rPr>
                      <w:rFonts w:hint="default" w:ascii="Times New Roman" w:hAnsi="Times New Roman" w:eastAsia="仿宋" w:cs="Times New Roman"/>
                      <w:b/>
                      <w:bCs w:val="0"/>
                      <w:color w:val="auto"/>
                      <w:sz w:val="21"/>
                      <w:szCs w:val="21"/>
                      <w:highlight w:val="none"/>
                    </w:rPr>
                    <w:t>产品名称</w:t>
                  </w:r>
                </w:p>
              </w:tc>
              <w:tc>
                <w:tcPr>
                  <w:tcW w:w="1248" w:type="pct"/>
                  <w:vMerge w:val="restart"/>
                  <w:tcBorders>
                    <w:tl2br w:val="nil"/>
                    <w:tr2bl w:val="nil"/>
                  </w:tcBorders>
                  <w:vAlign w:val="center"/>
                </w:tcPr>
                <w:p w14:paraId="11F93668">
                  <w:pPr>
                    <w:pStyle w:val="31"/>
                    <w:rPr>
                      <w:rFonts w:hint="default" w:ascii="Times New Roman" w:hAnsi="Times New Roman" w:eastAsia="仿宋" w:cs="Times New Roman"/>
                      <w:b/>
                      <w:bCs w:val="0"/>
                      <w:color w:val="auto"/>
                      <w:sz w:val="21"/>
                      <w:szCs w:val="21"/>
                      <w:highlight w:val="none"/>
                    </w:rPr>
                  </w:pPr>
                  <w:r>
                    <w:rPr>
                      <w:rFonts w:hint="eastAsia" w:eastAsia="仿宋" w:cs="Times New Roman"/>
                      <w:b/>
                      <w:bCs w:val="0"/>
                      <w:color w:val="auto"/>
                      <w:sz w:val="21"/>
                      <w:szCs w:val="21"/>
                      <w:highlight w:val="none"/>
                      <w:lang w:val="en-US" w:eastAsia="zh-CN"/>
                    </w:rPr>
                    <w:t>规格范围</w:t>
                  </w:r>
                </w:p>
              </w:tc>
              <w:tc>
                <w:tcPr>
                  <w:tcW w:w="1799" w:type="pct"/>
                  <w:gridSpan w:val="3"/>
                  <w:tcBorders>
                    <w:tl2br w:val="nil"/>
                    <w:tr2bl w:val="nil"/>
                  </w:tcBorders>
                  <w:vAlign w:val="center"/>
                </w:tcPr>
                <w:p w14:paraId="01B488D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年设计能力</w:t>
                  </w:r>
                </w:p>
              </w:tc>
              <w:tc>
                <w:tcPr>
                  <w:tcW w:w="724" w:type="pct"/>
                  <w:vMerge w:val="restart"/>
                  <w:tcBorders>
                    <w:tl2br w:val="nil"/>
                    <w:tr2bl w:val="nil"/>
                  </w:tcBorders>
                  <w:vAlign w:val="center"/>
                </w:tcPr>
                <w:p w14:paraId="497F2A9B">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年运行时数（h）</w:t>
                  </w:r>
                </w:p>
              </w:tc>
            </w:tr>
            <w:tr w14:paraId="738BD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63" w:type="pct"/>
                  <w:vMerge w:val="continue"/>
                  <w:tcBorders>
                    <w:tl2br w:val="nil"/>
                    <w:tr2bl w:val="nil"/>
                  </w:tcBorders>
                  <w:vAlign w:val="center"/>
                </w:tcPr>
                <w:p w14:paraId="275C7DA6">
                  <w:pPr>
                    <w:pStyle w:val="31"/>
                    <w:rPr>
                      <w:rFonts w:hint="default" w:ascii="Times New Roman" w:hAnsi="Times New Roman" w:eastAsia="仿宋" w:cs="Times New Roman"/>
                      <w:color w:val="auto"/>
                    </w:rPr>
                  </w:pPr>
                </w:p>
              </w:tc>
              <w:tc>
                <w:tcPr>
                  <w:tcW w:w="864" w:type="pct"/>
                  <w:vMerge w:val="continue"/>
                  <w:tcBorders>
                    <w:tl2br w:val="nil"/>
                    <w:tr2bl w:val="nil"/>
                  </w:tcBorders>
                  <w:vAlign w:val="center"/>
                </w:tcPr>
                <w:p w14:paraId="4CE0BBF4">
                  <w:pPr>
                    <w:pStyle w:val="31"/>
                    <w:rPr>
                      <w:rFonts w:hint="default" w:ascii="Times New Roman" w:hAnsi="Times New Roman" w:eastAsia="仿宋" w:cs="Times New Roman"/>
                      <w:color w:val="auto"/>
                    </w:rPr>
                  </w:pPr>
                </w:p>
              </w:tc>
              <w:tc>
                <w:tcPr>
                  <w:tcW w:w="1248" w:type="pct"/>
                  <w:vMerge w:val="continue"/>
                  <w:tcBorders>
                    <w:tl2br w:val="nil"/>
                    <w:tr2bl w:val="nil"/>
                  </w:tcBorders>
                  <w:vAlign w:val="center"/>
                </w:tcPr>
                <w:p w14:paraId="2BC88FF9">
                  <w:pPr>
                    <w:pStyle w:val="31"/>
                    <w:rPr>
                      <w:rFonts w:hint="default" w:ascii="Times New Roman" w:hAnsi="Times New Roman" w:eastAsia="仿宋" w:cs="Times New Roman"/>
                      <w:color w:val="auto"/>
                    </w:rPr>
                  </w:pPr>
                </w:p>
              </w:tc>
              <w:tc>
                <w:tcPr>
                  <w:tcW w:w="583" w:type="pct"/>
                  <w:tcBorders>
                    <w:tl2br w:val="nil"/>
                    <w:tr2bl w:val="nil"/>
                  </w:tcBorders>
                  <w:vAlign w:val="center"/>
                </w:tcPr>
                <w:p w14:paraId="250F106D">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lang w:val="en-US" w:eastAsia="zh-CN"/>
                    </w:rPr>
                  </w:pPr>
                  <w:r>
                    <w:rPr>
                      <w:rFonts w:hint="eastAsia" w:eastAsia="仿宋" w:cs="Times New Roman"/>
                      <w:b/>
                      <w:bCs/>
                      <w:color w:val="auto"/>
                      <w:lang w:val="en-US" w:eastAsia="zh-CN"/>
                    </w:rPr>
                    <w:t>扩建前</w:t>
                  </w:r>
                </w:p>
              </w:tc>
              <w:tc>
                <w:tcPr>
                  <w:tcW w:w="545" w:type="pct"/>
                  <w:tcBorders>
                    <w:tl2br w:val="nil"/>
                    <w:tr2bl w:val="nil"/>
                  </w:tcBorders>
                  <w:vAlign w:val="center"/>
                </w:tcPr>
                <w:p w14:paraId="79B40542">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lang w:val="en-US" w:eastAsia="zh-CN"/>
                    </w:rPr>
                  </w:pPr>
                  <w:r>
                    <w:rPr>
                      <w:rFonts w:hint="eastAsia" w:eastAsia="仿宋" w:cs="Times New Roman"/>
                      <w:b/>
                      <w:color w:val="auto"/>
                      <w:sz w:val="21"/>
                      <w:szCs w:val="21"/>
                      <w:highlight w:val="none"/>
                      <w:lang w:val="en-US" w:eastAsia="zh-CN"/>
                    </w:rPr>
                    <w:t>扩建后</w:t>
                  </w:r>
                </w:p>
              </w:tc>
              <w:tc>
                <w:tcPr>
                  <w:tcW w:w="671" w:type="pct"/>
                  <w:tcBorders>
                    <w:tl2br w:val="nil"/>
                    <w:tr2bl w:val="nil"/>
                  </w:tcBorders>
                  <w:vAlign w:val="center"/>
                </w:tcPr>
                <w:p w14:paraId="797EB7EB">
                  <w:pPr>
                    <w:pStyle w:val="31"/>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lang w:val="en-US" w:eastAsia="zh-CN"/>
                    </w:rPr>
                    <w:t>变化量</w:t>
                  </w:r>
                </w:p>
              </w:tc>
              <w:tc>
                <w:tcPr>
                  <w:tcW w:w="724" w:type="pct"/>
                  <w:vMerge w:val="continue"/>
                  <w:tcBorders>
                    <w:tl2br w:val="nil"/>
                    <w:tr2bl w:val="nil"/>
                  </w:tcBorders>
                  <w:vAlign w:val="center"/>
                </w:tcPr>
                <w:p w14:paraId="6822B819">
                  <w:pPr>
                    <w:pStyle w:val="31"/>
                    <w:rPr>
                      <w:rFonts w:hint="default" w:ascii="Times New Roman" w:hAnsi="Times New Roman" w:eastAsia="仿宋" w:cs="Times New Roman"/>
                      <w:color w:val="auto"/>
                    </w:rPr>
                  </w:pPr>
                </w:p>
              </w:tc>
            </w:tr>
            <w:tr w14:paraId="41694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3" w:type="pct"/>
                  <w:vMerge w:val="restart"/>
                  <w:tcBorders>
                    <w:tl2br w:val="nil"/>
                    <w:tr2bl w:val="nil"/>
                  </w:tcBorders>
                  <w:vAlign w:val="center"/>
                </w:tcPr>
                <w:p w14:paraId="1F7DD05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生产车间</w:t>
                  </w:r>
                </w:p>
              </w:tc>
              <w:tc>
                <w:tcPr>
                  <w:tcW w:w="864" w:type="pct"/>
                  <w:tcBorders>
                    <w:tl2br w:val="nil"/>
                    <w:tr2bl w:val="nil"/>
                  </w:tcBorders>
                  <w:vAlign w:val="center"/>
                </w:tcPr>
                <w:p w14:paraId="15128246">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电视机支架配件</w:t>
                  </w:r>
                </w:p>
              </w:tc>
              <w:tc>
                <w:tcPr>
                  <w:tcW w:w="1248" w:type="pct"/>
                  <w:tcBorders>
                    <w:tl2br w:val="nil"/>
                    <w:tr2bl w:val="nil"/>
                  </w:tcBorders>
                  <w:vAlign w:val="center"/>
                </w:tcPr>
                <w:p w14:paraId="03A4192F">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长60cm，宽20cm</w:t>
                  </w:r>
                </w:p>
              </w:tc>
              <w:tc>
                <w:tcPr>
                  <w:tcW w:w="583" w:type="pct"/>
                  <w:tcBorders>
                    <w:tl2br w:val="nil"/>
                    <w:tr2bl w:val="nil"/>
                  </w:tcBorders>
                  <w:vAlign w:val="center"/>
                </w:tcPr>
                <w:p w14:paraId="104490AB">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400t</w:t>
                  </w:r>
                </w:p>
              </w:tc>
              <w:tc>
                <w:tcPr>
                  <w:tcW w:w="545" w:type="pct"/>
                  <w:tcBorders>
                    <w:tl2br w:val="nil"/>
                    <w:tr2bl w:val="nil"/>
                  </w:tcBorders>
                  <w:shd w:val="clear" w:color="auto" w:fill="auto"/>
                  <w:vAlign w:val="center"/>
                </w:tcPr>
                <w:p w14:paraId="690AD41B">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0</w:t>
                  </w:r>
                </w:p>
              </w:tc>
              <w:tc>
                <w:tcPr>
                  <w:tcW w:w="671" w:type="pct"/>
                  <w:tcBorders>
                    <w:tl2br w:val="nil"/>
                    <w:tr2bl w:val="nil"/>
                  </w:tcBorders>
                  <w:vAlign w:val="center"/>
                </w:tcPr>
                <w:p w14:paraId="2B597DCA">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-400t</w:t>
                  </w:r>
                </w:p>
              </w:tc>
              <w:tc>
                <w:tcPr>
                  <w:tcW w:w="724" w:type="pct"/>
                  <w:tcBorders>
                    <w:tl2br w:val="nil"/>
                    <w:tr2bl w:val="nil"/>
                  </w:tcBorders>
                  <w:vAlign w:val="center"/>
                </w:tcPr>
                <w:p w14:paraId="57AC817F">
                  <w:pPr>
                    <w:pStyle w:val="31"/>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3000</w:t>
                  </w:r>
                </w:p>
              </w:tc>
            </w:tr>
            <w:tr w14:paraId="035E6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363" w:type="pct"/>
                  <w:vMerge w:val="continue"/>
                  <w:tcBorders>
                    <w:tl2br w:val="nil"/>
                    <w:tr2bl w:val="nil"/>
                  </w:tcBorders>
                  <w:vAlign w:val="center"/>
                </w:tcPr>
                <w:p w14:paraId="08A54FEA">
                  <w:pPr>
                    <w:pStyle w:val="31"/>
                    <w:rPr>
                      <w:rFonts w:hint="eastAsia" w:eastAsia="仿宋" w:cs="Times New Roman"/>
                      <w:color w:val="auto"/>
                      <w:sz w:val="21"/>
                      <w:szCs w:val="21"/>
                      <w:highlight w:val="none"/>
                      <w:lang w:val="en-US" w:eastAsia="zh-CN"/>
                    </w:rPr>
                  </w:pPr>
                </w:p>
              </w:tc>
              <w:tc>
                <w:tcPr>
                  <w:tcW w:w="864" w:type="pct"/>
                  <w:tcBorders>
                    <w:tl2br w:val="nil"/>
                    <w:tr2bl w:val="nil"/>
                  </w:tcBorders>
                  <w:vAlign w:val="center"/>
                </w:tcPr>
                <w:p w14:paraId="34C6BF34">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铁支架</w:t>
                  </w:r>
                </w:p>
              </w:tc>
              <w:tc>
                <w:tcPr>
                  <w:tcW w:w="1248" w:type="pct"/>
                  <w:tcBorders>
                    <w:tl2br w:val="nil"/>
                    <w:tr2bl w:val="nil"/>
                  </w:tcBorders>
                  <w:vAlign w:val="center"/>
                </w:tcPr>
                <w:p w14:paraId="6E83FCB5">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长80cm，宽50cm</w:t>
                  </w:r>
                </w:p>
              </w:tc>
              <w:tc>
                <w:tcPr>
                  <w:tcW w:w="583" w:type="pct"/>
                  <w:tcBorders>
                    <w:tl2br w:val="nil"/>
                    <w:tr2bl w:val="nil"/>
                  </w:tcBorders>
                  <w:vAlign w:val="center"/>
                </w:tcPr>
                <w:p w14:paraId="687F4C05">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1万件</w:t>
                  </w:r>
                </w:p>
              </w:tc>
              <w:tc>
                <w:tcPr>
                  <w:tcW w:w="545" w:type="pct"/>
                  <w:tcBorders>
                    <w:tl2br w:val="nil"/>
                    <w:tr2bl w:val="nil"/>
                  </w:tcBorders>
                  <w:shd w:val="clear" w:color="auto" w:fill="auto"/>
                  <w:vAlign w:val="center"/>
                </w:tcPr>
                <w:p w14:paraId="7541ABC2">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0</w:t>
                  </w:r>
                </w:p>
              </w:tc>
              <w:tc>
                <w:tcPr>
                  <w:tcW w:w="671" w:type="pct"/>
                  <w:tcBorders>
                    <w:tl2br w:val="nil"/>
                    <w:tr2bl w:val="nil"/>
                  </w:tcBorders>
                  <w:vAlign w:val="center"/>
                </w:tcPr>
                <w:p w14:paraId="0F182760">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-1万件</w:t>
                  </w:r>
                </w:p>
              </w:tc>
              <w:tc>
                <w:tcPr>
                  <w:tcW w:w="724" w:type="pct"/>
                  <w:tcBorders>
                    <w:tl2br w:val="nil"/>
                    <w:tr2bl w:val="nil"/>
                  </w:tcBorders>
                  <w:vAlign w:val="center"/>
                </w:tcPr>
                <w:p w14:paraId="4CBCF6D7">
                  <w:pPr>
                    <w:pStyle w:val="31"/>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3000</w:t>
                  </w:r>
                </w:p>
              </w:tc>
            </w:tr>
            <w:tr w14:paraId="3892A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363" w:type="pct"/>
                  <w:vMerge w:val="continue"/>
                  <w:tcBorders>
                    <w:tl2br w:val="nil"/>
                    <w:tr2bl w:val="nil"/>
                  </w:tcBorders>
                  <w:vAlign w:val="center"/>
                </w:tcPr>
                <w:p w14:paraId="5F93A315">
                  <w:pPr>
                    <w:pStyle w:val="31"/>
                    <w:rPr>
                      <w:rFonts w:hint="default" w:ascii="Times New Roman" w:hAnsi="Times New Roman" w:eastAsia="仿宋" w:cs="Times New Roman"/>
                      <w:color w:val="auto"/>
                      <w:sz w:val="21"/>
                      <w:szCs w:val="21"/>
                      <w:highlight w:val="none"/>
                      <w:lang w:val="en-US" w:eastAsia="zh-CN"/>
                    </w:rPr>
                  </w:pPr>
                </w:p>
              </w:tc>
              <w:tc>
                <w:tcPr>
                  <w:tcW w:w="864" w:type="pct"/>
                  <w:tcBorders>
                    <w:tl2br w:val="nil"/>
                    <w:tr2bl w:val="nil"/>
                  </w:tcBorders>
                  <w:vAlign w:val="center"/>
                </w:tcPr>
                <w:p w14:paraId="79667CC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新能源汽车冷却类零部件</w:t>
                  </w:r>
                </w:p>
              </w:tc>
              <w:tc>
                <w:tcPr>
                  <w:tcW w:w="1248" w:type="pct"/>
                  <w:tcBorders>
                    <w:tl2br w:val="nil"/>
                    <w:tr2bl w:val="nil"/>
                  </w:tcBorders>
                  <w:vAlign w:val="center"/>
                </w:tcPr>
                <w:p w14:paraId="5B51D0B0">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20cm*30cm*0.2cm~50cm*60cm*0.2cm</w:t>
                  </w:r>
                </w:p>
              </w:tc>
              <w:tc>
                <w:tcPr>
                  <w:tcW w:w="583" w:type="pct"/>
                  <w:tcBorders>
                    <w:tl2br w:val="nil"/>
                    <w:tr2bl w:val="nil"/>
                  </w:tcBorders>
                  <w:vAlign w:val="center"/>
                </w:tcPr>
                <w:p w14:paraId="36F278DD">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w:t>
                  </w:r>
                </w:p>
              </w:tc>
              <w:tc>
                <w:tcPr>
                  <w:tcW w:w="545" w:type="pct"/>
                  <w:tcBorders>
                    <w:tl2br w:val="nil"/>
                    <w:tr2bl w:val="nil"/>
                  </w:tcBorders>
                  <w:shd w:val="clear" w:color="auto" w:fill="auto"/>
                  <w:vAlign w:val="center"/>
                </w:tcPr>
                <w:p w14:paraId="42FA81E1">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60万件</w:t>
                  </w:r>
                </w:p>
              </w:tc>
              <w:tc>
                <w:tcPr>
                  <w:tcW w:w="671" w:type="pct"/>
                  <w:tcBorders>
                    <w:tl2br w:val="nil"/>
                    <w:tr2bl w:val="nil"/>
                  </w:tcBorders>
                  <w:vAlign w:val="center"/>
                </w:tcPr>
                <w:p w14:paraId="0BE8841F">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+60万件</w:t>
                  </w:r>
                </w:p>
              </w:tc>
              <w:tc>
                <w:tcPr>
                  <w:tcW w:w="724" w:type="pct"/>
                  <w:tcBorders>
                    <w:tl2br w:val="nil"/>
                    <w:tr2bl w:val="nil"/>
                  </w:tcBorders>
                  <w:vAlign w:val="center"/>
                </w:tcPr>
                <w:p w14:paraId="539F5488">
                  <w:pPr>
                    <w:pStyle w:val="31"/>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3000</w:t>
                  </w:r>
                </w:p>
              </w:tc>
            </w:tr>
            <w:tr w14:paraId="2C2DE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5000" w:type="pct"/>
                  <w:gridSpan w:val="7"/>
                  <w:tcBorders>
                    <w:tl2br w:val="nil"/>
                    <w:tr2bl w:val="nil"/>
                  </w:tcBorders>
                  <w:vAlign w:val="center"/>
                </w:tcPr>
                <w:p w14:paraId="6DF1B220">
                  <w:pPr>
                    <w:pStyle w:val="31"/>
                    <w:jc w:val="both"/>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注：本项目建成后年产新能源汽车冷却类零部件60万件，该产能较现有项目产能扩大，原辅材料使用量也相应增加。</w:t>
                  </w:r>
                </w:p>
              </w:tc>
            </w:tr>
          </w:tbl>
          <w:p w14:paraId="2391A14E">
            <w:pPr>
              <w:adjustRightInd w:val="0"/>
              <w:snapToGrid w:val="0"/>
              <w:spacing w:line="360" w:lineRule="auto"/>
              <w:rPr>
                <w:rFonts w:hint="default"/>
                <w:b/>
                <w:color w:val="auto"/>
                <w:sz w:val="24"/>
                <w:szCs w:val="24"/>
                <w:highlight w:val="none"/>
                <w:lang w:val="en-US" w:eastAsia="zh-CN"/>
              </w:rPr>
            </w:pPr>
            <w:r>
              <w:rPr>
                <w:rFonts w:hint="eastAsia"/>
                <w:b/>
                <w:color w:val="auto"/>
                <w:sz w:val="24"/>
                <w:szCs w:val="24"/>
                <w:highlight w:val="none"/>
                <w:lang w:val="en-US" w:eastAsia="zh-CN"/>
              </w:rPr>
              <w:t>4.2  生产节拍与产能匹配性</w:t>
            </w:r>
          </w:p>
          <w:p w14:paraId="7B93E840">
            <w:pPr>
              <w:adjustRightInd w:val="0"/>
              <w:snapToGrid w:val="0"/>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根据建设单位提供的资料，电泳工序（包含前处理+电泳）处理一批次所需时间为0.5h，单批次可处理45件；喷粉前处理工序处理一批次所需时间为1h，单批次可处理45件。</w:t>
            </w:r>
          </w:p>
          <w:p w14:paraId="6C3CC02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涂装线生产节拍与产能匹配性一览表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433"/>
              <w:gridCol w:w="1581"/>
              <w:gridCol w:w="1472"/>
              <w:gridCol w:w="996"/>
              <w:gridCol w:w="1076"/>
              <w:gridCol w:w="843"/>
              <w:gridCol w:w="852"/>
            </w:tblGrid>
            <w:tr w14:paraId="3D97A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1314" w:type="pct"/>
                  <w:tcBorders>
                    <w:tl2br w:val="nil"/>
                    <w:tr2bl w:val="nil"/>
                  </w:tcBorders>
                  <w:vAlign w:val="center"/>
                </w:tcPr>
                <w:p w14:paraId="7ED158D2">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生产线</w:t>
                  </w:r>
                </w:p>
              </w:tc>
              <w:tc>
                <w:tcPr>
                  <w:tcW w:w="854" w:type="pct"/>
                  <w:tcBorders>
                    <w:tl2br w:val="nil"/>
                    <w:tr2bl w:val="nil"/>
                  </w:tcBorders>
                  <w:vAlign w:val="center"/>
                </w:tcPr>
                <w:p w14:paraId="30762D23">
                  <w:pPr>
                    <w:pStyle w:val="31"/>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单批次处理工件数（件）</w:t>
                  </w:r>
                </w:p>
              </w:tc>
              <w:tc>
                <w:tcPr>
                  <w:tcW w:w="795" w:type="pct"/>
                  <w:tcBorders>
                    <w:tl2br w:val="nil"/>
                    <w:tr2bl w:val="nil"/>
                  </w:tcBorders>
                  <w:vAlign w:val="center"/>
                </w:tcPr>
                <w:p w14:paraId="6E37DD42">
                  <w:pPr>
                    <w:pStyle w:val="31"/>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单批次处理所需时间（h）</w:t>
                  </w:r>
                </w:p>
              </w:tc>
              <w:tc>
                <w:tcPr>
                  <w:tcW w:w="538" w:type="pct"/>
                  <w:tcBorders>
                    <w:tl2br w:val="nil"/>
                    <w:tr2bl w:val="nil"/>
                  </w:tcBorders>
                  <w:shd w:val="clear" w:color="auto" w:fill="auto"/>
                  <w:vAlign w:val="center"/>
                </w:tcPr>
                <w:p w14:paraId="5A43D246">
                  <w:pPr>
                    <w:pStyle w:val="31"/>
                    <w:rPr>
                      <w:rFonts w:hint="default" w:ascii="Times New Roman" w:hAnsi="Times New Roman" w:eastAsia="仿宋" w:cs="Times New Roman"/>
                      <w:b/>
                      <w:color w:val="auto"/>
                      <w:kern w:val="0"/>
                      <w:sz w:val="21"/>
                      <w:szCs w:val="21"/>
                      <w:highlight w:val="none"/>
                      <w:lang w:val="en-US" w:eastAsia="zh-CN" w:bidi="ar-SA"/>
                    </w:rPr>
                  </w:pPr>
                  <w:r>
                    <w:rPr>
                      <w:rFonts w:hint="default" w:ascii="Times New Roman" w:hAnsi="Times New Roman" w:eastAsia="仿宋" w:cs="Times New Roman"/>
                      <w:b/>
                      <w:color w:val="auto"/>
                      <w:sz w:val="21"/>
                      <w:szCs w:val="21"/>
                      <w:highlight w:val="none"/>
                    </w:rPr>
                    <w:t>年运行时数（h）</w:t>
                  </w:r>
                </w:p>
              </w:tc>
              <w:tc>
                <w:tcPr>
                  <w:tcW w:w="581" w:type="pct"/>
                  <w:tcBorders>
                    <w:tl2br w:val="nil"/>
                    <w:tr2bl w:val="nil"/>
                  </w:tcBorders>
                  <w:vAlign w:val="center"/>
                </w:tcPr>
                <w:p w14:paraId="6D031BE8">
                  <w:pPr>
                    <w:pStyle w:val="31"/>
                    <w:rPr>
                      <w:rFonts w:hint="eastAsia"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最大产能</w:t>
                  </w:r>
                </w:p>
                <w:p w14:paraId="58F04FF7">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（万件/a）</w:t>
                  </w:r>
                </w:p>
              </w:tc>
              <w:tc>
                <w:tcPr>
                  <w:tcW w:w="915" w:type="pct"/>
                  <w:gridSpan w:val="2"/>
                  <w:tcBorders>
                    <w:tl2br w:val="nil"/>
                    <w:tr2bl w:val="nil"/>
                  </w:tcBorders>
                  <w:vAlign w:val="center"/>
                </w:tcPr>
                <w:p w14:paraId="1ACD0140">
                  <w:pPr>
                    <w:pStyle w:val="31"/>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本项目设计产能（万件/a）</w:t>
                  </w:r>
                </w:p>
              </w:tc>
            </w:tr>
            <w:tr w14:paraId="01806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314" w:type="pct"/>
                  <w:tcBorders>
                    <w:tl2br w:val="nil"/>
                    <w:tr2bl w:val="nil"/>
                  </w:tcBorders>
                  <w:vAlign w:val="center"/>
                </w:tcPr>
                <w:p w14:paraId="20240350">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电泳前处理1线+电泳1线</w:t>
                  </w:r>
                </w:p>
              </w:tc>
              <w:tc>
                <w:tcPr>
                  <w:tcW w:w="854" w:type="pct"/>
                  <w:tcBorders>
                    <w:tl2br w:val="nil"/>
                    <w:tr2bl w:val="nil"/>
                  </w:tcBorders>
                  <w:vAlign w:val="center"/>
                </w:tcPr>
                <w:p w14:paraId="6AC8F86F">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795" w:type="pct"/>
                  <w:tcBorders>
                    <w:tl2br w:val="nil"/>
                    <w:tr2bl w:val="nil"/>
                  </w:tcBorders>
                  <w:vAlign w:val="center"/>
                </w:tcPr>
                <w:p w14:paraId="319265FC">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w:t>
                  </w:r>
                </w:p>
              </w:tc>
              <w:tc>
                <w:tcPr>
                  <w:tcW w:w="538" w:type="pct"/>
                  <w:tcBorders>
                    <w:tl2br w:val="nil"/>
                    <w:tr2bl w:val="nil"/>
                  </w:tcBorders>
                  <w:shd w:val="clear" w:color="auto" w:fill="auto"/>
                  <w:vAlign w:val="center"/>
                </w:tcPr>
                <w:p w14:paraId="4A5BC25D">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3000</w:t>
                  </w:r>
                </w:p>
              </w:tc>
              <w:tc>
                <w:tcPr>
                  <w:tcW w:w="581" w:type="pct"/>
                  <w:tcBorders>
                    <w:tl2br w:val="nil"/>
                    <w:tr2bl w:val="nil"/>
                  </w:tcBorders>
                  <w:vAlign w:val="center"/>
                </w:tcPr>
                <w:p w14:paraId="03CDA105">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27</w:t>
                  </w:r>
                </w:p>
              </w:tc>
              <w:tc>
                <w:tcPr>
                  <w:tcW w:w="455" w:type="pct"/>
                  <w:tcBorders>
                    <w:tl2br w:val="nil"/>
                    <w:tr2bl w:val="nil"/>
                  </w:tcBorders>
                  <w:vAlign w:val="center"/>
                </w:tcPr>
                <w:p w14:paraId="1EAA8407">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w:t>
                  </w:r>
                </w:p>
              </w:tc>
              <w:tc>
                <w:tcPr>
                  <w:tcW w:w="460" w:type="pct"/>
                  <w:vMerge w:val="restart"/>
                  <w:tcBorders>
                    <w:tl2br w:val="nil"/>
                    <w:tr2bl w:val="nil"/>
                  </w:tcBorders>
                  <w:vAlign w:val="center"/>
                </w:tcPr>
                <w:p w14:paraId="135F5531">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w:t>
                  </w:r>
                </w:p>
              </w:tc>
            </w:tr>
            <w:tr w14:paraId="36C69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314" w:type="pct"/>
                  <w:tcBorders>
                    <w:tl2br w:val="nil"/>
                    <w:tr2bl w:val="nil"/>
                  </w:tcBorders>
                  <w:vAlign w:val="center"/>
                </w:tcPr>
                <w:p w14:paraId="0587865C">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电泳前处理2线+电泳2线</w:t>
                  </w:r>
                </w:p>
              </w:tc>
              <w:tc>
                <w:tcPr>
                  <w:tcW w:w="854" w:type="pct"/>
                  <w:tcBorders>
                    <w:tl2br w:val="nil"/>
                    <w:tr2bl w:val="nil"/>
                  </w:tcBorders>
                  <w:vAlign w:val="center"/>
                </w:tcPr>
                <w:p w14:paraId="3A1B7C26">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795" w:type="pct"/>
                  <w:tcBorders>
                    <w:tl2br w:val="nil"/>
                    <w:tr2bl w:val="nil"/>
                  </w:tcBorders>
                  <w:vAlign w:val="center"/>
                </w:tcPr>
                <w:p w14:paraId="33EA5965">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w:t>
                  </w:r>
                </w:p>
              </w:tc>
              <w:tc>
                <w:tcPr>
                  <w:tcW w:w="538" w:type="pct"/>
                  <w:tcBorders>
                    <w:tl2br w:val="nil"/>
                    <w:tr2bl w:val="nil"/>
                  </w:tcBorders>
                  <w:shd w:val="clear" w:color="auto" w:fill="auto"/>
                  <w:vAlign w:val="center"/>
                </w:tcPr>
                <w:p w14:paraId="0D0AAD69">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3000</w:t>
                  </w:r>
                </w:p>
              </w:tc>
              <w:tc>
                <w:tcPr>
                  <w:tcW w:w="581" w:type="pct"/>
                  <w:tcBorders>
                    <w:tl2br w:val="nil"/>
                    <w:tr2bl w:val="nil"/>
                  </w:tcBorders>
                  <w:vAlign w:val="center"/>
                </w:tcPr>
                <w:p w14:paraId="7CEB6FF2">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27</w:t>
                  </w:r>
                </w:p>
              </w:tc>
              <w:tc>
                <w:tcPr>
                  <w:tcW w:w="455" w:type="pct"/>
                  <w:tcBorders>
                    <w:tl2br w:val="nil"/>
                    <w:tr2bl w:val="nil"/>
                  </w:tcBorders>
                  <w:vAlign w:val="center"/>
                </w:tcPr>
                <w:p w14:paraId="4A9B7D91">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w:t>
                  </w:r>
                </w:p>
              </w:tc>
              <w:tc>
                <w:tcPr>
                  <w:tcW w:w="460" w:type="pct"/>
                  <w:vMerge w:val="continue"/>
                  <w:tcBorders>
                    <w:tl2br w:val="nil"/>
                    <w:tr2bl w:val="nil"/>
                  </w:tcBorders>
                  <w:vAlign w:val="center"/>
                </w:tcPr>
                <w:p w14:paraId="35E778D5">
                  <w:pPr>
                    <w:pStyle w:val="31"/>
                    <w:rPr>
                      <w:rFonts w:hint="eastAsia" w:eastAsia="仿宋" w:cs="Times New Roman"/>
                      <w:color w:val="auto"/>
                      <w:sz w:val="21"/>
                      <w:szCs w:val="21"/>
                      <w:highlight w:val="none"/>
                      <w:lang w:val="en-US" w:eastAsia="zh-CN"/>
                    </w:rPr>
                  </w:pPr>
                </w:p>
              </w:tc>
            </w:tr>
            <w:tr w14:paraId="28842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314" w:type="pct"/>
                  <w:tcBorders>
                    <w:tl2br w:val="nil"/>
                    <w:tr2bl w:val="nil"/>
                  </w:tcBorders>
                  <w:vAlign w:val="center"/>
                </w:tcPr>
                <w:p w14:paraId="6D89A09A">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喷粉前处理1线</w:t>
                  </w:r>
                </w:p>
              </w:tc>
              <w:tc>
                <w:tcPr>
                  <w:tcW w:w="854" w:type="pct"/>
                  <w:tcBorders>
                    <w:tl2br w:val="nil"/>
                    <w:tr2bl w:val="nil"/>
                  </w:tcBorders>
                  <w:vAlign w:val="center"/>
                </w:tcPr>
                <w:p w14:paraId="05FB7218">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795" w:type="pct"/>
                  <w:tcBorders>
                    <w:tl2br w:val="nil"/>
                    <w:tr2bl w:val="nil"/>
                  </w:tcBorders>
                  <w:vAlign w:val="center"/>
                </w:tcPr>
                <w:p w14:paraId="524AF47F">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538" w:type="pct"/>
                  <w:tcBorders>
                    <w:tl2br w:val="nil"/>
                    <w:tr2bl w:val="nil"/>
                  </w:tcBorders>
                  <w:shd w:val="clear" w:color="auto" w:fill="auto"/>
                  <w:vAlign w:val="center"/>
                </w:tcPr>
                <w:p w14:paraId="3AE3DAA1">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3000</w:t>
                  </w:r>
                </w:p>
              </w:tc>
              <w:tc>
                <w:tcPr>
                  <w:tcW w:w="581" w:type="pct"/>
                  <w:tcBorders>
                    <w:tl2br w:val="nil"/>
                    <w:tr2bl w:val="nil"/>
                  </w:tcBorders>
                  <w:vAlign w:val="center"/>
                </w:tcPr>
                <w:p w14:paraId="57DDC074">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13.5</w:t>
                  </w:r>
                </w:p>
              </w:tc>
              <w:tc>
                <w:tcPr>
                  <w:tcW w:w="455" w:type="pct"/>
                  <w:tcBorders>
                    <w:tl2br w:val="nil"/>
                    <w:tr2bl w:val="nil"/>
                  </w:tcBorders>
                  <w:vAlign w:val="center"/>
                </w:tcPr>
                <w:p w14:paraId="65FF26FA">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w:t>
                  </w:r>
                </w:p>
              </w:tc>
              <w:tc>
                <w:tcPr>
                  <w:tcW w:w="460" w:type="pct"/>
                  <w:vMerge w:val="continue"/>
                  <w:tcBorders>
                    <w:tl2br w:val="nil"/>
                    <w:tr2bl w:val="nil"/>
                  </w:tcBorders>
                  <w:vAlign w:val="center"/>
                </w:tcPr>
                <w:p w14:paraId="5DAD5F96">
                  <w:pPr>
                    <w:pStyle w:val="31"/>
                    <w:rPr>
                      <w:rFonts w:hint="eastAsia" w:eastAsia="仿宋" w:cs="Times New Roman"/>
                      <w:color w:val="auto"/>
                      <w:sz w:val="21"/>
                      <w:szCs w:val="21"/>
                      <w:highlight w:val="none"/>
                      <w:lang w:val="en-US" w:eastAsia="zh-CN"/>
                    </w:rPr>
                  </w:pPr>
                </w:p>
              </w:tc>
            </w:tr>
          </w:tbl>
          <w:p w14:paraId="2EB6AF9A">
            <w:pPr>
              <w:adjustRightInd w:val="0"/>
              <w:snapToGrid w:val="0"/>
              <w:spacing w:line="360" w:lineRule="auto"/>
              <w:rPr>
                <w:rFonts w:hint="eastAsia"/>
                <w:b/>
                <w:color w:val="auto"/>
                <w:sz w:val="24"/>
                <w:szCs w:val="24"/>
                <w:highlight w:val="none"/>
                <w:lang w:val="en-US" w:eastAsia="zh-CN"/>
              </w:rPr>
            </w:pPr>
            <w:r>
              <w:rPr>
                <w:rFonts w:hint="eastAsia"/>
                <w:b/>
                <w:color w:val="auto"/>
                <w:sz w:val="24"/>
                <w:szCs w:val="24"/>
                <w:highlight w:val="none"/>
                <w:lang w:val="en-US" w:eastAsia="zh-CN"/>
              </w:rPr>
              <w:t>4.3  涂装面积</w:t>
            </w:r>
          </w:p>
          <w:p w14:paraId="189C74E6">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根据建设单位提供资料，</w:t>
            </w:r>
            <w:r>
              <w:rPr>
                <w:rFonts w:hint="eastAsia" w:cs="Times New Roman"/>
                <w:color w:val="auto"/>
                <w:sz w:val="24"/>
                <w:szCs w:val="24"/>
                <w:highlight w:val="none"/>
                <w:lang w:val="en-US" w:eastAsia="zh-CN"/>
              </w:rPr>
              <w:t>电泳件约占总量的80%，即</w:t>
            </w:r>
            <w:r>
              <w:rPr>
                <w:rFonts w:hint="default" w:cs="Times New Roman"/>
                <w:color w:val="auto"/>
                <w:sz w:val="24"/>
                <w:szCs w:val="24"/>
                <w:highlight w:val="none"/>
                <w:lang w:val="en-US" w:eastAsia="zh-CN"/>
              </w:rPr>
              <w:t>本项目电泳年加工</w:t>
            </w:r>
            <w:r>
              <w:rPr>
                <w:rFonts w:hint="eastAsia" w:cs="Times New Roman"/>
                <w:color w:val="auto"/>
                <w:sz w:val="24"/>
                <w:szCs w:val="24"/>
                <w:highlight w:val="none"/>
                <w:lang w:val="en-US" w:eastAsia="zh-CN"/>
              </w:rPr>
              <w:t>新能源汽车冷却类</w:t>
            </w:r>
            <w:r>
              <w:rPr>
                <w:rFonts w:hint="default" w:cs="Times New Roman"/>
                <w:color w:val="auto"/>
                <w:sz w:val="24"/>
                <w:szCs w:val="24"/>
                <w:highlight w:val="none"/>
                <w:lang w:val="en-US" w:eastAsia="zh-CN"/>
              </w:rPr>
              <w:t>零部件</w:t>
            </w:r>
            <w:r>
              <w:rPr>
                <w:rFonts w:hint="eastAsia" w:cs="Times New Roman"/>
                <w:color w:val="auto"/>
                <w:sz w:val="24"/>
                <w:szCs w:val="24"/>
                <w:highlight w:val="none"/>
                <w:lang w:val="en-US" w:eastAsia="zh-CN"/>
              </w:rPr>
              <w:t>48</w:t>
            </w:r>
            <w:r>
              <w:rPr>
                <w:rFonts w:hint="default" w:cs="Times New Roman"/>
                <w:color w:val="auto"/>
                <w:sz w:val="24"/>
                <w:szCs w:val="24"/>
                <w:highlight w:val="none"/>
                <w:lang w:val="en-US" w:eastAsia="zh-CN"/>
              </w:rPr>
              <w:t>万件，</w:t>
            </w:r>
            <w:r>
              <w:rPr>
                <w:rFonts w:hint="eastAsia" w:cs="Times New Roman"/>
                <w:color w:val="auto"/>
                <w:sz w:val="24"/>
                <w:szCs w:val="24"/>
                <w:highlight w:val="none"/>
                <w:lang w:val="en-US" w:eastAsia="zh-CN"/>
              </w:rPr>
              <w:t>电泳一线和电泳二线规格型号相同。本项目</w:t>
            </w:r>
            <w:r>
              <w:rPr>
                <w:rFonts w:hint="default" w:cs="Times New Roman"/>
                <w:color w:val="auto"/>
                <w:sz w:val="24"/>
                <w:szCs w:val="24"/>
                <w:highlight w:val="none"/>
                <w:lang w:val="en-US" w:eastAsia="zh-CN"/>
              </w:rPr>
              <w:t>产品型号多样，电泳一线年产</w:t>
            </w:r>
            <w:r>
              <w:rPr>
                <w:rFonts w:hint="eastAsia" w:cs="Times New Roman"/>
                <w:color w:val="auto"/>
                <w:sz w:val="24"/>
                <w:szCs w:val="24"/>
                <w:highlight w:val="none"/>
                <w:lang w:val="en-US" w:eastAsia="zh-CN"/>
              </w:rPr>
              <w:t>24</w:t>
            </w:r>
            <w:r>
              <w:rPr>
                <w:rFonts w:hint="default" w:cs="Times New Roman"/>
                <w:color w:val="auto"/>
                <w:sz w:val="24"/>
                <w:szCs w:val="24"/>
                <w:highlight w:val="none"/>
                <w:lang w:val="en-US" w:eastAsia="zh-CN"/>
              </w:rPr>
              <w:t>万件，电泳一遍，代表性工件规格为</w:t>
            </w:r>
            <w:r>
              <w:rPr>
                <w:rFonts w:hint="eastAsia" w:cs="Times New Roman"/>
                <w:color w:val="auto"/>
                <w:sz w:val="24"/>
                <w:szCs w:val="24"/>
                <w:highlight w:val="none"/>
                <w:lang w:val="en-US" w:eastAsia="zh-CN"/>
              </w:rPr>
              <w:t>40</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m</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30</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m</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1.5</w:t>
            </w:r>
            <w:r>
              <w:rPr>
                <w:rFonts w:hint="default" w:cs="Times New Roman"/>
                <w:color w:val="auto"/>
                <w:sz w:val="24"/>
                <w:szCs w:val="24"/>
                <w:highlight w:val="none"/>
                <w:lang w:val="en-US" w:eastAsia="zh-CN"/>
              </w:rPr>
              <w:t>mm，以平均涂装面积</w:t>
            </w:r>
            <w:r>
              <w:rPr>
                <w:rFonts w:hint="eastAsia" w:cs="Times New Roman"/>
                <w:color w:val="auto"/>
                <w:sz w:val="24"/>
                <w:szCs w:val="24"/>
                <w:highlight w:val="none"/>
                <w:lang w:val="en-US" w:eastAsia="zh-CN"/>
              </w:rPr>
              <w:t>0.2421</w:t>
            </w:r>
            <w:r>
              <w:rPr>
                <w:rFonts w:hint="default"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/件</w:t>
            </w:r>
            <w:r>
              <w:rPr>
                <w:rFonts w:hint="default" w:cs="Times New Roman"/>
                <w:color w:val="auto"/>
                <w:sz w:val="24"/>
                <w:szCs w:val="24"/>
                <w:highlight w:val="none"/>
                <w:lang w:val="en-US" w:eastAsia="zh-CN"/>
              </w:rPr>
              <w:t>计，平均厚度约为</w:t>
            </w:r>
            <w:r>
              <w:rPr>
                <w:rFonts w:hint="eastAsia" w:cs="Times New Roman"/>
                <w:color w:val="auto"/>
                <w:sz w:val="24"/>
                <w:szCs w:val="24"/>
                <w:highlight w:val="none"/>
                <w:lang w:val="en-US" w:eastAsia="zh-CN"/>
              </w:rPr>
              <w:t>45</w:t>
            </w:r>
            <w:r>
              <w:rPr>
                <w:rFonts w:hint="default" w:ascii="Times New Roman" w:hAnsi="Times New Roman" w:cs="Times New Roman"/>
                <w:color w:val="auto"/>
                <w:sz w:val="24"/>
                <w:szCs w:val="24"/>
                <w:highlight w:val="none"/>
                <w:lang w:val="en-US" w:eastAsia="zh-CN"/>
              </w:rPr>
              <w:t>μm</w:t>
            </w:r>
            <w:r>
              <w:rPr>
                <w:rFonts w:hint="eastAsia" w:ascii="Times New Roman" w:hAnsi="Times New Roman" w:cs="Times New Roman"/>
                <w:color w:val="auto"/>
                <w:sz w:val="24"/>
                <w:szCs w:val="24"/>
                <w:highlight w:val="none"/>
                <w:lang w:val="en-US" w:eastAsia="zh-CN"/>
              </w:rPr>
              <w:t>，</w:t>
            </w:r>
            <w:r>
              <w:rPr>
                <w:rFonts w:hint="default" w:cs="Times New Roman"/>
                <w:color w:val="auto"/>
                <w:sz w:val="24"/>
                <w:szCs w:val="24"/>
                <w:highlight w:val="none"/>
                <w:lang w:val="en-US" w:eastAsia="zh-CN"/>
              </w:rPr>
              <w:t>电泳二线</w:t>
            </w:r>
            <w:r>
              <w:rPr>
                <w:rFonts w:hint="eastAsia" w:cs="Times New Roman"/>
                <w:color w:val="auto"/>
                <w:sz w:val="24"/>
                <w:szCs w:val="24"/>
                <w:highlight w:val="none"/>
                <w:lang w:val="en-US" w:eastAsia="zh-CN"/>
              </w:rPr>
              <w:t>与电泳一线相同</w:t>
            </w:r>
            <w:r>
              <w:rPr>
                <w:rFonts w:hint="default" w:cs="Times New Roman"/>
                <w:color w:val="auto"/>
                <w:sz w:val="24"/>
                <w:szCs w:val="24"/>
                <w:highlight w:val="none"/>
                <w:lang w:val="en-US" w:eastAsia="zh-CN"/>
              </w:rPr>
              <w:t>。</w:t>
            </w:r>
          </w:p>
          <w:p w14:paraId="43E94E41">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根据建设单位提供资料，</w:t>
            </w:r>
            <w:r>
              <w:rPr>
                <w:rFonts w:hint="eastAsia" w:cs="Times New Roman"/>
                <w:color w:val="auto"/>
                <w:sz w:val="24"/>
                <w:szCs w:val="24"/>
                <w:highlight w:val="none"/>
                <w:lang w:val="en-US" w:eastAsia="zh-CN"/>
              </w:rPr>
              <w:t>喷粉件约占总量的20%，即</w:t>
            </w:r>
            <w:r>
              <w:rPr>
                <w:rFonts w:hint="default" w:cs="Times New Roman"/>
                <w:color w:val="auto"/>
                <w:sz w:val="24"/>
                <w:szCs w:val="24"/>
                <w:highlight w:val="none"/>
                <w:lang w:val="en-US" w:eastAsia="zh-CN"/>
              </w:rPr>
              <w:t>本项目喷粉年加工汽车零部件</w:t>
            </w:r>
            <w:r>
              <w:rPr>
                <w:rFonts w:hint="eastAsia" w:cs="Times New Roman"/>
                <w:color w:val="auto"/>
                <w:sz w:val="24"/>
                <w:szCs w:val="24"/>
                <w:highlight w:val="none"/>
                <w:lang w:val="en-US" w:eastAsia="zh-CN"/>
              </w:rPr>
              <w:t>12</w:t>
            </w:r>
            <w:r>
              <w:rPr>
                <w:rFonts w:hint="default" w:cs="Times New Roman"/>
                <w:color w:val="auto"/>
                <w:sz w:val="24"/>
                <w:szCs w:val="24"/>
                <w:highlight w:val="none"/>
                <w:lang w:val="en-US" w:eastAsia="zh-CN"/>
              </w:rPr>
              <w:t>万件，一遍喷粉，代表性工件规格为</w:t>
            </w:r>
            <w:r>
              <w:rPr>
                <w:rFonts w:hint="eastAsia" w:cs="Times New Roman"/>
                <w:color w:val="auto"/>
                <w:sz w:val="24"/>
                <w:szCs w:val="24"/>
                <w:highlight w:val="none"/>
                <w:lang w:val="en-US" w:eastAsia="zh-CN"/>
              </w:rPr>
              <w:t>40</w:t>
            </w:r>
            <w:r>
              <w:rPr>
                <w:rFonts w:hint="default" w:cs="Times New Roman"/>
                <w:color w:val="auto"/>
                <w:sz w:val="24"/>
                <w:szCs w:val="24"/>
                <w:highlight w:val="none"/>
                <w:lang w:val="en-US" w:eastAsia="zh-CN"/>
              </w:rPr>
              <w:t>0</w:t>
            </w:r>
            <w:r>
              <w:rPr>
                <w:rFonts w:hint="eastAsia" w:cs="Times New Roman"/>
                <w:color w:val="auto"/>
                <w:sz w:val="24"/>
                <w:szCs w:val="24"/>
                <w:highlight w:val="none"/>
                <w:lang w:val="en-US" w:eastAsia="zh-CN"/>
              </w:rPr>
              <w:t>mm</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50</w:t>
            </w:r>
            <w:r>
              <w:rPr>
                <w:rFonts w:hint="default" w:cs="Times New Roman"/>
                <w:color w:val="auto"/>
                <w:sz w:val="24"/>
                <w:szCs w:val="24"/>
                <w:highlight w:val="none"/>
                <w:lang w:val="en-US" w:eastAsia="zh-CN"/>
              </w:rPr>
              <w:t>0</w:t>
            </w:r>
            <w:r>
              <w:rPr>
                <w:rFonts w:hint="eastAsia" w:cs="Times New Roman"/>
                <w:color w:val="auto"/>
                <w:sz w:val="24"/>
                <w:szCs w:val="24"/>
                <w:highlight w:val="none"/>
                <w:lang w:val="en-US" w:eastAsia="zh-CN"/>
              </w:rPr>
              <w:t>mm</w:t>
            </w:r>
            <w:r>
              <w:rPr>
                <w:rFonts w:hint="default" w:cs="Times New Roman"/>
                <w:color w:val="auto"/>
                <w:sz w:val="24"/>
                <w:szCs w:val="24"/>
                <w:highlight w:val="none"/>
                <w:lang w:val="en-US" w:eastAsia="zh-CN"/>
              </w:rPr>
              <w:t>*</w:t>
            </w:r>
            <w:r>
              <w:rPr>
                <w:rFonts w:hint="eastAsia" w:cs="Times New Roman"/>
                <w:color w:val="auto"/>
                <w:sz w:val="24"/>
                <w:szCs w:val="24"/>
                <w:highlight w:val="none"/>
                <w:lang w:val="en-US" w:eastAsia="zh-CN"/>
              </w:rPr>
              <w:t>1.5</w:t>
            </w:r>
            <w:r>
              <w:rPr>
                <w:rFonts w:hint="default" w:cs="Times New Roman"/>
                <w:color w:val="auto"/>
                <w:sz w:val="24"/>
                <w:szCs w:val="24"/>
                <w:highlight w:val="none"/>
                <w:lang w:val="en-US" w:eastAsia="zh-CN"/>
              </w:rPr>
              <w:t>mm，以平均涂装面积</w:t>
            </w:r>
            <w:r>
              <w:rPr>
                <w:rFonts w:hint="eastAsia" w:cs="Times New Roman"/>
                <w:color w:val="auto"/>
                <w:sz w:val="24"/>
                <w:szCs w:val="24"/>
                <w:highlight w:val="none"/>
                <w:lang w:val="en-US" w:eastAsia="zh-CN"/>
              </w:rPr>
              <w:t>0.4027</w:t>
            </w:r>
            <w:r>
              <w:rPr>
                <w:rFonts w:hint="default"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default" w:cs="Times New Roman"/>
                <w:color w:val="auto"/>
                <w:sz w:val="24"/>
                <w:szCs w:val="24"/>
                <w:highlight w:val="none"/>
                <w:lang w:val="en-US" w:eastAsia="zh-CN"/>
              </w:rPr>
              <w:t>/件计，粉末涂层平均厚度约为</w:t>
            </w:r>
            <w:r>
              <w:rPr>
                <w:rFonts w:hint="eastAsia" w:cs="Times New Roman"/>
                <w:color w:val="auto"/>
                <w:sz w:val="24"/>
                <w:szCs w:val="24"/>
                <w:highlight w:val="none"/>
                <w:lang w:val="en-US" w:eastAsia="zh-CN"/>
              </w:rPr>
              <w:t>180</w:t>
            </w:r>
            <w:r>
              <w:rPr>
                <w:rFonts w:hint="default" w:ascii="Times New Roman" w:hAnsi="Times New Roman" w:cs="Times New Roman"/>
                <w:color w:val="auto"/>
                <w:sz w:val="24"/>
                <w:szCs w:val="24"/>
                <w:highlight w:val="none"/>
                <w:lang w:val="en-US" w:eastAsia="zh-CN"/>
              </w:rPr>
              <w:t>μm</w:t>
            </w:r>
            <w:r>
              <w:rPr>
                <w:rFonts w:hint="eastAsia" w:cs="Times New Roman"/>
                <w:color w:val="auto"/>
                <w:sz w:val="24"/>
                <w:szCs w:val="24"/>
                <w:highlight w:val="none"/>
                <w:lang w:val="en-US" w:eastAsia="zh-CN"/>
              </w:rPr>
              <w:t>。</w:t>
            </w:r>
          </w:p>
          <w:p w14:paraId="09CEC35F">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涂装线面积一览表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02"/>
              <w:gridCol w:w="1067"/>
              <w:gridCol w:w="1018"/>
              <w:gridCol w:w="1094"/>
              <w:gridCol w:w="1305"/>
              <w:gridCol w:w="1055"/>
              <w:gridCol w:w="972"/>
              <w:gridCol w:w="1040"/>
            </w:tblGrid>
            <w:tr w14:paraId="3927A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920" w:type="pct"/>
                  <w:tcBorders>
                    <w:tl2br w:val="nil"/>
                    <w:tr2bl w:val="nil"/>
                  </w:tcBorders>
                  <w:vAlign w:val="center"/>
                </w:tcPr>
                <w:p w14:paraId="39144BF4">
                  <w:pPr>
                    <w:pStyle w:val="31"/>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涂装工艺</w:t>
                  </w:r>
                </w:p>
              </w:tc>
              <w:tc>
                <w:tcPr>
                  <w:tcW w:w="577" w:type="pct"/>
                  <w:tcBorders>
                    <w:tl2br w:val="nil"/>
                    <w:tr2bl w:val="nil"/>
                  </w:tcBorders>
                  <w:vAlign w:val="center"/>
                </w:tcPr>
                <w:p w14:paraId="397CD7F8">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生产线</w:t>
                  </w:r>
                </w:p>
              </w:tc>
              <w:tc>
                <w:tcPr>
                  <w:tcW w:w="550" w:type="pct"/>
                  <w:tcBorders>
                    <w:tl2br w:val="nil"/>
                    <w:tr2bl w:val="nil"/>
                  </w:tcBorders>
                  <w:vAlign w:val="center"/>
                </w:tcPr>
                <w:p w14:paraId="603CD12A">
                  <w:pPr>
                    <w:pStyle w:val="31"/>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涂装产品名称</w:t>
                  </w:r>
                </w:p>
              </w:tc>
              <w:tc>
                <w:tcPr>
                  <w:tcW w:w="591" w:type="pct"/>
                  <w:tcBorders>
                    <w:tl2br w:val="nil"/>
                    <w:tr2bl w:val="nil"/>
                  </w:tcBorders>
                  <w:vAlign w:val="center"/>
                </w:tcPr>
                <w:p w14:paraId="0C49F84C">
                  <w:pPr>
                    <w:pStyle w:val="31"/>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涂装产品数量（万件）</w:t>
                  </w:r>
                </w:p>
              </w:tc>
              <w:tc>
                <w:tcPr>
                  <w:tcW w:w="705" w:type="pct"/>
                  <w:tcBorders>
                    <w:tl2br w:val="nil"/>
                    <w:tr2bl w:val="nil"/>
                  </w:tcBorders>
                  <w:vAlign w:val="center"/>
                </w:tcPr>
                <w:p w14:paraId="67B026EF">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平均单件涂装面积（m</w:t>
                  </w:r>
                  <w:r>
                    <w:rPr>
                      <w:rFonts w:hint="eastAsia" w:eastAsia="仿宋" w:cs="Times New Roman"/>
                      <w:b/>
                      <w:color w:val="auto"/>
                      <w:sz w:val="21"/>
                      <w:szCs w:val="21"/>
                      <w:highlight w:val="none"/>
                      <w:vertAlign w:val="superscript"/>
                      <w:lang w:val="en-US" w:eastAsia="zh-CN"/>
                    </w:rPr>
                    <w:t>2</w:t>
                  </w:r>
                  <w:r>
                    <w:rPr>
                      <w:rFonts w:hint="eastAsia" w:eastAsia="仿宋" w:cs="Times New Roman"/>
                      <w:b/>
                      <w:color w:val="auto"/>
                      <w:sz w:val="21"/>
                      <w:szCs w:val="21"/>
                      <w:highlight w:val="none"/>
                      <w:lang w:val="en-US" w:eastAsia="zh-CN"/>
                    </w:rPr>
                    <w:t>）</w:t>
                  </w:r>
                </w:p>
              </w:tc>
              <w:tc>
                <w:tcPr>
                  <w:tcW w:w="570" w:type="pct"/>
                  <w:tcBorders>
                    <w:tl2br w:val="nil"/>
                    <w:tr2bl w:val="nil"/>
                  </w:tcBorders>
                  <w:vAlign w:val="center"/>
                </w:tcPr>
                <w:p w14:paraId="630178E0">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总涂装面积（m</w:t>
                  </w:r>
                  <w:r>
                    <w:rPr>
                      <w:rFonts w:hint="eastAsia" w:eastAsia="仿宋" w:cs="Times New Roman"/>
                      <w:b/>
                      <w:color w:val="auto"/>
                      <w:sz w:val="21"/>
                      <w:szCs w:val="21"/>
                      <w:highlight w:val="none"/>
                      <w:vertAlign w:val="superscript"/>
                      <w:lang w:val="en-US" w:eastAsia="zh-CN"/>
                    </w:rPr>
                    <w:t>2</w:t>
                  </w:r>
                  <w:r>
                    <w:rPr>
                      <w:rFonts w:hint="eastAsia" w:eastAsia="仿宋" w:cs="Times New Roman"/>
                      <w:b/>
                      <w:color w:val="auto"/>
                      <w:sz w:val="21"/>
                      <w:szCs w:val="21"/>
                      <w:highlight w:val="none"/>
                      <w:lang w:val="en-US" w:eastAsia="zh-CN"/>
                    </w:rPr>
                    <w:t>）</w:t>
                  </w:r>
                </w:p>
              </w:tc>
              <w:tc>
                <w:tcPr>
                  <w:tcW w:w="525" w:type="pct"/>
                  <w:tcBorders>
                    <w:tl2br w:val="nil"/>
                    <w:tr2bl w:val="nil"/>
                  </w:tcBorders>
                  <w:shd w:val="clear" w:color="auto" w:fill="auto"/>
                  <w:vAlign w:val="center"/>
                </w:tcPr>
                <w:p w14:paraId="28773097">
                  <w:pPr>
                    <w:pStyle w:val="31"/>
                    <w:rPr>
                      <w:rFonts w:hint="default" w:ascii="Times New Roman" w:hAnsi="Times New Roman" w:eastAsia="仿宋" w:cs="Times New Roman"/>
                      <w:b/>
                      <w:color w:val="auto"/>
                      <w:kern w:val="0"/>
                      <w:sz w:val="21"/>
                      <w:szCs w:val="21"/>
                      <w:highlight w:val="none"/>
                      <w:lang w:val="en-US" w:eastAsia="zh-CN" w:bidi="ar-SA"/>
                    </w:rPr>
                  </w:pPr>
                  <w:r>
                    <w:rPr>
                      <w:rFonts w:hint="eastAsia" w:eastAsia="仿宋" w:cs="Times New Roman"/>
                      <w:b/>
                      <w:color w:val="auto"/>
                      <w:kern w:val="0"/>
                      <w:sz w:val="21"/>
                      <w:szCs w:val="21"/>
                      <w:highlight w:val="none"/>
                      <w:lang w:val="en-US" w:eastAsia="zh-CN" w:bidi="ar-SA"/>
                    </w:rPr>
                    <w:t>平均厚度（</w:t>
                  </w:r>
                  <w:r>
                    <w:rPr>
                      <w:rFonts w:hint="default" w:ascii="Times New Roman" w:hAnsi="Times New Roman" w:eastAsia="仿宋" w:cs="Times New Roman"/>
                      <w:b/>
                      <w:color w:val="auto"/>
                      <w:kern w:val="0"/>
                      <w:sz w:val="21"/>
                      <w:szCs w:val="21"/>
                      <w:highlight w:val="none"/>
                      <w:lang w:val="en-US" w:eastAsia="zh-CN" w:bidi="ar-SA"/>
                    </w:rPr>
                    <w:t>μm</w:t>
                  </w:r>
                  <w:r>
                    <w:rPr>
                      <w:rFonts w:hint="eastAsia" w:eastAsia="仿宋" w:cs="Times New Roman"/>
                      <w:b/>
                      <w:color w:val="auto"/>
                      <w:kern w:val="0"/>
                      <w:sz w:val="21"/>
                      <w:szCs w:val="21"/>
                      <w:highlight w:val="none"/>
                      <w:lang w:val="en-US" w:eastAsia="zh-CN" w:bidi="ar-SA"/>
                    </w:rPr>
                    <w:t>）</w:t>
                  </w:r>
                </w:p>
              </w:tc>
              <w:tc>
                <w:tcPr>
                  <w:tcW w:w="560" w:type="pct"/>
                  <w:tcBorders>
                    <w:tl2br w:val="nil"/>
                    <w:tr2bl w:val="nil"/>
                  </w:tcBorders>
                  <w:vAlign w:val="center"/>
                </w:tcPr>
                <w:p w14:paraId="4C1AC371">
                  <w:pPr>
                    <w:pStyle w:val="31"/>
                    <w:rPr>
                      <w:rFonts w:hint="eastAsia" w:eastAsia="仿宋" w:cs="Times New Roman"/>
                      <w:b/>
                      <w:color w:val="auto"/>
                      <w:kern w:val="0"/>
                      <w:sz w:val="21"/>
                      <w:szCs w:val="21"/>
                      <w:highlight w:val="none"/>
                      <w:lang w:val="en-US" w:eastAsia="zh-CN" w:bidi="ar-SA"/>
                    </w:rPr>
                  </w:pPr>
                  <w:r>
                    <w:rPr>
                      <w:rFonts w:hint="eastAsia" w:eastAsia="仿宋" w:cs="Times New Roman"/>
                      <w:b/>
                      <w:color w:val="auto"/>
                      <w:kern w:val="0"/>
                      <w:sz w:val="21"/>
                      <w:szCs w:val="21"/>
                      <w:highlight w:val="none"/>
                      <w:lang w:val="en-US" w:eastAsia="zh-CN" w:bidi="ar-SA"/>
                    </w:rPr>
                    <w:t>密度</w:t>
                  </w:r>
                </w:p>
                <w:p w14:paraId="3A8542C9">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kern w:val="0"/>
                      <w:sz w:val="21"/>
                      <w:szCs w:val="21"/>
                      <w:highlight w:val="none"/>
                      <w:lang w:val="en-US" w:eastAsia="zh-CN" w:bidi="ar-SA"/>
                    </w:rPr>
                    <w:t>（g/c</w:t>
                  </w:r>
                  <w:r>
                    <w:rPr>
                      <w:rFonts w:hint="default" w:ascii="Times New Roman" w:hAnsi="Times New Roman" w:eastAsia="仿宋" w:cs="Times New Roman"/>
                      <w:b/>
                      <w:color w:val="auto"/>
                      <w:kern w:val="0"/>
                      <w:sz w:val="21"/>
                      <w:szCs w:val="21"/>
                      <w:highlight w:val="none"/>
                      <w:lang w:val="en-US" w:eastAsia="zh-CN" w:bidi="ar-SA"/>
                    </w:rPr>
                    <w:t>m</w:t>
                  </w:r>
                  <w:r>
                    <w:rPr>
                      <w:rFonts w:hint="eastAsia" w:eastAsia="仿宋" w:cs="Times New Roman"/>
                      <w:b/>
                      <w:color w:val="auto"/>
                      <w:kern w:val="0"/>
                      <w:sz w:val="21"/>
                      <w:szCs w:val="21"/>
                      <w:highlight w:val="none"/>
                      <w:vertAlign w:val="superscript"/>
                      <w:lang w:val="en-US" w:eastAsia="zh-CN" w:bidi="ar-SA"/>
                    </w:rPr>
                    <w:t>3</w:t>
                  </w:r>
                  <w:r>
                    <w:rPr>
                      <w:rFonts w:hint="eastAsia" w:eastAsia="仿宋" w:cs="Times New Roman"/>
                      <w:b/>
                      <w:color w:val="auto"/>
                      <w:kern w:val="0"/>
                      <w:sz w:val="21"/>
                      <w:szCs w:val="21"/>
                      <w:highlight w:val="none"/>
                      <w:lang w:val="en-US" w:eastAsia="zh-CN" w:bidi="ar-SA"/>
                    </w:rPr>
                    <w:t>）</w:t>
                  </w:r>
                </w:p>
              </w:tc>
            </w:tr>
            <w:tr w14:paraId="28739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920" w:type="pct"/>
                  <w:tcBorders>
                    <w:tl2br w:val="nil"/>
                    <w:tr2bl w:val="nil"/>
                  </w:tcBorders>
                  <w:vAlign w:val="center"/>
                </w:tcPr>
                <w:p w14:paraId="723575B6">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电泳（电泳漆）</w:t>
                  </w:r>
                </w:p>
              </w:tc>
              <w:tc>
                <w:tcPr>
                  <w:tcW w:w="577" w:type="pct"/>
                  <w:tcBorders>
                    <w:tl2br w:val="nil"/>
                    <w:tr2bl w:val="nil"/>
                  </w:tcBorders>
                  <w:vAlign w:val="center"/>
                </w:tcPr>
                <w:p w14:paraId="2F460414">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电泳1线</w:t>
                  </w:r>
                </w:p>
              </w:tc>
              <w:tc>
                <w:tcPr>
                  <w:tcW w:w="550" w:type="pct"/>
                  <w:vMerge w:val="restart"/>
                  <w:tcBorders>
                    <w:tl2br w:val="nil"/>
                    <w:tr2bl w:val="nil"/>
                  </w:tcBorders>
                  <w:vAlign w:val="center"/>
                </w:tcPr>
                <w:p w14:paraId="01DEB9B8">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新能源汽车冷却系统零部件</w:t>
                  </w:r>
                </w:p>
              </w:tc>
              <w:tc>
                <w:tcPr>
                  <w:tcW w:w="591" w:type="pct"/>
                  <w:tcBorders>
                    <w:tl2br w:val="nil"/>
                    <w:tr2bl w:val="nil"/>
                  </w:tcBorders>
                  <w:vAlign w:val="center"/>
                </w:tcPr>
                <w:p w14:paraId="7B819A60">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w:t>
                  </w:r>
                </w:p>
              </w:tc>
              <w:tc>
                <w:tcPr>
                  <w:tcW w:w="705" w:type="pct"/>
                  <w:tcBorders>
                    <w:tl2br w:val="nil"/>
                    <w:tr2bl w:val="nil"/>
                  </w:tcBorders>
                  <w:vAlign w:val="center"/>
                </w:tcPr>
                <w:p w14:paraId="1890885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0.2421</w:t>
                  </w:r>
                </w:p>
              </w:tc>
              <w:tc>
                <w:tcPr>
                  <w:tcW w:w="570" w:type="pct"/>
                  <w:tcBorders>
                    <w:tl2br w:val="nil"/>
                    <w:tr2bl w:val="nil"/>
                  </w:tcBorders>
                  <w:shd w:val="clear" w:color="auto" w:fill="auto"/>
                  <w:vAlign w:val="center"/>
                </w:tcPr>
                <w:p w14:paraId="3A1337A9">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58104</w:t>
                  </w:r>
                </w:p>
              </w:tc>
              <w:tc>
                <w:tcPr>
                  <w:tcW w:w="525" w:type="pct"/>
                  <w:tcBorders>
                    <w:tl2br w:val="nil"/>
                    <w:tr2bl w:val="nil"/>
                  </w:tcBorders>
                  <w:shd w:val="clear" w:color="auto" w:fill="auto"/>
                  <w:vAlign w:val="center"/>
                </w:tcPr>
                <w:p w14:paraId="3DE7A867">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45</w:t>
                  </w:r>
                </w:p>
              </w:tc>
              <w:tc>
                <w:tcPr>
                  <w:tcW w:w="560" w:type="pct"/>
                  <w:tcBorders>
                    <w:tl2br w:val="nil"/>
                    <w:tr2bl w:val="nil"/>
                  </w:tcBorders>
                  <w:vAlign w:val="center"/>
                </w:tcPr>
                <w:p w14:paraId="2877C49A">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1.084</w:t>
                  </w:r>
                </w:p>
              </w:tc>
            </w:tr>
            <w:tr w14:paraId="7E7C7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920" w:type="pct"/>
                  <w:tcBorders>
                    <w:tl2br w:val="nil"/>
                    <w:tr2bl w:val="nil"/>
                  </w:tcBorders>
                  <w:vAlign w:val="center"/>
                </w:tcPr>
                <w:p w14:paraId="2AE53A23">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电泳（电泳漆）</w:t>
                  </w:r>
                </w:p>
              </w:tc>
              <w:tc>
                <w:tcPr>
                  <w:tcW w:w="577" w:type="pct"/>
                  <w:tcBorders>
                    <w:tl2br w:val="nil"/>
                    <w:tr2bl w:val="nil"/>
                  </w:tcBorders>
                  <w:vAlign w:val="center"/>
                </w:tcPr>
                <w:p w14:paraId="2167295F">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电泳2线</w:t>
                  </w:r>
                </w:p>
              </w:tc>
              <w:tc>
                <w:tcPr>
                  <w:tcW w:w="550" w:type="pct"/>
                  <w:vMerge w:val="continue"/>
                  <w:tcBorders>
                    <w:tl2br w:val="nil"/>
                    <w:tr2bl w:val="nil"/>
                  </w:tcBorders>
                  <w:vAlign w:val="center"/>
                </w:tcPr>
                <w:p w14:paraId="26B2973B">
                  <w:pPr>
                    <w:pStyle w:val="31"/>
                    <w:jc w:val="center"/>
                    <w:rPr>
                      <w:rFonts w:hint="default" w:eastAsia="仿宋" w:cs="Times New Roman"/>
                      <w:color w:val="auto"/>
                      <w:sz w:val="21"/>
                      <w:szCs w:val="21"/>
                      <w:highlight w:val="none"/>
                      <w:lang w:val="en-US" w:eastAsia="zh-CN"/>
                    </w:rPr>
                  </w:pPr>
                </w:p>
              </w:tc>
              <w:tc>
                <w:tcPr>
                  <w:tcW w:w="591" w:type="pct"/>
                  <w:tcBorders>
                    <w:tl2br w:val="nil"/>
                    <w:tr2bl w:val="nil"/>
                  </w:tcBorders>
                  <w:vAlign w:val="center"/>
                </w:tcPr>
                <w:p w14:paraId="08852AEA">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w:t>
                  </w:r>
                </w:p>
              </w:tc>
              <w:tc>
                <w:tcPr>
                  <w:tcW w:w="705" w:type="pct"/>
                  <w:tcBorders>
                    <w:tl2br w:val="nil"/>
                    <w:tr2bl w:val="nil"/>
                  </w:tcBorders>
                  <w:vAlign w:val="center"/>
                </w:tcPr>
                <w:p w14:paraId="104D7D4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0.2421</w:t>
                  </w:r>
                </w:p>
              </w:tc>
              <w:tc>
                <w:tcPr>
                  <w:tcW w:w="570" w:type="pct"/>
                  <w:tcBorders>
                    <w:tl2br w:val="nil"/>
                    <w:tr2bl w:val="nil"/>
                  </w:tcBorders>
                  <w:shd w:val="clear" w:color="auto" w:fill="auto"/>
                  <w:vAlign w:val="center"/>
                </w:tcPr>
                <w:p w14:paraId="380294C9">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58104</w:t>
                  </w:r>
                </w:p>
              </w:tc>
              <w:tc>
                <w:tcPr>
                  <w:tcW w:w="525" w:type="pct"/>
                  <w:tcBorders>
                    <w:tl2br w:val="nil"/>
                    <w:tr2bl w:val="nil"/>
                  </w:tcBorders>
                  <w:shd w:val="clear" w:color="auto" w:fill="auto"/>
                  <w:vAlign w:val="center"/>
                </w:tcPr>
                <w:p w14:paraId="5FAEECCE">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45</w:t>
                  </w:r>
                </w:p>
              </w:tc>
              <w:tc>
                <w:tcPr>
                  <w:tcW w:w="560" w:type="pct"/>
                  <w:tcBorders>
                    <w:tl2br w:val="nil"/>
                    <w:tr2bl w:val="nil"/>
                  </w:tcBorders>
                  <w:vAlign w:val="center"/>
                </w:tcPr>
                <w:p w14:paraId="604E7C44">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1.084</w:t>
                  </w:r>
                </w:p>
              </w:tc>
            </w:tr>
            <w:tr w14:paraId="2A1E6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920" w:type="pct"/>
                  <w:tcBorders>
                    <w:tl2br w:val="nil"/>
                    <w:tr2bl w:val="nil"/>
                  </w:tcBorders>
                  <w:vAlign w:val="center"/>
                </w:tcPr>
                <w:p w14:paraId="2D9937F2">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喷粉（白平光粉末）</w:t>
                  </w:r>
                </w:p>
              </w:tc>
              <w:tc>
                <w:tcPr>
                  <w:tcW w:w="577" w:type="pct"/>
                  <w:tcBorders>
                    <w:tl2br w:val="nil"/>
                    <w:tr2bl w:val="nil"/>
                  </w:tcBorders>
                  <w:vAlign w:val="center"/>
                </w:tcPr>
                <w:p w14:paraId="18C59C21">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喷粉线</w:t>
                  </w:r>
                </w:p>
              </w:tc>
              <w:tc>
                <w:tcPr>
                  <w:tcW w:w="550" w:type="pct"/>
                  <w:vMerge w:val="continue"/>
                  <w:tcBorders>
                    <w:tl2br w:val="nil"/>
                    <w:tr2bl w:val="nil"/>
                  </w:tcBorders>
                  <w:vAlign w:val="center"/>
                </w:tcPr>
                <w:p w14:paraId="77682607">
                  <w:pPr>
                    <w:pStyle w:val="31"/>
                    <w:jc w:val="center"/>
                    <w:rPr>
                      <w:rFonts w:hint="default" w:ascii="Times New Roman" w:hAnsi="Times New Roman" w:eastAsia="仿宋" w:cs="Times New Roman"/>
                      <w:color w:val="auto"/>
                      <w:sz w:val="21"/>
                      <w:szCs w:val="21"/>
                      <w:highlight w:val="none"/>
                      <w:lang w:val="en-US" w:eastAsia="zh-CN"/>
                    </w:rPr>
                  </w:pPr>
                </w:p>
              </w:tc>
              <w:tc>
                <w:tcPr>
                  <w:tcW w:w="591" w:type="pct"/>
                  <w:tcBorders>
                    <w:tl2br w:val="nil"/>
                    <w:tr2bl w:val="nil"/>
                  </w:tcBorders>
                  <w:vAlign w:val="center"/>
                </w:tcPr>
                <w:p w14:paraId="6780316C">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w:t>
                  </w:r>
                </w:p>
              </w:tc>
              <w:tc>
                <w:tcPr>
                  <w:tcW w:w="705" w:type="pct"/>
                  <w:tcBorders>
                    <w:tl2br w:val="nil"/>
                    <w:tr2bl w:val="nil"/>
                  </w:tcBorders>
                  <w:vAlign w:val="center"/>
                </w:tcPr>
                <w:p w14:paraId="0E9CE9C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0.4027</w:t>
                  </w:r>
                </w:p>
              </w:tc>
              <w:tc>
                <w:tcPr>
                  <w:tcW w:w="570" w:type="pct"/>
                  <w:tcBorders>
                    <w:tl2br w:val="nil"/>
                    <w:tr2bl w:val="nil"/>
                  </w:tcBorders>
                  <w:shd w:val="clear" w:color="auto" w:fill="auto"/>
                  <w:vAlign w:val="center"/>
                </w:tcPr>
                <w:p w14:paraId="045D0F73">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48324</w:t>
                  </w:r>
                </w:p>
              </w:tc>
              <w:tc>
                <w:tcPr>
                  <w:tcW w:w="525" w:type="pct"/>
                  <w:tcBorders>
                    <w:tl2br w:val="nil"/>
                    <w:tr2bl w:val="nil"/>
                  </w:tcBorders>
                  <w:shd w:val="clear" w:color="auto" w:fill="auto"/>
                  <w:vAlign w:val="center"/>
                </w:tcPr>
                <w:p w14:paraId="52E3D814">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180</w:t>
                  </w:r>
                </w:p>
              </w:tc>
              <w:tc>
                <w:tcPr>
                  <w:tcW w:w="560" w:type="pct"/>
                  <w:tcBorders>
                    <w:tl2br w:val="nil"/>
                    <w:tr2bl w:val="nil"/>
                  </w:tcBorders>
                  <w:vAlign w:val="center"/>
                </w:tcPr>
                <w:p w14:paraId="1CBC920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1.40</w:t>
                  </w:r>
                </w:p>
              </w:tc>
            </w:tr>
            <w:tr w14:paraId="1CFAE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5000" w:type="pct"/>
                  <w:gridSpan w:val="8"/>
                  <w:tcBorders>
                    <w:tl2br w:val="nil"/>
                    <w:tr2bl w:val="nil"/>
                  </w:tcBorders>
                  <w:vAlign w:val="center"/>
                </w:tcPr>
                <w:p w14:paraId="60915042">
                  <w:pPr>
                    <w:pStyle w:val="31"/>
                    <w:jc w:val="both"/>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注：本项目产品型号多样，涂装面积及涂装厚度有所差异，上述表格所列平均单件涂装面积和平均厚度均为建设单位提供的中值范围。</w:t>
                  </w:r>
                </w:p>
              </w:tc>
            </w:tr>
          </w:tbl>
          <w:p w14:paraId="1336ABA0">
            <w:pPr>
              <w:adjustRightInd w:val="0"/>
              <w:snapToGrid w:val="0"/>
              <w:spacing w:line="360" w:lineRule="auto"/>
              <w:rPr>
                <w:rFonts w:hint="eastAsia" w:cs="Times New Roman"/>
                <w:color w:val="auto"/>
                <w:sz w:val="24"/>
                <w:szCs w:val="24"/>
                <w:highlight w:val="none"/>
                <w:lang w:val="en-US" w:eastAsia="zh-CN"/>
              </w:rPr>
            </w:pPr>
          </w:p>
          <w:p w14:paraId="179EAC70">
            <w:pPr>
              <w:rPr>
                <w:rFonts w:hint="eastAsia"/>
                <w:color w:val="auto"/>
                <w:sz w:val="21"/>
                <w:szCs w:val="21"/>
                <w:highlight w:val="none"/>
              </w:rPr>
            </w:pPr>
          </w:p>
        </w:tc>
      </w:tr>
    </w:tbl>
    <w:p w14:paraId="53AA22F0">
      <w:pPr>
        <w:rPr>
          <w:color w:val="auto"/>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3576"/>
      </w:tblGrid>
      <w:tr w14:paraId="3B9A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0" w:hRule="atLeast"/>
        </w:trPr>
        <w:tc>
          <w:tcPr>
            <w:tcW w:w="598" w:type="dxa"/>
          </w:tcPr>
          <w:p w14:paraId="28E4A369">
            <w:pPr>
              <w:pStyle w:val="4"/>
              <w:rPr>
                <w:color w:val="auto"/>
                <w:vertAlign w:val="baseline"/>
              </w:rPr>
            </w:pPr>
          </w:p>
        </w:tc>
        <w:tc>
          <w:tcPr>
            <w:tcW w:w="13576" w:type="dxa"/>
          </w:tcPr>
          <w:p w14:paraId="4F36F800">
            <w:pPr>
              <w:numPr>
                <w:ilvl w:val="0"/>
                <w:numId w:val="0"/>
              </w:numPr>
              <w:adjustRightInd w:val="0"/>
              <w:snapToGrid w:val="0"/>
              <w:spacing w:line="360" w:lineRule="auto"/>
              <w:rPr>
                <w:b/>
                <w:color w:val="auto"/>
                <w:sz w:val="24"/>
                <w:szCs w:val="24"/>
                <w:highlight w:val="none"/>
              </w:rPr>
            </w:pPr>
            <w:r>
              <w:rPr>
                <w:rFonts w:ascii="Times New Roman" w:hAnsi="Times New Roman" w:eastAsia="宋体" w:cs="Times New Roman"/>
                <w:b/>
                <w:color w:val="auto"/>
                <w:kern w:val="2"/>
                <w:sz w:val="24"/>
                <w:szCs w:val="24"/>
                <w:lang w:val="en-US" w:eastAsia="zh-CN" w:bidi="ar-SA"/>
              </w:rPr>
              <w:t>5、</w:t>
            </w:r>
            <w:r>
              <w:rPr>
                <w:b/>
                <w:color w:val="auto"/>
                <w:sz w:val="24"/>
                <w:szCs w:val="24"/>
                <w:highlight w:val="none"/>
              </w:rPr>
              <w:t>主要原辅材料</w:t>
            </w:r>
          </w:p>
          <w:p w14:paraId="39B2C225">
            <w:pPr>
              <w:numPr>
                <w:ilvl w:val="0"/>
                <w:numId w:val="0"/>
              </w:numPr>
              <w:adjustRightInd w:val="0"/>
              <w:snapToGrid w:val="0"/>
              <w:spacing w:line="360" w:lineRule="auto"/>
              <w:rPr>
                <w:rFonts w:hint="default" w:eastAsia="宋体"/>
                <w:b/>
                <w:color w:val="auto"/>
                <w:sz w:val="24"/>
                <w:szCs w:val="24"/>
                <w:highlight w:val="none"/>
                <w:lang w:val="en-US" w:eastAsia="zh-CN"/>
              </w:rPr>
            </w:pPr>
            <w:r>
              <w:rPr>
                <w:rFonts w:hint="eastAsia"/>
                <w:b/>
                <w:color w:val="auto"/>
                <w:sz w:val="24"/>
                <w:szCs w:val="24"/>
                <w:highlight w:val="none"/>
                <w:lang w:val="en-US" w:eastAsia="zh-CN"/>
              </w:rPr>
              <w:t>5.1  主要原辅料</w:t>
            </w:r>
          </w:p>
          <w:p w14:paraId="1654FE5F">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原辅材料情况表</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39"/>
              <w:gridCol w:w="4024"/>
              <w:gridCol w:w="861"/>
              <w:gridCol w:w="1333"/>
              <w:gridCol w:w="968"/>
              <w:gridCol w:w="949"/>
              <w:gridCol w:w="1184"/>
              <w:gridCol w:w="949"/>
              <w:gridCol w:w="1291"/>
            </w:tblGrid>
            <w:tr w14:paraId="2818E84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0" w:type="pct"/>
                  <w:vMerge w:val="restart"/>
                  <w:tcBorders>
                    <w:tl2br w:val="nil"/>
                    <w:tr2bl w:val="nil"/>
                  </w:tcBorders>
                  <w:noWrap w:val="0"/>
                  <w:vAlign w:val="center"/>
                </w:tcPr>
                <w:p w14:paraId="306F853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502" w:type="pct"/>
                  <w:vMerge w:val="restart"/>
                  <w:tcBorders>
                    <w:tl2br w:val="nil"/>
                    <w:tr2bl w:val="nil"/>
                  </w:tcBorders>
                  <w:noWrap w:val="0"/>
                  <w:vAlign w:val="center"/>
                </w:tcPr>
                <w:p w14:paraId="3220051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原辅料名称</w:t>
                  </w:r>
                </w:p>
              </w:tc>
              <w:tc>
                <w:tcPr>
                  <w:tcW w:w="1509" w:type="pct"/>
                  <w:vMerge w:val="restart"/>
                  <w:tcBorders>
                    <w:tl2br w:val="nil"/>
                    <w:tr2bl w:val="nil"/>
                  </w:tcBorders>
                  <w:noWrap w:val="0"/>
                  <w:vAlign w:val="center"/>
                </w:tcPr>
                <w:p w14:paraId="1CE117B3">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主要成分</w:t>
                  </w:r>
                </w:p>
              </w:tc>
              <w:tc>
                <w:tcPr>
                  <w:tcW w:w="323" w:type="pct"/>
                  <w:vMerge w:val="restart"/>
                  <w:tcBorders>
                    <w:tl2br w:val="nil"/>
                    <w:tr2bl w:val="nil"/>
                  </w:tcBorders>
                  <w:noWrap w:val="0"/>
                  <w:vAlign w:val="center"/>
                </w:tcPr>
                <w:p w14:paraId="0504BB0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形态</w:t>
                  </w:r>
                </w:p>
              </w:tc>
              <w:tc>
                <w:tcPr>
                  <w:tcW w:w="500" w:type="pct"/>
                  <w:vMerge w:val="restart"/>
                  <w:tcBorders>
                    <w:tl2br w:val="nil"/>
                    <w:tr2bl w:val="nil"/>
                  </w:tcBorders>
                  <w:noWrap w:val="0"/>
                  <w:vAlign w:val="center"/>
                </w:tcPr>
                <w:p w14:paraId="0E426356">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包装规格</w:t>
                  </w:r>
                </w:p>
              </w:tc>
              <w:tc>
                <w:tcPr>
                  <w:tcW w:w="1163" w:type="pct"/>
                  <w:gridSpan w:val="3"/>
                  <w:tcBorders>
                    <w:tl2br w:val="nil"/>
                    <w:tr2bl w:val="nil"/>
                  </w:tcBorders>
                  <w:noWrap w:val="0"/>
                  <w:vAlign w:val="center"/>
                </w:tcPr>
                <w:p w14:paraId="7B4F7124">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年用量</w:t>
                  </w:r>
                </w:p>
              </w:tc>
              <w:tc>
                <w:tcPr>
                  <w:tcW w:w="356" w:type="pct"/>
                  <w:vMerge w:val="restart"/>
                  <w:tcBorders>
                    <w:tl2br w:val="nil"/>
                    <w:tr2bl w:val="nil"/>
                  </w:tcBorders>
                  <w:noWrap w:val="0"/>
                  <w:vAlign w:val="center"/>
                </w:tcPr>
                <w:p w14:paraId="76E5A50D">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最大存储量</w:t>
                  </w:r>
                </w:p>
              </w:tc>
              <w:tc>
                <w:tcPr>
                  <w:tcW w:w="484" w:type="pct"/>
                  <w:vMerge w:val="restart"/>
                  <w:tcBorders>
                    <w:tl2br w:val="nil"/>
                    <w:tr2bl w:val="nil"/>
                  </w:tcBorders>
                  <w:noWrap w:val="0"/>
                  <w:vAlign w:val="center"/>
                </w:tcPr>
                <w:p w14:paraId="139171C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储存位置</w:t>
                  </w:r>
                </w:p>
              </w:tc>
            </w:tr>
            <w:tr w14:paraId="5BA621F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vMerge w:val="continue"/>
                  <w:tcBorders>
                    <w:tl2br w:val="nil"/>
                    <w:tr2bl w:val="nil"/>
                  </w:tcBorders>
                  <w:noWrap w:val="0"/>
                  <w:vAlign w:val="center"/>
                </w:tcPr>
                <w:p w14:paraId="315BCDAE">
                  <w:pPr>
                    <w:jc w:val="center"/>
                    <w:rPr>
                      <w:rFonts w:hint="default" w:ascii="Times New Roman" w:hAnsi="Times New Roman" w:eastAsia="仿宋" w:cs="Times New Roman"/>
                      <w:color w:val="auto"/>
                      <w:szCs w:val="21"/>
                    </w:rPr>
                  </w:pPr>
                </w:p>
              </w:tc>
              <w:tc>
                <w:tcPr>
                  <w:tcW w:w="502" w:type="pct"/>
                  <w:vMerge w:val="continue"/>
                  <w:tcBorders>
                    <w:tl2br w:val="nil"/>
                    <w:tr2bl w:val="nil"/>
                  </w:tcBorders>
                  <w:noWrap w:val="0"/>
                  <w:vAlign w:val="center"/>
                </w:tcPr>
                <w:p w14:paraId="59F3A22E">
                  <w:pPr>
                    <w:jc w:val="center"/>
                    <w:rPr>
                      <w:rFonts w:hint="default" w:ascii="Times New Roman" w:hAnsi="Times New Roman" w:eastAsia="仿宋" w:cs="Times New Roman"/>
                      <w:color w:val="auto"/>
                      <w:szCs w:val="21"/>
                    </w:rPr>
                  </w:pPr>
                </w:p>
              </w:tc>
              <w:tc>
                <w:tcPr>
                  <w:tcW w:w="1509" w:type="pct"/>
                  <w:vMerge w:val="continue"/>
                  <w:tcBorders>
                    <w:tl2br w:val="nil"/>
                    <w:tr2bl w:val="nil"/>
                  </w:tcBorders>
                  <w:noWrap w:val="0"/>
                  <w:vAlign w:val="center"/>
                </w:tcPr>
                <w:p w14:paraId="0C8DF73E">
                  <w:pPr>
                    <w:jc w:val="center"/>
                    <w:rPr>
                      <w:rFonts w:hint="default" w:ascii="Times New Roman" w:hAnsi="Times New Roman" w:eastAsia="仿宋" w:cs="Times New Roman"/>
                      <w:color w:val="auto"/>
                      <w:szCs w:val="21"/>
                    </w:rPr>
                  </w:pPr>
                </w:p>
              </w:tc>
              <w:tc>
                <w:tcPr>
                  <w:tcW w:w="323" w:type="pct"/>
                  <w:vMerge w:val="continue"/>
                  <w:tcBorders>
                    <w:tl2br w:val="nil"/>
                    <w:tr2bl w:val="nil"/>
                  </w:tcBorders>
                  <w:noWrap w:val="0"/>
                  <w:vAlign w:val="center"/>
                </w:tcPr>
                <w:p w14:paraId="23623386">
                  <w:pPr>
                    <w:jc w:val="center"/>
                    <w:rPr>
                      <w:rFonts w:hint="default" w:ascii="Times New Roman" w:hAnsi="Times New Roman" w:eastAsia="仿宋" w:cs="Times New Roman"/>
                      <w:color w:val="auto"/>
                      <w:szCs w:val="21"/>
                    </w:rPr>
                  </w:pPr>
                </w:p>
              </w:tc>
              <w:tc>
                <w:tcPr>
                  <w:tcW w:w="500" w:type="pct"/>
                  <w:vMerge w:val="continue"/>
                  <w:tcBorders>
                    <w:tl2br w:val="nil"/>
                    <w:tr2bl w:val="nil"/>
                  </w:tcBorders>
                  <w:noWrap w:val="0"/>
                  <w:vAlign w:val="center"/>
                </w:tcPr>
                <w:p w14:paraId="7C366A97">
                  <w:pPr>
                    <w:jc w:val="center"/>
                    <w:rPr>
                      <w:rFonts w:hint="default" w:ascii="Times New Roman" w:hAnsi="Times New Roman" w:eastAsia="仿宋" w:cs="Times New Roman"/>
                      <w:color w:val="auto"/>
                      <w:szCs w:val="21"/>
                    </w:rPr>
                  </w:pPr>
                </w:p>
              </w:tc>
              <w:tc>
                <w:tcPr>
                  <w:tcW w:w="363" w:type="pct"/>
                  <w:tcBorders>
                    <w:tl2br w:val="nil"/>
                    <w:tr2bl w:val="nil"/>
                  </w:tcBorders>
                  <w:noWrap w:val="0"/>
                  <w:vAlign w:val="center"/>
                </w:tcPr>
                <w:p w14:paraId="06D8190A">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Cs w:val="21"/>
                      <w:lang w:eastAsia="zh-CN"/>
                    </w:rPr>
                  </w:pPr>
                  <w:r>
                    <w:rPr>
                      <w:rFonts w:hint="eastAsia" w:eastAsia="仿宋" w:cs="Times New Roman"/>
                      <w:b/>
                      <w:color w:val="auto"/>
                      <w:sz w:val="21"/>
                      <w:szCs w:val="21"/>
                      <w:highlight w:val="none"/>
                      <w:lang w:val="en-US" w:eastAsia="zh-CN"/>
                    </w:rPr>
                    <w:t>扩建前</w:t>
                  </w:r>
                </w:p>
              </w:tc>
              <w:tc>
                <w:tcPr>
                  <w:tcW w:w="356" w:type="pct"/>
                  <w:tcBorders>
                    <w:tl2br w:val="nil"/>
                    <w:tr2bl w:val="nil"/>
                  </w:tcBorders>
                  <w:noWrap w:val="0"/>
                  <w:vAlign w:val="center"/>
                </w:tcPr>
                <w:p w14:paraId="1D3B79E5">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Cs w:val="21"/>
                      <w:lang w:eastAsia="zh-CN"/>
                    </w:rPr>
                  </w:pPr>
                  <w:r>
                    <w:rPr>
                      <w:rFonts w:hint="eastAsia" w:eastAsia="仿宋" w:cs="Times New Roman"/>
                      <w:b/>
                      <w:color w:val="auto"/>
                      <w:sz w:val="21"/>
                      <w:szCs w:val="21"/>
                      <w:highlight w:val="none"/>
                      <w:lang w:val="en-US" w:eastAsia="zh-CN"/>
                    </w:rPr>
                    <w:t>扩建后</w:t>
                  </w:r>
                </w:p>
              </w:tc>
              <w:tc>
                <w:tcPr>
                  <w:tcW w:w="444" w:type="pct"/>
                  <w:tcBorders>
                    <w:tl2br w:val="nil"/>
                    <w:tr2bl w:val="nil"/>
                  </w:tcBorders>
                  <w:noWrap w:val="0"/>
                  <w:vAlign w:val="center"/>
                </w:tcPr>
                <w:p w14:paraId="15C1C2A4">
                  <w:pPr>
                    <w:pStyle w:val="31"/>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lang w:val="en-US" w:eastAsia="zh-CN"/>
                    </w:rPr>
                    <w:t>变化量</w:t>
                  </w:r>
                </w:p>
              </w:tc>
              <w:tc>
                <w:tcPr>
                  <w:tcW w:w="356" w:type="pct"/>
                  <w:vMerge w:val="continue"/>
                  <w:tcBorders>
                    <w:tl2br w:val="nil"/>
                    <w:tr2bl w:val="nil"/>
                  </w:tcBorders>
                  <w:noWrap w:val="0"/>
                  <w:vAlign w:val="center"/>
                </w:tcPr>
                <w:p w14:paraId="7429B914">
                  <w:pPr>
                    <w:jc w:val="center"/>
                    <w:rPr>
                      <w:rFonts w:hint="default" w:ascii="Times New Roman" w:hAnsi="Times New Roman" w:eastAsia="仿宋" w:cs="Times New Roman"/>
                      <w:b/>
                      <w:bCs/>
                      <w:color w:val="auto"/>
                      <w:szCs w:val="21"/>
                    </w:rPr>
                  </w:pPr>
                </w:p>
              </w:tc>
              <w:tc>
                <w:tcPr>
                  <w:tcW w:w="484" w:type="pct"/>
                  <w:vMerge w:val="continue"/>
                  <w:tcBorders>
                    <w:tl2br w:val="nil"/>
                    <w:tr2bl w:val="nil"/>
                  </w:tcBorders>
                  <w:noWrap w:val="0"/>
                  <w:vAlign w:val="center"/>
                </w:tcPr>
                <w:p w14:paraId="1751BFBB">
                  <w:pPr>
                    <w:jc w:val="center"/>
                    <w:rPr>
                      <w:rFonts w:hint="default" w:ascii="Times New Roman" w:hAnsi="Times New Roman" w:eastAsia="仿宋" w:cs="Times New Roman"/>
                      <w:b/>
                      <w:bCs/>
                      <w:color w:val="auto"/>
                      <w:szCs w:val="21"/>
                    </w:rPr>
                  </w:pPr>
                </w:p>
              </w:tc>
            </w:tr>
            <w:tr w14:paraId="114FAA9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0" w:type="pct"/>
                  <w:tcBorders>
                    <w:tl2br w:val="nil"/>
                    <w:tr2bl w:val="nil"/>
                  </w:tcBorders>
                  <w:noWrap w:val="0"/>
                  <w:vAlign w:val="center"/>
                </w:tcPr>
                <w:p w14:paraId="1D6AF262">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 w:val="21"/>
                      <w:szCs w:val="21"/>
                      <w:lang w:bidi="ar"/>
                    </w:rPr>
                    <w:t>1</w:t>
                  </w:r>
                </w:p>
              </w:tc>
              <w:tc>
                <w:tcPr>
                  <w:tcW w:w="502" w:type="pct"/>
                  <w:tcBorders>
                    <w:tl2br w:val="nil"/>
                    <w:tr2bl w:val="nil"/>
                  </w:tcBorders>
                  <w:noWrap w:val="0"/>
                  <w:vAlign w:val="center"/>
                </w:tcPr>
                <w:p w14:paraId="41AC266D">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钢材及线材</w:t>
                  </w:r>
                </w:p>
              </w:tc>
              <w:tc>
                <w:tcPr>
                  <w:tcW w:w="1509" w:type="pct"/>
                  <w:tcBorders>
                    <w:tl2br w:val="nil"/>
                    <w:tr2bl w:val="nil"/>
                  </w:tcBorders>
                  <w:noWrap w:val="0"/>
                  <w:vAlign w:val="center"/>
                </w:tcPr>
                <w:p w14:paraId="586932C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钢</w:t>
                  </w:r>
                </w:p>
              </w:tc>
              <w:tc>
                <w:tcPr>
                  <w:tcW w:w="323" w:type="pct"/>
                  <w:tcBorders>
                    <w:tl2br w:val="nil"/>
                    <w:tr2bl w:val="nil"/>
                  </w:tcBorders>
                  <w:noWrap w:val="0"/>
                  <w:vAlign w:val="center"/>
                </w:tcPr>
                <w:p w14:paraId="5DC9F20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固态</w:t>
                  </w:r>
                </w:p>
              </w:tc>
              <w:tc>
                <w:tcPr>
                  <w:tcW w:w="500" w:type="pct"/>
                  <w:tcBorders>
                    <w:tl2br w:val="nil"/>
                    <w:tr2bl w:val="nil"/>
                  </w:tcBorders>
                  <w:noWrap w:val="0"/>
                  <w:vAlign w:val="center"/>
                </w:tcPr>
                <w:p w14:paraId="481D67E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1m*2m散装</w:t>
                  </w:r>
                </w:p>
              </w:tc>
              <w:tc>
                <w:tcPr>
                  <w:tcW w:w="363" w:type="pct"/>
                  <w:tcBorders>
                    <w:tl2br w:val="nil"/>
                    <w:tr2bl w:val="nil"/>
                  </w:tcBorders>
                  <w:noWrap w:val="0"/>
                  <w:vAlign w:val="center"/>
                </w:tcPr>
                <w:p w14:paraId="39F114F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100t</w:t>
                  </w:r>
                </w:p>
              </w:tc>
              <w:tc>
                <w:tcPr>
                  <w:tcW w:w="356" w:type="pct"/>
                  <w:tcBorders>
                    <w:tl2br w:val="nil"/>
                    <w:tr2bl w:val="nil"/>
                  </w:tcBorders>
                  <w:noWrap w:val="0"/>
                  <w:vAlign w:val="center"/>
                </w:tcPr>
                <w:p w14:paraId="5E943D08">
                  <w:pPr>
                    <w:snapToGrid w:val="0"/>
                    <w:jc w:val="center"/>
                    <w:rPr>
                      <w:rFonts w:hint="default" w:ascii="Times New Roman" w:hAnsi="Times New Roman" w:eastAsia="仿宋" w:cs="Times New Roman"/>
                      <w:color w:val="auto"/>
                      <w:szCs w:val="21"/>
                      <w:lang w:val="en-US" w:eastAsia="zh-CN"/>
                    </w:rPr>
                  </w:pP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00t</w:t>
                  </w:r>
                </w:p>
              </w:tc>
              <w:tc>
                <w:tcPr>
                  <w:tcW w:w="444" w:type="pct"/>
                  <w:tcBorders>
                    <w:tl2br w:val="nil"/>
                    <w:tr2bl w:val="nil"/>
                  </w:tcBorders>
                  <w:noWrap w:val="0"/>
                  <w:vAlign w:val="center"/>
                </w:tcPr>
                <w:p w14:paraId="4063BFB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+600t</w:t>
                  </w:r>
                </w:p>
              </w:tc>
              <w:tc>
                <w:tcPr>
                  <w:tcW w:w="356" w:type="pct"/>
                  <w:tcBorders>
                    <w:tl2br w:val="nil"/>
                    <w:tr2bl w:val="nil"/>
                  </w:tcBorders>
                  <w:noWrap w:val="0"/>
                  <w:vAlign w:val="center"/>
                </w:tcPr>
                <w:p w14:paraId="168CCBC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20t</w:t>
                  </w:r>
                </w:p>
              </w:tc>
              <w:tc>
                <w:tcPr>
                  <w:tcW w:w="484" w:type="pct"/>
                  <w:tcBorders>
                    <w:tl2br w:val="nil"/>
                    <w:tr2bl w:val="nil"/>
                  </w:tcBorders>
                  <w:noWrap w:val="0"/>
                  <w:vAlign w:val="center"/>
                </w:tcPr>
                <w:p w14:paraId="2B184FD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原辅料仓库</w:t>
                  </w:r>
                </w:p>
              </w:tc>
            </w:tr>
            <w:tr w14:paraId="3D15A6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0" w:type="pct"/>
                  <w:tcBorders>
                    <w:tl2br w:val="nil"/>
                    <w:tr2bl w:val="nil"/>
                  </w:tcBorders>
                  <w:noWrap w:val="0"/>
                  <w:vAlign w:val="center"/>
                </w:tcPr>
                <w:p w14:paraId="49F0A58A">
                  <w:pPr>
                    <w:widowControl/>
                    <w:jc w:val="center"/>
                    <w:textAlignment w:val="center"/>
                    <w:rPr>
                      <w:rFonts w:hint="eastAsia"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w:t>
                  </w:r>
                </w:p>
              </w:tc>
              <w:tc>
                <w:tcPr>
                  <w:tcW w:w="502" w:type="pct"/>
                  <w:tcBorders>
                    <w:tl2br w:val="nil"/>
                    <w:tr2bl w:val="nil"/>
                  </w:tcBorders>
                  <w:noWrap w:val="0"/>
                  <w:vAlign w:val="center"/>
                </w:tcPr>
                <w:p w14:paraId="6CFE544E">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钢板</w:t>
                  </w:r>
                </w:p>
              </w:tc>
              <w:tc>
                <w:tcPr>
                  <w:tcW w:w="1509" w:type="pct"/>
                  <w:tcBorders>
                    <w:tl2br w:val="nil"/>
                    <w:tr2bl w:val="nil"/>
                  </w:tcBorders>
                  <w:noWrap w:val="0"/>
                  <w:vAlign w:val="center"/>
                </w:tcPr>
                <w:p w14:paraId="1E7F3D70">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钢</w:t>
                  </w:r>
                </w:p>
              </w:tc>
              <w:tc>
                <w:tcPr>
                  <w:tcW w:w="323" w:type="pct"/>
                  <w:tcBorders>
                    <w:tl2br w:val="nil"/>
                    <w:tr2bl w:val="nil"/>
                  </w:tcBorders>
                  <w:noWrap w:val="0"/>
                  <w:vAlign w:val="center"/>
                </w:tcPr>
                <w:p w14:paraId="068924C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固态</w:t>
                  </w:r>
                </w:p>
              </w:tc>
              <w:tc>
                <w:tcPr>
                  <w:tcW w:w="500" w:type="pct"/>
                  <w:tcBorders>
                    <w:tl2br w:val="nil"/>
                    <w:tr2bl w:val="nil"/>
                  </w:tcBorders>
                  <w:noWrap w:val="0"/>
                  <w:vAlign w:val="center"/>
                </w:tcPr>
                <w:p w14:paraId="7796F5D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1m*1m散装</w:t>
                  </w:r>
                </w:p>
              </w:tc>
              <w:tc>
                <w:tcPr>
                  <w:tcW w:w="363" w:type="pct"/>
                  <w:tcBorders>
                    <w:tl2br w:val="nil"/>
                    <w:tr2bl w:val="nil"/>
                  </w:tcBorders>
                  <w:noWrap w:val="0"/>
                  <w:vAlign w:val="center"/>
                </w:tcPr>
                <w:p w14:paraId="4F76B16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20t</w:t>
                  </w:r>
                </w:p>
              </w:tc>
              <w:tc>
                <w:tcPr>
                  <w:tcW w:w="356" w:type="pct"/>
                  <w:tcBorders>
                    <w:tl2br w:val="nil"/>
                    <w:tr2bl w:val="nil"/>
                  </w:tcBorders>
                  <w:noWrap w:val="0"/>
                  <w:vAlign w:val="center"/>
                </w:tcPr>
                <w:p w14:paraId="43C6B16F">
                  <w:pPr>
                    <w:snapToGrid w:val="0"/>
                    <w:jc w:val="center"/>
                    <w:rPr>
                      <w:rFonts w:hint="default" w:ascii="Times New Roman" w:hAnsi="Times New Roman" w:eastAsia="仿宋" w:cs="Times New Roman"/>
                      <w:color w:val="auto"/>
                      <w:szCs w:val="21"/>
                      <w:lang w:val="en-US"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00t</w:t>
                  </w:r>
                </w:p>
              </w:tc>
              <w:tc>
                <w:tcPr>
                  <w:tcW w:w="444" w:type="pct"/>
                  <w:tcBorders>
                    <w:tl2br w:val="nil"/>
                    <w:tr2bl w:val="nil"/>
                  </w:tcBorders>
                  <w:noWrap w:val="0"/>
                  <w:vAlign w:val="center"/>
                </w:tcPr>
                <w:p w14:paraId="5EFD4FD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+280t</w:t>
                  </w:r>
                </w:p>
              </w:tc>
              <w:tc>
                <w:tcPr>
                  <w:tcW w:w="356" w:type="pct"/>
                  <w:tcBorders>
                    <w:tl2br w:val="nil"/>
                    <w:tr2bl w:val="nil"/>
                  </w:tcBorders>
                  <w:noWrap w:val="0"/>
                  <w:vAlign w:val="center"/>
                </w:tcPr>
                <w:p w14:paraId="1C798FB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10t</w:t>
                  </w:r>
                </w:p>
              </w:tc>
              <w:tc>
                <w:tcPr>
                  <w:tcW w:w="484" w:type="pct"/>
                  <w:tcBorders>
                    <w:tl2br w:val="nil"/>
                    <w:tr2bl w:val="nil"/>
                  </w:tcBorders>
                  <w:noWrap w:val="0"/>
                  <w:vAlign w:val="center"/>
                </w:tcPr>
                <w:p w14:paraId="4AF9C25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原辅料仓库</w:t>
                  </w:r>
                </w:p>
              </w:tc>
            </w:tr>
            <w:tr w14:paraId="09B7F6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0" w:type="pct"/>
                  <w:tcBorders>
                    <w:tl2br w:val="nil"/>
                    <w:tr2bl w:val="nil"/>
                  </w:tcBorders>
                  <w:noWrap w:val="0"/>
                  <w:vAlign w:val="center"/>
                </w:tcPr>
                <w:p w14:paraId="558D2637">
                  <w:pPr>
                    <w:widowControl/>
                    <w:jc w:val="center"/>
                    <w:textAlignment w:val="center"/>
                    <w:rPr>
                      <w:rFonts w:hint="eastAsia"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w:t>
                  </w:r>
                </w:p>
              </w:tc>
              <w:tc>
                <w:tcPr>
                  <w:tcW w:w="502" w:type="pct"/>
                  <w:tcBorders>
                    <w:tl2br w:val="nil"/>
                    <w:tr2bl w:val="nil"/>
                  </w:tcBorders>
                  <w:noWrap w:val="0"/>
                  <w:vAlign w:val="center"/>
                </w:tcPr>
                <w:p w14:paraId="48ADDC94">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工件半成品</w:t>
                  </w:r>
                </w:p>
              </w:tc>
              <w:tc>
                <w:tcPr>
                  <w:tcW w:w="1509" w:type="pct"/>
                  <w:tcBorders>
                    <w:tl2br w:val="nil"/>
                    <w:tr2bl w:val="nil"/>
                  </w:tcBorders>
                  <w:noWrap w:val="0"/>
                  <w:vAlign w:val="center"/>
                </w:tcPr>
                <w:p w14:paraId="77F59CF0">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钢材金属件</w:t>
                  </w:r>
                </w:p>
              </w:tc>
              <w:tc>
                <w:tcPr>
                  <w:tcW w:w="323" w:type="pct"/>
                  <w:tcBorders>
                    <w:tl2br w:val="nil"/>
                    <w:tr2bl w:val="nil"/>
                  </w:tcBorders>
                  <w:noWrap w:val="0"/>
                  <w:vAlign w:val="center"/>
                </w:tcPr>
                <w:p w14:paraId="1240B84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固态</w:t>
                  </w:r>
                </w:p>
              </w:tc>
              <w:tc>
                <w:tcPr>
                  <w:tcW w:w="500" w:type="pct"/>
                  <w:tcBorders>
                    <w:tl2br w:val="nil"/>
                    <w:tr2bl w:val="nil"/>
                  </w:tcBorders>
                  <w:noWrap w:val="0"/>
                  <w:vAlign w:val="center"/>
                </w:tcPr>
                <w:p w14:paraId="071BCCFF">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散装</w:t>
                  </w:r>
                </w:p>
              </w:tc>
              <w:tc>
                <w:tcPr>
                  <w:tcW w:w="363" w:type="pct"/>
                  <w:tcBorders>
                    <w:tl2br w:val="nil"/>
                    <w:tr2bl w:val="nil"/>
                  </w:tcBorders>
                  <w:noWrap w:val="0"/>
                  <w:vAlign w:val="center"/>
                </w:tcPr>
                <w:p w14:paraId="0BBF809C">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400t</w:t>
                  </w:r>
                </w:p>
              </w:tc>
              <w:tc>
                <w:tcPr>
                  <w:tcW w:w="356" w:type="pct"/>
                  <w:tcBorders>
                    <w:tl2br w:val="nil"/>
                    <w:tr2bl w:val="nil"/>
                  </w:tcBorders>
                  <w:noWrap w:val="0"/>
                  <w:vAlign w:val="center"/>
                </w:tcPr>
                <w:p w14:paraId="567C49F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w:t>
                  </w:r>
                </w:p>
              </w:tc>
              <w:tc>
                <w:tcPr>
                  <w:tcW w:w="444" w:type="pct"/>
                  <w:tcBorders>
                    <w:tl2br w:val="nil"/>
                    <w:tr2bl w:val="nil"/>
                  </w:tcBorders>
                  <w:noWrap w:val="0"/>
                  <w:vAlign w:val="center"/>
                </w:tcPr>
                <w:p w14:paraId="0BADD3DD">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-400t</w:t>
                  </w:r>
                </w:p>
              </w:tc>
              <w:tc>
                <w:tcPr>
                  <w:tcW w:w="356" w:type="pct"/>
                  <w:tcBorders>
                    <w:tl2br w:val="nil"/>
                    <w:tr2bl w:val="nil"/>
                  </w:tcBorders>
                  <w:noWrap w:val="0"/>
                  <w:vAlign w:val="center"/>
                </w:tcPr>
                <w:p w14:paraId="43AB07B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0t</w:t>
                  </w:r>
                </w:p>
              </w:tc>
              <w:tc>
                <w:tcPr>
                  <w:tcW w:w="484" w:type="pct"/>
                  <w:tcBorders>
                    <w:tl2br w:val="nil"/>
                    <w:tr2bl w:val="nil"/>
                  </w:tcBorders>
                  <w:noWrap w:val="0"/>
                  <w:vAlign w:val="center"/>
                </w:tcPr>
                <w:p w14:paraId="31D2D20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原辅料仓库</w:t>
                  </w:r>
                </w:p>
              </w:tc>
            </w:tr>
            <w:tr w14:paraId="5B6551A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60" w:type="pct"/>
                  <w:tcBorders>
                    <w:tl2br w:val="nil"/>
                    <w:tr2bl w:val="nil"/>
                  </w:tcBorders>
                  <w:noWrap w:val="0"/>
                  <w:vAlign w:val="center"/>
                </w:tcPr>
                <w:p w14:paraId="74C22771">
                  <w:pPr>
                    <w:widowControl/>
                    <w:jc w:val="center"/>
                    <w:textAlignment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4</w:t>
                  </w:r>
                </w:p>
              </w:tc>
              <w:tc>
                <w:tcPr>
                  <w:tcW w:w="502" w:type="pct"/>
                  <w:tcBorders>
                    <w:tl2br w:val="nil"/>
                    <w:tr2bl w:val="nil"/>
                  </w:tcBorders>
                  <w:noWrap w:val="0"/>
                  <w:vAlign w:val="center"/>
                </w:tcPr>
                <w:p w14:paraId="68A0902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硅烷剂</w:t>
                  </w:r>
                </w:p>
              </w:tc>
              <w:tc>
                <w:tcPr>
                  <w:tcW w:w="1509" w:type="pct"/>
                  <w:tcBorders>
                    <w:tl2br w:val="nil"/>
                    <w:tr2bl w:val="nil"/>
                  </w:tcBorders>
                  <w:noWrap w:val="0"/>
                  <w:vAlign w:val="center"/>
                </w:tcPr>
                <w:p w14:paraId="54977B7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氧化</w:t>
                  </w:r>
                  <w:r>
                    <w:rPr>
                      <w:rFonts w:hint="eastAsia" w:eastAsia="仿宋" w:cs="Times New Roman"/>
                      <w:color w:val="auto"/>
                      <w:szCs w:val="21"/>
                      <w:highlight w:val="none"/>
                      <w:lang w:val="en-US" w:eastAsia="zh-CN"/>
                    </w:rPr>
                    <w:t>锌</w:t>
                  </w:r>
                  <w:r>
                    <w:rPr>
                      <w:rFonts w:hint="eastAsia" w:eastAsia="仿宋" w:cs="Times New Roman"/>
                      <w:color w:val="auto"/>
                      <w:szCs w:val="21"/>
                      <w:lang w:val="en-US" w:eastAsia="zh-CN"/>
                    </w:rPr>
                    <w:t>20%，络合剂5%，无机酸35%，去离子水40%</w:t>
                  </w:r>
                </w:p>
              </w:tc>
              <w:tc>
                <w:tcPr>
                  <w:tcW w:w="323" w:type="pct"/>
                  <w:tcBorders>
                    <w:tl2br w:val="nil"/>
                    <w:tr2bl w:val="nil"/>
                  </w:tcBorders>
                  <w:noWrap w:val="0"/>
                  <w:vAlign w:val="center"/>
                </w:tcPr>
                <w:p w14:paraId="72C2C715">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液态</w:t>
                  </w:r>
                </w:p>
              </w:tc>
              <w:tc>
                <w:tcPr>
                  <w:tcW w:w="500" w:type="pct"/>
                  <w:tcBorders>
                    <w:tl2br w:val="nil"/>
                    <w:tr2bl w:val="nil"/>
                  </w:tcBorders>
                  <w:noWrap w:val="0"/>
                  <w:vAlign w:val="center"/>
                </w:tcPr>
                <w:p w14:paraId="2661FDC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25kg/桶</w:t>
                  </w:r>
                </w:p>
              </w:tc>
              <w:tc>
                <w:tcPr>
                  <w:tcW w:w="363" w:type="pct"/>
                  <w:tcBorders>
                    <w:tl2br w:val="nil"/>
                    <w:tr2bl w:val="nil"/>
                  </w:tcBorders>
                  <w:noWrap w:val="0"/>
                  <w:vAlign w:val="center"/>
                </w:tcPr>
                <w:p w14:paraId="550B3DE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3t</w:t>
                  </w:r>
                </w:p>
              </w:tc>
              <w:tc>
                <w:tcPr>
                  <w:tcW w:w="356" w:type="pct"/>
                  <w:tcBorders>
                    <w:tl2br w:val="nil"/>
                    <w:tr2bl w:val="nil"/>
                  </w:tcBorders>
                  <w:noWrap w:val="0"/>
                  <w:vAlign w:val="center"/>
                </w:tcPr>
                <w:p w14:paraId="29DA8B4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6t</w:t>
                  </w:r>
                </w:p>
              </w:tc>
              <w:tc>
                <w:tcPr>
                  <w:tcW w:w="444" w:type="pct"/>
                  <w:tcBorders>
                    <w:tl2br w:val="nil"/>
                    <w:tr2bl w:val="nil"/>
                  </w:tcBorders>
                  <w:noWrap w:val="0"/>
                  <w:vAlign w:val="center"/>
                </w:tcPr>
                <w:p w14:paraId="3AD47B5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+3t</w:t>
                  </w:r>
                </w:p>
              </w:tc>
              <w:tc>
                <w:tcPr>
                  <w:tcW w:w="356" w:type="pct"/>
                  <w:tcBorders>
                    <w:tl2br w:val="nil"/>
                    <w:tr2bl w:val="nil"/>
                  </w:tcBorders>
                  <w:noWrap w:val="0"/>
                  <w:vAlign w:val="center"/>
                </w:tcPr>
                <w:p w14:paraId="4F41AFA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tcBorders>
                    <w:tl2br w:val="nil"/>
                    <w:tr2bl w:val="nil"/>
                  </w:tcBorders>
                  <w:noWrap w:val="0"/>
                  <w:vAlign w:val="center"/>
                </w:tcPr>
                <w:p w14:paraId="0EBEB3F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化学品仓库</w:t>
                  </w:r>
                </w:p>
              </w:tc>
            </w:tr>
            <w:tr w14:paraId="5251A7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shd w:val="clear" w:color="auto" w:fill="auto"/>
                  <w:noWrap w:val="0"/>
                  <w:vAlign w:val="center"/>
                </w:tcPr>
                <w:p w14:paraId="089E00E9">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5</w:t>
                  </w:r>
                </w:p>
              </w:tc>
              <w:tc>
                <w:tcPr>
                  <w:tcW w:w="502" w:type="pct"/>
                  <w:tcBorders>
                    <w:tl2br w:val="nil"/>
                    <w:tr2bl w:val="nil"/>
                  </w:tcBorders>
                  <w:noWrap w:val="0"/>
                  <w:vAlign w:val="center"/>
                </w:tcPr>
                <w:p w14:paraId="63068F8A">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脱脂剂</w:t>
                  </w:r>
                </w:p>
              </w:tc>
              <w:tc>
                <w:tcPr>
                  <w:tcW w:w="1509" w:type="pct"/>
                  <w:tcBorders>
                    <w:tl2br w:val="nil"/>
                    <w:tr2bl w:val="nil"/>
                  </w:tcBorders>
                  <w:noWrap w:val="0"/>
                  <w:vAlign w:val="center"/>
                </w:tcPr>
                <w:p w14:paraId="4207874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表面活性剂15%-35%，络合剂5%-10%，纯碱10%，葡萄糖酸钠10%，纯水35%</w:t>
                  </w:r>
                </w:p>
              </w:tc>
              <w:tc>
                <w:tcPr>
                  <w:tcW w:w="323" w:type="pct"/>
                  <w:tcBorders>
                    <w:tl2br w:val="nil"/>
                    <w:tr2bl w:val="nil"/>
                  </w:tcBorders>
                  <w:shd w:val="clear" w:color="auto" w:fill="auto"/>
                  <w:noWrap w:val="0"/>
                  <w:vAlign w:val="center"/>
                </w:tcPr>
                <w:p w14:paraId="16327DD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27266B3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25kg/桶</w:t>
                  </w:r>
                </w:p>
              </w:tc>
              <w:tc>
                <w:tcPr>
                  <w:tcW w:w="363" w:type="pct"/>
                  <w:tcBorders>
                    <w:tl2br w:val="nil"/>
                    <w:tr2bl w:val="nil"/>
                  </w:tcBorders>
                  <w:shd w:val="clear" w:color="auto" w:fill="auto"/>
                  <w:noWrap w:val="0"/>
                  <w:vAlign w:val="center"/>
                </w:tcPr>
                <w:p w14:paraId="52BD011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5t</w:t>
                  </w:r>
                </w:p>
              </w:tc>
              <w:tc>
                <w:tcPr>
                  <w:tcW w:w="356" w:type="pct"/>
                  <w:tcBorders>
                    <w:tl2br w:val="nil"/>
                    <w:tr2bl w:val="nil"/>
                  </w:tcBorders>
                  <w:noWrap w:val="0"/>
                  <w:vAlign w:val="center"/>
                </w:tcPr>
                <w:p w14:paraId="5846F54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8t</w:t>
                  </w:r>
                </w:p>
              </w:tc>
              <w:tc>
                <w:tcPr>
                  <w:tcW w:w="444" w:type="pct"/>
                  <w:tcBorders>
                    <w:tl2br w:val="nil"/>
                    <w:tr2bl w:val="nil"/>
                  </w:tcBorders>
                  <w:noWrap w:val="0"/>
                  <w:vAlign w:val="center"/>
                </w:tcPr>
                <w:p w14:paraId="6D386F98">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+3t</w:t>
                  </w:r>
                </w:p>
              </w:tc>
              <w:tc>
                <w:tcPr>
                  <w:tcW w:w="356" w:type="pct"/>
                  <w:tcBorders>
                    <w:tl2br w:val="nil"/>
                    <w:tr2bl w:val="nil"/>
                  </w:tcBorders>
                  <w:noWrap w:val="0"/>
                  <w:vAlign w:val="center"/>
                </w:tcPr>
                <w:p w14:paraId="15DC2EE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tcBorders>
                    <w:tl2br w:val="nil"/>
                    <w:tr2bl w:val="nil"/>
                  </w:tcBorders>
                  <w:noWrap w:val="0"/>
                  <w:vAlign w:val="center"/>
                </w:tcPr>
                <w:p w14:paraId="488A2249">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68E33C2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shd w:val="clear" w:color="auto" w:fill="auto"/>
                  <w:noWrap w:val="0"/>
                  <w:vAlign w:val="center"/>
                </w:tcPr>
                <w:p w14:paraId="7B006B4A">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6</w:t>
                  </w:r>
                </w:p>
              </w:tc>
              <w:tc>
                <w:tcPr>
                  <w:tcW w:w="502" w:type="pct"/>
                  <w:tcBorders>
                    <w:tl2br w:val="nil"/>
                    <w:tr2bl w:val="nil"/>
                  </w:tcBorders>
                  <w:noWrap w:val="0"/>
                  <w:vAlign w:val="center"/>
                </w:tcPr>
                <w:p w14:paraId="0302125C">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表调剂</w:t>
                  </w:r>
                </w:p>
              </w:tc>
              <w:tc>
                <w:tcPr>
                  <w:tcW w:w="1509" w:type="pct"/>
                  <w:tcBorders>
                    <w:tl2br w:val="nil"/>
                    <w:tr2bl w:val="nil"/>
                  </w:tcBorders>
                  <w:noWrap w:val="0"/>
                  <w:vAlign w:val="center"/>
                </w:tcPr>
                <w:p w14:paraId="1EA89C7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稀土钛35%，纯碱20%，柠檬酸钠25%，碳酸氢钠25%</w:t>
                  </w:r>
                </w:p>
              </w:tc>
              <w:tc>
                <w:tcPr>
                  <w:tcW w:w="323" w:type="pct"/>
                  <w:tcBorders>
                    <w:tl2br w:val="nil"/>
                    <w:tr2bl w:val="nil"/>
                  </w:tcBorders>
                  <w:shd w:val="clear" w:color="auto" w:fill="auto"/>
                  <w:noWrap w:val="0"/>
                  <w:vAlign w:val="center"/>
                </w:tcPr>
                <w:p w14:paraId="4BCB305B">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286758CF">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25kg/桶</w:t>
                  </w:r>
                </w:p>
              </w:tc>
              <w:tc>
                <w:tcPr>
                  <w:tcW w:w="363" w:type="pct"/>
                  <w:tcBorders>
                    <w:tl2br w:val="nil"/>
                    <w:tr2bl w:val="nil"/>
                  </w:tcBorders>
                  <w:noWrap w:val="0"/>
                  <w:vAlign w:val="center"/>
                </w:tcPr>
                <w:p w14:paraId="70AD39F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w:t>
                  </w:r>
                </w:p>
              </w:tc>
              <w:tc>
                <w:tcPr>
                  <w:tcW w:w="356" w:type="pct"/>
                  <w:tcBorders>
                    <w:tl2br w:val="nil"/>
                    <w:tr2bl w:val="nil"/>
                  </w:tcBorders>
                  <w:noWrap w:val="0"/>
                  <w:vAlign w:val="center"/>
                </w:tcPr>
                <w:p w14:paraId="1D66A94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3t</w:t>
                  </w:r>
                </w:p>
              </w:tc>
              <w:tc>
                <w:tcPr>
                  <w:tcW w:w="444" w:type="pct"/>
                  <w:tcBorders>
                    <w:tl2br w:val="nil"/>
                    <w:tr2bl w:val="nil"/>
                  </w:tcBorders>
                  <w:noWrap w:val="0"/>
                  <w:vAlign w:val="center"/>
                </w:tcPr>
                <w:p w14:paraId="26CA64E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+3t</w:t>
                  </w:r>
                </w:p>
              </w:tc>
              <w:tc>
                <w:tcPr>
                  <w:tcW w:w="356" w:type="pct"/>
                  <w:tcBorders>
                    <w:tl2br w:val="nil"/>
                    <w:tr2bl w:val="nil"/>
                  </w:tcBorders>
                  <w:noWrap w:val="0"/>
                  <w:vAlign w:val="center"/>
                </w:tcPr>
                <w:p w14:paraId="004F5547">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tcBorders>
                    <w:tl2br w:val="nil"/>
                    <w:tr2bl w:val="nil"/>
                  </w:tcBorders>
                  <w:noWrap w:val="0"/>
                  <w:vAlign w:val="center"/>
                </w:tcPr>
                <w:p w14:paraId="07DED6A7">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547FB30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noWrap w:val="0"/>
                  <w:vAlign w:val="center"/>
                </w:tcPr>
                <w:p w14:paraId="0C11BB1C">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 w:val="21"/>
                      <w:szCs w:val="21"/>
                      <w:lang w:bidi="ar"/>
                    </w:rPr>
                    <w:t>7</w:t>
                  </w:r>
                </w:p>
              </w:tc>
              <w:tc>
                <w:tcPr>
                  <w:tcW w:w="502" w:type="pct"/>
                  <w:tcBorders>
                    <w:tl2br w:val="nil"/>
                    <w:tr2bl w:val="nil"/>
                  </w:tcBorders>
                  <w:noWrap w:val="0"/>
                  <w:vAlign w:val="center"/>
                </w:tcPr>
                <w:p w14:paraId="450F2D7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电泳漆树脂</w:t>
                  </w:r>
                </w:p>
              </w:tc>
              <w:tc>
                <w:tcPr>
                  <w:tcW w:w="1509" w:type="pct"/>
                  <w:tcBorders>
                    <w:tl2br w:val="nil"/>
                    <w:tr2bl w:val="nil"/>
                  </w:tcBorders>
                  <w:noWrap w:val="0"/>
                  <w:vAlign w:val="center"/>
                </w:tcPr>
                <w:p w14:paraId="01E731C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丙烯酸树脂30%-35%，烷基三聚氰胺甲醛树脂20%-35%，聚酯树脂5%-10%，2-丙醇15%-20%，去离子水15%-20%，2-丁氧基乙醇1%-5%，丙二醇乙醚1%-5%，其他溶剂0.1%-1%，其他添加剂0.1%-1%</w:t>
                  </w:r>
                </w:p>
              </w:tc>
              <w:tc>
                <w:tcPr>
                  <w:tcW w:w="323" w:type="pct"/>
                  <w:tcBorders>
                    <w:tl2br w:val="nil"/>
                    <w:tr2bl w:val="nil"/>
                  </w:tcBorders>
                  <w:shd w:val="clear" w:color="auto" w:fill="auto"/>
                  <w:noWrap w:val="0"/>
                  <w:vAlign w:val="center"/>
                </w:tcPr>
                <w:p w14:paraId="0A4DF57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5403E6A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20kg/桶</w:t>
                  </w:r>
                </w:p>
              </w:tc>
              <w:tc>
                <w:tcPr>
                  <w:tcW w:w="363" w:type="pct"/>
                  <w:tcBorders>
                    <w:tl2br w:val="nil"/>
                    <w:tr2bl w:val="nil"/>
                  </w:tcBorders>
                  <w:shd w:val="clear" w:color="auto" w:fill="auto"/>
                  <w:noWrap w:val="0"/>
                  <w:vAlign w:val="center"/>
                </w:tcPr>
                <w:p w14:paraId="7AD464C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6t</w:t>
                  </w:r>
                </w:p>
              </w:tc>
              <w:tc>
                <w:tcPr>
                  <w:tcW w:w="356" w:type="pct"/>
                  <w:tcBorders>
                    <w:tl2br w:val="nil"/>
                    <w:tr2bl w:val="nil"/>
                  </w:tcBorders>
                  <w:noWrap w:val="0"/>
                  <w:vAlign w:val="center"/>
                </w:tcPr>
                <w:p w14:paraId="29F34CC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9.6t</w:t>
                  </w:r>
                </w:p>
              </w:tc>
              <w:tc>
                <w:tcPr>
                  <w:tcW w:w="444" w:type="pct"/>
                  <w:tcBorders>
                    <w:tl2br w:val="nil"/>
                    <w:tr2bl w:val="nil"/>
                  </w:tcBorders>
                  <w:noWrap w:val="0"/>
                  <w:vAlign w:val="center"/>
                </w:tcPr>
                <w:p w14:paraId="7C9369F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+3.6t</w:t>
                  </w:r>
                </w:p>
              </w:tc>
              <w:tc>
                <w:tcPr>
                  <w:tcW w:w="356" w:type="pct"/>
                  <w:tcBorders>
                    <w:tl2br w:val="nil"/>
                    <w:tr2bl w:val="nil"/>
                  </w:tcBorders>
                  <w:noWrap w:val="0"/>
                  <w:vAlign w:val="center"/>
                </w:tcPr>
                <w:p w14:paraId="4AD01DE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tcBorders>
                    <w:tl2br w:val="nil"/>
                    <w:tr2bl w:val="nil"/>
                  </w:tcBorders>
                  <w:noWrap w:val="0"/>
                  <w:vAlign w:val="center"/>
                </w:tcPr>
                <w:p w14:paraId="57CA7192">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6A461D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noWrap w:val="0"/>
                  <w:vAlign w:val="center"/>
                </w:tcPr>
                <w:p w14:paraId="11CD0A73">
                  <w:pPr>
                    <w:widowControl/>
                    <w:jc w:val="center"/>
                    <w:textAlignment w:val="center"/>
                    <w:rPr>
                      <w:rFonts w:hint="eastAsia"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8</w:t>
                  </w:r>
                </w:p>
              </w:tc>
              <w:tc>
                <w:tcPr>
                  <w:tcW w:w="502" w:type="pct"/>
                  <w:tcBorders>
                    <w:tl2br w:val="nil"/>
                    <w:tr2bl w:val="nil"/>
                  </w:tcBorders>
                  <w:noWrap w:val="0"/>
                  <w:vAlign w:val="center"/>
                </w:tcPr>
                <w:p w14:paraId="13B775B5">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电泳漆色浆</w:t>
                  </w:r>
                </w:p>
              </w:tc>
              <w:tc>
                <w:tcPr>
                  <w:tcW w:w="1509" w:type="pct"/>
                  <w:tcBorders>
                    <w:tl2br w:val="nil"/>
                    <w:tr2bl w:val="nil"/>
                  </w:tcBorders>
                  <w:noWrap w:val="0"/>
                  <w:vAlign w:val="center"/>
                </w:tcPr>
                <w:p w14:paraId="338B4790">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炭黑20%，三聚磷酸钠3%，乙二醇0.5%，水76.5%</w:t>
                  </w:r>
                </w:p>
              </w:tc>
              <w:tc>
                <w:tcPr>
                  <w:tcW w:w="323" w:type="pct"/>
                  <w:tcBorders>
                    <w:tl2br w:val="nil"/>
                    <w:tr2bl w:val="nil"/>
                  </w:tcBorders>
                  <w:shd w:val="clear" w:color="auto" w:fill="auto"/>
                  <w:noWrap w:val="0"/>
                  <w:vAlign w:val="center"/>
                </w:tcPr>
                <w:p w14:paraId="1CE6CC24">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4A7B3F32">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25kg/桶</w:t>
                  </w:r>
                </w:p>
              </w:tc>
              <w:tc>
                <w:tcPr>
                  <w:tcW w:w="363" w:type="pct"/>
                  <w:tcBorders>
                    <w:tl2br w:val="nil"/>
                    <w:tr2bl w:val="nil"/>
                  </w:tcBorders>
                  <w:shd w:val="clear" w:color="auto" w:fill="auto"/>
                  <w:noWrap w:val="0"/>
                  <w:vAlign w:val="center"/>
                </w:tcPr>
                <w:p w14:paraId="0F54AA55">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w:t>
                  </w:r>
                </w:p>
              </w:tc>
              <w:tc>
                <w:tcPr>
                  <w:tcW w:w="356" w:type="pct"/>
                  <w:tcBorders>
                    <w:tl2br w:val="nil"/>
                    <w:tr2bl w:val="nil"/>
                  </w:tcBorders>
                  <w:noWrap w:val="0"/>
                  <w:vAlign w:val="center"/>
                </w:tcPr>
                <w:p w14:paraId="40F8FB5D">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2.4t</w:t>
                  </w:r>
                </w:p>
              </w:tc>
              <w:tc>
                <w:tcPr>
                  <w:tcW w:w="444" w:type="pct"/>
                  <w:tcBorders>
                    <w:tl2br w:val="nil"/>
                    <w:tr2bl w:val="nil"/>
                  </w:tcBorders>
                  <w:noWrap w:val="0"/>
                  <w:vAlign w:val="center"/>
                </w:tcPr>
                <w:p w14:paraId="6578D6A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+2.4t</w:t>
                  </w:r>
                </w:p>
              </w:tc>
              <w:tc>
                <w:tcPr>
                  <w:tcW w:w="356" w:type="pct"/>
                  <w:tcBorders>
                    <w:tl2br w:val="nil"/>
                    <w:tr2bl w:val="nil"/>
                  </w:tcBorders>
                  <w:noWrap w:val="0"/>
                  <w:vAlign w:val="center"/>
                </w:tcPr>
                <w:p w14:paraId="6E3DF44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0.25t</w:t>
                  </w:r>
                </w:p>
              </w:tc>
              <w:tc>
                <w:tcPr>
                  <w:tcW w:w="484" w:type="pct"/>
                  <w:tcBorders>
                    <w:tl2br w:val="nil"/>
                    <w:tr2bl w:val="nil"/>
                  </w:tcBorders>
                  <w:noWrap w:val="0"/>
                  <w:vAlign w:val="center"/>
                </w:tcPr>
                <w:p w14:paraId="506037CA">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3E5EEE8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0" w:type="pct"/>
                  <w:tcBorders>
                    <w:tl2br w:val="nil"/>
                    <w:tr2bl w:val="nil"/>
                  </w:tcBorders>
                  <w:shd w:val="clear" w:color="auto" w:fill="auto"/>
                  <w:noWrap w:val="0"/>
                  <w:vAlign w:val="center"/>
                </w:tcPr>
                <w:p w14:paraId="686D4AC0">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10</w:t>
                  </w:r>
                </w:p>
              </w:tc>
              <w:tc>
                <w:tcPr>
                  <w:tcW w:w="502" w:type="pct"/>
                  <w:tcBorders>
                    <w:tl2br w:val="nil"/>
                    <w:tr2bl w:val="nil"/>
                  </w:tcBorders>
                  <w:noWrap w:val="0"/>
                  <w:vAlign w:val="center"/>
                </w:tcPr>
                <w:p w14:paraId="56EF5EC0">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硫酸（98%）</w:t>
                  </w:r>
                </w:p>
              </w:tc>
              <w:tc>
                <w:tcPr>
                  <w:tcW w:w="1509" w:type="pct"/>
                  <w:tcBorders>
                    <w:tl2br w:val="nil"/>
                    <w:tr2bl w:val="nil"/>
                  </w:tcBorders>
                  <w:noWrap w:val="0"/>
                  <w:vAlign w:val="center"/>
                </w:tcPr>
                <w:p w14:paraId="3FF8274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98%硫酸</w:t>
                  </w:r>
                </w:p>
              </w:tc>
              <w:tc>
                <w:tcPr>
                  <w:tcW w:w="323" w:type="pct"/>
                  <w:tcBorders>
                    <w:tl2br w:val="nil"/>
                    <w:tr2bl w:val="nil"/>
                  </w:tcBorders>
                  <w:shd w:val="clear" w:color="auto" w:fill="auto"/>
                  <w:noWrap w:val="0"/>
                  <w:vAlign w:val="center"/>
                </w:tcPr>
                <w:p w14:paraId="13E417D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5CBACAD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25kg/桶</w:t>
                  </w:r>
                </w:p>
              </w:tc>
              <w:tc>
                <w:tcPr>
                  <w:tcW w:w="363" w:type="pct"/>
                  <w:tcBorders>
                    <w:tl2br w:val="nil"/>
                    <w:tr2bl w:val="nil"/>
                  </w:tcBorders>
                  <w:shd w:val="clear" w:color="auto" w:fill="auto"/>
                  <w:noWrap w:val="0"/>
                  <w:vAlign w:val="center"/>
                </w:tcPr>
                <w:p w14:paraId="10C778E2">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1.5t</w:t>
                  </w:r>
                </w:p>
              </w:tc>
              <w:tc>
                <w:tcPr>
                  <w:tcW w:w="356" w:type="pct"/>
                  <w:tcBorders>
                    <w:tl2br w:val="nil"/>
                    <w:tr2bl w:val="nil"/>
                  </w:tcBorders>
                  <w:shd w:val="clear" w:color="auto" w:fill="auto"/>
                  <w:noWrap w:val="0"/>
                  <w:vAlign w:val="center"/>
                </w:tcPr>
                <w:p w14:paraId="5DDB6C91">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2.5t</w:t>
                  </w:r>
                </w:p>
              </w:tc>
              <w:tc>
                <w:tcPr>
                  <w:tcW w:w="444" w:type="pct"/>
                  <w:tcBorders>
                    <w:tl2br w:val="nil"/>
                    <w:tr2bl w:val="nil"/>
                  </w:tcBorders>
                  <w:noWrap w:val="0"/>
                  <w:vAlign w:val="center"/>
                </w:tcPr>
                <w:p w14:paraId="5673328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+1t</w:t>
                  </w:r>
                </w:p>
              </w:tc>
              <w:tc>
                <w:tcPr>
                  <w:tcW w:w="356" w:type="pct"/>
                  <w:tcBorders>
                    <w:tl2br w:val="nil"/>
                    <w:tr2bl w:val="nil"/>
                  </w:tcBorders>
                  <w:noWrap w:val="0"/>
                  <w:vAlign w:val="center"/>
                </w:tcPr>
                <w:p w14:paraId="095E8EB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0.1t</w:t>
                  </w:r>
                </w:p>
              </w:tc>
              <w:tc>
                <w:tcPr>
                  <w:tcW w:w="484" w:type="pct"/>
                  <w:tcBorders>
                    <w:tl2br w:val="nil"/>
                    <w:tr2bl w:val="nil"/>
                  </w:tcBorders>
                  <w:noWrap w:val="0"/>
                  <w:vAlign w:val="center"/>
                </w:tcPr>
                <w:p w14:paraId="6ECC421E">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07F4C44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60" w:type="pct"/>
                  <w:tcBorders>
                    <w:tl2br w:val="nil"/>
                    <w:tr2bl w:val="nil"/>
                  </w:tcBorders>
                  <w:shd w:val="clear" w:color="auto" w:fill="auto"/>
                  <w:noWrap w:val="0"/>
                  <w:vAlign w:val="center"/>
                </w:tcPr>
                <w:p w14:paraId="2E93B148">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11</w:t>
                  </w:r>
                </w:p>
              </w:tc>
              <w:tc>
                <w:tcPr>
                  <w:tcW w:w="502" w:type="pct"/>
                  <w:tcBorders>
                    <w:tl2br w:val="nil"/>
                    <w:tr2bl w:val="nil"/>
                  </w:tcBorders>
                  <w:noWrap w:val="0"/>
                  <w:vAlign w:val="center"/>
                </w:tcPr>
                <w:p w14:paraId="3CEB6A5D">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盐酸（31%）</w:t>
                  </w:r>
                </w:p>
              </w:tc>
              <w:tc>
                <w:tcPr>
                  <w:tcW w:w="1509" w:type="pct"/>
                  <w:tcBorders>
                    <w:tl2br w:val="nil"/>
                    <w:tr2bl w:val="nil"/>
                  </w:tcBorders>
                  <w:noWrap w:val="0"/>
                  <w:vAlign w:val="center"/>
                </w:tcPr>
                <w:p w14:paraId="756B174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盐酸31%</w:t>
                  </w:r>
                </w:p>
              </w:tc>
              <w:tc>
                <w:tcPr>
                  <w:tcW w:w="323" w:type="pct"/>
                  <w:tcBorders>
                    <w:tl2br w:val="nil"/>
                    <w:tr2bl w:val="nil"/>
                  </w:tcBorders>
                  <w:shd w:val="clear" w:color="auto" w:fill="auto"/>
                  <w:noWrap w:val="0"/>
                  <w:vAlign w:val="center"/>
                </w:tcPr>
                <w:p w14:paraId="5269552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2309BF7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25kg/桶</w:t>
                  </w:r>
                </w:p>
              </w:tc>
              <w:tc>
                <w:tcPr>
                  <w:tcW w:w="363" w:type="pct"/>
                  <w:tcBorders>
                    <w:tl2br w:val="nil"/>
                    <w:tr2bl w:val="nil"/>
                  </w:tcBorders>
                  <w:shd w:val="clear" w:color="auto" w:fill="auto"/>
                  <w:noWrap w:val="0"/>
                  <w:vAlign w:val="center"/>
                </w:tcPr>
                <w:p w14:paraId="0E53EDC3">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1t</w:t>
                  </w:r>
                </w:p>
              </w:tc>
              <w:tc>
                <w:tcPr>
                  <w:tcW w:w="356" w:type="pct"/>
                  <w:tcBorders>
                    <w:tl2br w:val="nil"/>
                    <w:tr2bl w:val="nil"/>
                  </w:tcBorders>
                  <w:shd w:val="clear" w:color="auto" w:fill="auto"/>
                  <w:noWrap w:val="0"/>
                  <w:vAlign w:val="center"/>
                </w:tcPr>
                <w:p w14:paraId="71430FC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1.5t</w:t>
                  </w:r>
                </w:p>
              </w:tc>
              <w:tc>
                <w:tcPr>
                  <w:tcW w:w="444" w:type="pct"/>
                  <w:tcBorders>
                    <w:tl2br w:val="nil"/>
                    <w:tr2bl w:val="nil"/>
                  </w:tcBorders>
                  <w:noWrap w:val="0"/>
                  <w:vAlign w:val="center"/>
                </w:tcPr>
                <w:p w14:paraId="39A5211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356" w:type="pct"/>
                  <w:tcBorders>
                    <w:tl2br w:val="nil"/>
                    <w:tr2bl w:val="nil"/>
                  </w:tcBorders>
                  <w:noWrap w:val="0"/>
                  <w:vAlign w:val="center"/>
                </w:tcPr>
                <w:p w14:paraId="3FED557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0.2t</w:t>
                  </w:r>
                </w:p>
              </w:tc>
              <w:tc>
                <w:tcPr>
                  <w:tcW w:w="484" w:type="pct"/>
                  <w:tcBorders>
                    <w:tl2br w:val="nil"/>
                    <w:tr2bl w:val="nil"/>
                  </w:tcBorders>
                  <w:noWrap w:val="0"/>
                  <w:vAlign w:val="center"/>
                </w:tcPr>
                <w:p w14:paraId="0A851A22">
                  <w:pPr>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化学品仓库</w:t>
                  </w:r>
                </w:p>
              </w:tc>
            </w:tr>
            <w:tr w14:paraId="4F01623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shd w:val="clear" w:color="auto" w:fill="auto"/>
                  <w:noWrap w:val="0"/>
                  <w:vAlign w:val="center"/>
                </w:tcPr>
                <w:p w14:paraId="1864476D">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0"/>
                      <w:sz w:val="21"/>
                      <w:szCs w:val="21"/>
                      <w:lang w:bidi="ar"/>
                    </w:rPr>
                    <w:t>12</w:t>
                  </w:r>
                </w:p>
              </w:tc>
              <w:tc>
                <w:tcPr>
                  <w:tcW w:w="502" w:type="pct"/>
                  <w:tcBorders>
                    <w:tl2br w:val="nil"/>
                    <w:tr2bl w:val="nil"/>
                  </w:tcBorders>
                  <w:noWrap w:val="0"/>
                  <w:vAlign w:val="center"/>
                </w:tcPr>
                <w:p w14:paraId="4F254B67">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白平光（塑粉）</w:t>
                  </w:r>
                </w:p>
              </w:tc>
              <w:tc>
                <w:tcPr>
                  <w:tcW w:w="1509" w:type="pct"/>
                  <w:tcBorders>
                    <w:tl2br w:val="nil"/>
                    <w:tr2bl w:val="nil"/>
                  </w:tcBorders>
                  <w:noWrap w:val="0"/>
                  <w:vAlign w:val="center"/>
                </w:tcPr>
                <w:p w14:paraId="458324C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聚酯树脂58%，固化剂4.35%，金红石30%，颜填料2.15%，助剂5.5%</w:t>
                  </w:r>
                </w:p>
              </w:tc>
              <w:tc>
                <w:tcPr>
                  <w:tcW w:w="323" w:type="pct"/>
                  <w:tcBorders>
                    <w:tl2br w:val="nil"/>
                    <w:tr2bl w:val="nil"/>
                  </w:tcBorders>
                  <w:shd w:val="clear" w:color="auto" w:fill="auto"/>
                  <w:noWrap w:val="0"/>
                  <w:vAlign w:val="center"/>
                </w:tcPr>
                <w:p w14:paraId="6DFFC22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固态</w:t>
                  </w:r>
                </w:p>
              </w:tc>
              <w:tc>
                <w:tcPr>
                  <w:tcW w:w="500" w:type="pct"/>
                  <w:tcBorders>
                    <w:tl2br w:val="nil"/>
                    <w:tr2bl w:val="nil"/>
                  </w:tcBorders>
                  <w:shd w:val="clear" w:color="auto" w:fill="auto"/>
                  <w:noWrap w:val="0"/>
                  <w:vAlign w:val="center"/>
                </w:tcPr>
                <w:p w14:paraId="2844F85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20kg/袋</w:t>
                  </w:r>
                </w:p>
              </w:tc>
              <w:tc>
                <w:tcPr>
                  <w:tcW w:w="363" w:type="pct"/>
                  <w:tcBorders>
                    <w:tl2br w:val="nil"/>
                    <w:tr2bl w:val="nil"/>
                  </w:tcBorders>
                  <w:noWrap w:val="0"/>
                  <w:vAlign w:val="center"/>
                </w:tcPr>
                <w:p w14:paraId="5C1C624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14t</w:t>
                  </w:r>
                </w:p>
              </w:tc>
              <w:tc>
                <w:tcPr>
                  <w:tcW w:w="356" w:type="pct"/>
                  <w:tcBorders>
                    <w:tl2br w:val="nil"/>
                    <w:tr2bl w:val="nil"/>
                  </w:tcBorders>
                  <w:noWrap w:val="0"/>
                  <w:vAlign w:val="center"/>
                </w:tcPr>
                <w:p w14:paraId="670525A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20t</w:t>
                  </w:r>
                </w:p>
              </w:tc>
              <w:tc>
                <w:tcPr>
                  <w:tcW w:w="444" w:type="pct"/>
                  <w:tcBorders>
                    <w:tl2br w:val="nil"/>
                    <w:tr2bl w:val="nil"/>
                  </w:tcBorders>
                  <w:noWrap w:val="0"/>
                  <w:vAlign w:val="center"/>
                </w:tcPr>
                <w:p w14:paraId="6CC4161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+6t</w:t>
                  </w:r>
                </w:p>
              </w:tc>
              <w:tc>
                <w:tcPr>
                  <w:tcW w:w="356" w:type="pct"/>
                  <w:tcBorders>
                    <w:tl2br w:val="nil"/>
                    <w:tr2bl w:val="nil"/>
                  </w:tcBorders>
                  <w:noWrap w:val="0"/>
                  <w:vAlign w:val="center"/>
                </w:tcPr>
                <w:p w14:paraId="155DA81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tcBorders>
                    <w:tl2br w:val="nil"/>
                    <w:tr2bl w:val="nil"/>
                  </w:tcBorders>
                  <w:noWrap w:val="0"/>
                  <w:vAlign w:val="center"/>
                </w:tcPr>
                <w:p w14:paraId="408CFA68">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原辅料仓库</w:t>
                  </w:r>
                </w:p>
              </w:tc>
            </w:tr>
            <w:tr w14:paraId="562E70A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767970B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15</w:t>
                  </w:r>
                </w:p>
              </w:tc>
              <w:tc>
                <w:tcPr>
                  <w:tcW w:w="502" w:type="pct"/>
                  <w:tcBorders>
                    <w:tl2br w:val="nil"/>
                    <w:tr2bl w:val="nil"/>
                  </w:tcBorders>
                  <w:noWrap w:val="0"/>
                  <w:vAlign w:val="center"/>
                </w:tcPr>
                <w:p w14:paraId="4DF26FD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氢氧化钠</w:t>
                  </w:r>
                </w:p>
              </w:tc>
              <w:tc>
                <w:tcPr>
                  <w:tcW w:w="1509" w:type="pct"/>
                  <w:tcBorders>
                    <w:tl2br w:val="nil"/>
                    <w:tr2bl w:val="nil"/>
                  </w:tcBorders>
                  <w:shd w:val="clear" w:color="auto" w:fill="auto"/>
                  <w:noWrap w:val="0"/>
                  <w:vAlign w:val="center"/>
                </w:tcPr>
                <w:p w14:paraId="760F492E">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NaOH</w:t>
                  </w:r>
                </w:p>
              </w:tc>
              <w:tc>
                <w:tcPr>
                  <w:tcW w:w="323" w:type="pct"/>
                  <w:tcBorders>
                    <w:tl2br w:val="nil"/>
                    <w:tr2bl w:val="nil"/>
                  </w:tcBorders>
                  <w:shd w:val="clear" w:color="auto" w:fill="auto"/>
                  <w:noWrap w:val="0"/>
                  <w:vAlign w:val="center"/>
                </w:tcPr>
                <w:p w14:paraId="15BDB7DF">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粉末状</w:t>
                  </w:r>
                </w:p>
              </w:tc>
              <w:tc>
                <w:tcPr>
                  <w:tcW w:w="500" w:type="pct"/>
                  <w:tcBorders>
                    <w:tl2br w:val="nil"/>
                    <w:tr2bl w:val="nil"/>
                  </w:tcBorders>
                  <w:shd w:val="clear" w:color="auto" w:fill="auto"/>
                  <w:noWrap w:val="0"/>
                  <w:vAlign w:val="center"/>
                </w:tcPr>
                <w:p w14:paraId="32BCAF16">
                  <w:pPr>
                    <w:jc w:val="center"/>
                    <w:rPr>
                      <w:rFonts w:hint="default" w:ascii="Times New Roman" w:hAnsi="Times New Roman" w:eastAsia="仿宋" w:cs="Times New Roman"/>
                      <w:color w:val="auto"/>
                      <w:kern w:val="2"/>
                      <w:sz w:val="21"/>
                      <w:szCs w:val="21"/>
                      <w:lang w:val="en-US" w:eastAsia="en-US" w:bidi="ar-SA"/>
                    </w:rPr>
                  </w:pPr>
                  <w:r>
                    <w:rPr>
                      <w:rFonts w:hint="eastAsia" w:eastAsia="仿宋" w:cs="Times New Roman"/>
                      <w:color w:val="auto"/>
                      <w:szCs w:val="21"/>
                      <w:lang w:val="en-US" w:eastAsia="zh-CN"/>
                    </w:rPr>
                    <w:t>20kg/袋</w:t>
                  </w:r>
                </w:p>
              </w:tc>
              <w:tc>
                <w:tcPr>
                  <w:tcW w:w="363" w:type="pct"/>
                  <w:tcBorders>
                    <w:tl2br w:val="nil"/>
                    <w:tr2bl w:val="nil"/>
                  </w:tcBorders>
                  <w:shd w:val="clear" w:color="auto" w:fill="auto"/>
                  <w:noWrap w:val="0"/>
                  <w:vAlign w:val="center"/>
                </w:tcPr>
                <w:p w14:paraId="4485377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5t</w:t>
                  </w:r>
                </w:p>
              </w:tc>
              <w:tc>
                <w:tcPr>
                  <w:tcW w:w="356" w:type="pct"/>
                  <w:tcBorders>
                    <w:tl2br w:val="nil"/>
                    <w:tr2bl w:val="nil"/>
                  </w:tcBorders>
                  <w:noWrap w:val="0"/>
                  <w:vAlign w:val="center"/>
                </w:tcPr>
                <w:p w14:paraId="319BD7E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5t</w:t>
                  </w:r>
                </w:p>
              </w:tc>
              <w:tc>
                <w:tcPr>
                  <w:tcW w:w="444" w:type="pct"/>
                  <w:tcBorders>
                    <w:tl2br w:val="nil"/>
                    <w:tr2bl w:val="nil"/>
                  </w:tcBorders>
                  <w:noWrap w:val="0"/>
                  <w:vAlign w:val="center"/>
                </w:tcPr>
                <w:p w14:paraId="125FA0C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w:t>
                  </w:r>
                </w:p>
              </w:tc>
              <w:tc>
                <w:tcPr>
                  <w:tcW w:w="356" w:type="pct"/>
                  <w:tcBorders>
                    <w:tl2br w:val="nil"/>
                    <w:tr2bl w:val="nil"/>
                  </w:tcBorders>
                  <w:noWrap w:val="0"/>
                  <w:vAlign w:val="center"/>
                </w:tcPr>
                <w:p w14:paraId="6091ED4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1t</w:t>
                  </w:r>
                </w:p>
              </w:tc>
              <w:tc>
                <w:tcPr>
                  <w:tcW w:w="484" w:type="pct"/>
                  <w:tcBorders>
                    <w:tl2br w:val="nil"/>
                    <w:tr2bl w:val="nil"/>
                  </w:tcBorders>
                  <w:noWrap w:val="0"/>
                  <w:vAlign w:val="center"/>
                </w:tcPr>
                <w:p w14:paraId="2065CFC8">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化学品仓库</w:t>
                  </w:r>
                </w:p>
              </w:tc>
            </w:tr>
            <w:tr w14:paraId="7353D77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69FFEC1D">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16</w:t>
                  </w:r>
                </w:p>
              </w:tc>
              <w:tc>
                <w:tcPr>
                  <w:tcW w:w="502" w:type="pct"/>
                  <w:tcBorders>
                    <w:tl2br w:val="nil"/>
                    <w:tr2bl w:val="nil"/>
                  </w:tcBorders>
                  <w:shd w:val="clear" w:color="auto" w:fill="auto"/>
                  <w:noWrap w:val="0"/>
                  <w:vAlign w:val="center"/>
                </w:tcPr>
                <w:p w14:paraId="0A0FA5F5">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润滑油</w:t>
                  </w:r>
                </w:p>
              </w:tc>
              <w:tc>
                <w:tcPr>
                  <w:tcW w:w="1509" w:type="pct"/>
                  <w:tcBorders>
                    <w:tl2br w:val="nil"/>
                    <w:tr2bl w:val="nil"/>
                  </w:tcBorders>
                  <w:shd w:val="clear" w:color="auto" w:fill="auto"/>
                  <w:noWrap w:val="0"/>
                  <w:vAlign w:val="center"/>
                </w:tcPr>
                <w:p w14:paraId="3EBF07C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基础矿物油</w:t>
                  </w:r>
                </w:p>
              </w:tc>
              <w:tc>
                <w:tcPr>
                  <w:tcW w:w="323" w:type="pct"/>
                  <w:tcBorders>
                    <w:tl2br w:val="nil"/>
                    <w:tr2bl w:val="nil"/>
                  </w:tcBorders>
                  <w:shd w:val="clear" w:color="auto" w:fill="auto"/>
                  <w:noWrap w:val="0"/>
                  <w:vAlign w:val="center"/>
                </w:tcPr>
                <w:p w14:paraId="0CD498FF">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液态</w:t>
                  </w:r>
                </w:p>
              </w:tc>
              <w:tc>
                <w:tcPr>
                  <w:tcW w:w="500" w:type="pct"/>
                  <w:tcBorders>
                    <w:tl2br w:val="nil"/>
                    <w:tr2bl w:val="nil"/>
                  </w:tcBorders>
                  <w:shd w:val="clear" w:color="auto" w:fill="auto"/>
                  <w:noWrap w:val="0"/>
                  <w:vAlign w:val="center"/>
                </w:tcPr>
                <w:p w14:paraId="251F2BB6">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200L/桶</w:t>
                  </w:r>
                </w:p>
              </w:tc>
              <w:tc>
                <w:tcPr>
                  <w:tcW w:w="363" w:type="pct"/>
                  <w:tcBorders>
                    <w:tl2br w:val="nil"/>
                    <w:tr2bl w:val="nil"/>
                  </w:tcBorders>
                  <w:shd w:val="clear" w:color="auto" w:fill="auto"/>
                  <w:noWrap w:val="0"/>
                  <w:vAlign w:val="center"/>
                </w:tcPr>
                <w:p w14:paraId="48512CBA">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2000L</w:t>
                  </w:r>
                </w:p>
              </w:tc>
              <w:tc>
                <w:tcPr>
                  <w:tcW w:w="356" w:type="pct"/>
                  <w:tcBorders>
                    <w:tl2br w:val="nil"/>
                    <w:tr2bl w:val="nil"/>
                  </w:tcBorders>
                  <w:shd w:val="clear" w:color="auto" w:fill="auto"/>
                  <w:noWrap w:val="0"/>
                  <w:vAlign w:val="center"/>
                </w:tcPr>
                <w:p w14:paraId="3174163F">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2000L</w:t>
                  </w:r>
                </w:p>
              </w:tc>
              <w:tc>
                <w:tcPr>
                  <w:tcW w:w="444" w:type="pct"/>
                  <w:tcBorders>
                    <w:tl2br w:val="nil"/>
                    <w:tr2bl w:val="nil"/>
                  </w:tcBorders>
                  <w:noWrap w:val="0"/>
                  <w:vAlign w:val="center"/>
                </w:tcPr>
                <w:p w14:paraId="7C7AC41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w:t>
                  </w:r>
                </w:p>
              </w:tc>
              <w:tc>
                <w:tcPr>
                  <w:tcW w:w="356" w:type="pct"/>
                  <w:tcBorders>
                    <w:tl2br w:val="nil"/>
                    <w:tr2bl w:val="nil"/>
                  </w:tcBorders>
                  <w:noWrap w:val="0"/>
                  <w:vAlign w:val="center"/>
                </w:tcPr>
                <w:p w14:paraId="6642ADA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200L</w:t>
                  </w:r>
                </w:p>
              </w:tc>
              <w:tc>
                <w:tcPr>
                  <w:tcW w:w="484" w:type="pct"/>
                  <w:tcBorders>
                    <w:tl2br w:val="nil"/>
                    <w:tr2bl w:val="nil"/>
                  </w:tcBorders>
                  <w:noWrap w:val="0"/>
                  <w:vAlign w:val="center"/>
                </w:tcPr>
                <w:p w14:paraId="371F44B0">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化学品仓库</w:t>
                  </w:r>
                </w:p>
              </w:tc>
            </w:tr>
            <w:tr w14:paraId="3013876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tcBorders>
                    <w:tl2br w:val="nil"/>
                    <w:tr2bl w:val="nil"/>
                  </w:tcBorders>
                  <w:shd w:val="clear" w:color="auto" w:fill="auto"/>
                  <w:noWrap w:val="0"/>
                  <w:vAlign w:val="center"/>
                </w:tcPr>
                <w:p w14:paraId="1EBB904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17</w:t>
                  </w:r>
                </w:p>
              </w:tc>
              <w:tc>
                <w:tcPr>
                  <w:tcW w:w="502" w:type="pct"/>
                  <w:tcBorders>
                    <w:tl2br w:val="nil"/>
                    <w:tr2bl w:val="nil"/>
                  </w:tcBorders>
                  <w:noWrap w:val="0"/>
                  <w:vAlign w:val="center"/>
                </w:tcPr>
                <w:p w14:paraId="20BDAC6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天然气</w:t>
                  </w:r>
                </w:p>
              </w:tc>
              <w:tc>
                <w:tcPr>
                  <w:tcW w:w="1509" w:type="pct"/>
                  <w:tcBorders>
                    <w:tl2br w:val="nil"/>
                    <w:tr2bl w:val="nil"/>
                  </w:tcBorders>
                  <w:shd w:val="clear" w:color="auto" w:fill="auto"/>
                  <w:noWrap w:val="0"/>
                  <w:vAlign w:val="center"/>
                </w:tcPr>
                <w:p w14:paraId="11745A7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甲烷等</w:t>
                  </w:r>
                </w:p>
              </w:tc>
              <w:tc>
                <w:tcPr>
                  <w:tcW w:w="323" w:type="pct"/>
                  <w:tcBorders>
                    <w:tl2br w:val="nil"/>
                    <w:tr2bl w:val="nil"/>
                  </w:tcBorders>
                  <w:shd w:val="clear" w:color="auto" w:fill="auto"/>
                  <w:noWrap w:val="0"/>
                  <w:vAlign w:val="center"/>
                </w:tcPr>
                <w:p w14:paraId="05AF1647">
                  <w:pPr>
                    <w:jc w:val="center"/>
                    <w:rPr>
                      <w:rFonts w:hint="default" w:ascii="Times New Roman" w:hAnsi="Times New Roman" w:eastAsia="仿宋" w:cs="Times New Roman"/>
                      <w:color w:val="auto"/>
                      <w:kern w:val="2"/>
                      <w:sz w:val="21"/>
                      <w:szCs w:val="21"/>
                      <w:lang w:val="en-US" w:eastAsia="en-US" w:bidi="ar-SA"/>
                    </w:rPr>
                  </w:pPr>
                  <w:r>
                    <w:rPr>
                      <w:rFonts w:hint="eastAsia" w:eastAsia="仿宋" w:cs="Times New Roman"/>
                      <w:color w:val="auto"/>
                      <w:szCs w:val="21"/>
                      <w:lang w:val="en-US" w:eastAsia="zh-CN"/>
                    </w:rPr>
                    <w:t>/</w:t>
                  </w:r>
                </w:p>
              </w:tc>
              <w:tc>
                <w:tcPr>
                  <w:tcW w:w="500" w:type="pct"/>
                  <w:tcBorders>
                    <w:tl2br w:val="nil"/>
                    <w:tr2bl w:val="nil"/>
                  </w:tcBorders>
                  <w:shd w:val="clear" w:color="auto" w:fill="auto"/>
                  <w:noWrap w:val="0"/>
                  <w:vAlign w:val="center"/>
                </w:tcPr>
                <w:p w14:paraId="1D809695">
                  <w:pPr>
                    <w:jc w:val="center"/>
                    <w:rPr>
                      <w:rFonts w:hint="default" w:ascii="Times New Roman" w:hAnsi="Times New Roman" w:eastAsia="仿宋" w:cs="Times New Roman"/>
                      <w:color w:val="auto"/>
                      <w:kern w:val="2"/>
                      <w:sz w:val="21"/>
                      <w:szCs w:val="21"/>
                      <w:lang w:val="en-US" w:eastAsia="en-US" w:bidi="ar-SA"/>
                    </w:rPr>
                  </w:pPr>
                  <w:r>
                    <w:rPr>
                      <w:rFonts w:hint="eastAsia" w:eastAsia="仿宋" w:cs="Times New Roman"/>
                      <w:color w:val="auto"/>
                      <w:szCs w:val="21"/>
                      <w:lang w:val="en-US" w:eastAsia="zh-CN"/>
                    </w:rPr>
                    <w:t>储罐</w:t>
                  </w:r>
                </w:p>
              </w:tc>
              <w:tc>
                <w:tcPr>
                  <w:tcW w:w="363" w:type="pct"/>
                  <w:tcBorders>
                    <w:tl2br w:val="nil"/>
                    <w:tr2bl w:val="nil"/>
                  </w:tcBorders>
                  <w:shd w:val="clear" w:color="auto" w:fill="auto"/>
                  <w:noWrap w:val="0"/>
                  <w:vAlign w:val="center"/>
                </w:tcPr>
                <w:p w14:paraId="43F117C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8万m</w:t>
                  </w:r>
                  <w:r>
                    <w:rPr>
                      <w:rFonts w:hint="eastAsia" w:eastAsia="仿宋" w:cs="Times New Roman"/>
                      <w:color w:val="auto"/>
                      <w:szCs w:val="21"/>
                      <w:vertAlign w:val="superscript"/>
                      <w:lang w:val="en-US" w:eastAsia="zh-CN"/>
                    </w:rPr>
                    <w:t>3</w:t>
                  </w:r>
                </w:p>
              </w:tc>
              <w:tc>
                <w:tcPr>
                  <w:tcW w:w="356" w:type="pct"/>
                  <w:tcBorders>
                    <w:tl2br w:val="nil"/>
                    <w:tr2bl w:val="nil"/>
                  </w:tcBorders>
                  <w:shd w:val="clear" w:color="auto" w:fill="auto"/>
                  <w:noWrap w:val="0"/>
                  <w:vAlign w:val="center"/>
                </w:tcPr>
                <w:p w14:paraId="6F7CC48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15万m</w:t>
                  </w:r>
                  <w:r>
                    <w:rPr>
                      <w:rFonts w:hint="eastAsia" w:eastAsia="仿宋" w:cs="Times New Roman"/>
                      <w:color w:val="auto"/>
                      <w:szCs w:val="21"/>
                      <w:vertAlign w:val="superscript"/>
                      <w:lang w:val="en-US" w:eastAsia="zh-CN"/>
                    </w:rPr>
                    <w:t>3</w:t>
                  </w:r>
                </w:p>
              </w:tc>
              <w:tc>
                <w:tcPr>
                  <w:tcW w:w="444" w:type="pct"/>
                  <w:tcBorders>
                    <w:tl2br w:val="nil"/>
                    <w:tr2bl w:val="nil"/>
                  </w:tcBorders>
                  <w:noWrap w:val="0"/>
                  <w:vAlign w:val="center"/>
                </w:tcPr>
                <w:p w14:paraId="513177E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+7</w:t>
                  </w:r>
                  <w:r>
                    <w:rPr>
                      <w:rFonts w:hint="eastAsia" w:eastAsia="仿宋" w:cs="Times New Roman"/>
                      <w:color w:val="auto"/>
                      <w:szCs w:val="21"/>
                      <w:lang w:val="en-US" w:eastAsia="zh-CN"/>
                    </w:rPr>
                    <w:t>万m</w:t>
                  </w:r>
                  <w:r>
                    <w:rPr>
                      <w:rFonts w:hint="eastAsia" w:eastAsia="仿宋" w:cs="Times New Roman"/>
                      <w:color w:val="auto"/>
                      <w:szCs w:val="21"/>
                      <w:vertAlign w:val="superscript"/>
                      <w:lang w:val="en-US" w:eastAsia="zh-CN"/>
                    </w:rPr>
                    <w:t>3</w:t>
                  </w:r>
                </w:p>
              </w:tc>
              <w:tc>
                <w:tcPr>
                  <w:tcW w:w="356" w:type="pct"/>
                  <w:tcBorders>
                    <w:tl2br w:val="nil"/>
                    <w:tr2bl w:val="nil"/>
                  </w:tcBorders>
                  <w:noWrap w:val="0"/>
                  <w:vAlign w:val="center"/>
                </w:tcPr>
                <w:p w14:paraId="4306C90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484" w:type="pct"/>
                  <w:tcBorders>
                    <w:tl2br w:val="nil"/>
                    <w:tr2bl w:val="nil"/>
                  </w:tcBorders>
                  <w:noWrap w:val="0"/>
                  <w:vAlign w:val="center"/>
                </w:tcPr>
                <w:p w14:paraId="58FCE81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r>
            <w:tr w14:paraId="349F22F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015EDF5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18</w:t>
                  </w:r>
                </w:p>
              </w:tc>
              <w:tc>
                <w:tcPr>
                  <w:tcW w:w="502" w:type="pct"/>
                  <w:tcBorders>
                    <w:tl2br w:val="nil"/>
                    <w:tr2bl w:val="nil"/>
                  </w:tcBorders>
                  <w:noWrap w:val="0"/>
                  <w:vAlign w:val="center"/>
                </w:tcPr>
                <w:p w14:paraId="69898D70">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石灰</w:t>
                  </w:r>
                </w:p>
              </w:tc>
              <w:tc>
                <w:tcPr>
                  <w:tcW w:w="1509" w:type="pct"/>
                  <w:tcBorders>
                    <w:tl2br w:val="nil"/>
                    <w:tr2bl w:val="nil"/>
                  </w:tcBorders>
                  <w:noWrap w:val="0"/>
                  <w:vAlign w:val="center"/>
                </w:tcPr>
                <w:p w14:paraId="0ED32D00">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碳酸钙</w:t>
                  </w:r>
                </w:p>
              </w:tc>
              <w:tc>
                <w:tcPr>
                  <w:tcW w:w="323" w:type="pct"/>
                  <w:tcBorders>
                    <w:tl2br w:val="nil"/>
                    <w:tr2bl w:val="nil"/>
                  </w:tcBorders>
                  <w:noWrap w:val="0"/>
                  <w:vAlign w:val="center"/>
                </w:tcPr>
                <w:p w14:paraId="473AEF2B">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粉末状</w:t>
                  </w:r>
                </w:p>
              </w:tc>
              <w:tc>
                <w:tcPr>
                  <w:tcW w:w="500" w:type="pct"/>
                  <w:tcBorders>
                    <w:tl2br w:val="nil"/>
                    <w:tr2bl w:val="nil"/>
                  </w:tcBorders>
                  <w:noWrap w:val="0"/>
                  <w:vAlign w:val="center"/>
                </w:tcPr>
                <w:p w14:paraId="07A36EC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20kg/桶</w:t>
                  </w:r>
                </w:p>
              </w:tc>
              <w:tc>
                <w:tcPr>
                  <w:tcW w:w="363" w:type="pct"/>
                  <w:tcBorders>
                    <w:tl2br w:val="nil"/>
                    <w:tr2bl w:val="nil"/>
                  </w:tcBorders>
                  <w:noWrap w:val="0"/>
                  <w:vAlign w:val="center"/>
                </w:tcPr>
                <w:p w14:paraId="0A3D27B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9t</w:t>
                  </w:r>
                </w:p>
              </w:tc>
              <w:tc>
                <w:tcPr>
                  <w:tcW w:w="356" w:type="pct"/>
                  <w:tcBorders>
                    <w:tl2br w:val="nil"/>
                    <w:tr2bl w:val="nil"/>
                  </w:tcBorders>
                  <w:noWrap w:val="0"/>
                  <w:vAlign w:val="center"/>
                </w:tcPr>
                <w:p w14:paraId="32CD622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20t</w:t>
                  </w:r>
                </w:p>
              </w:tc>
              <w:tc>
                <w:tcPr>
                  <w:tcW w:w="444" w:type="pct"/>
                  <w:tcBorders>
                    <w:tl2br w:val="nil"/>
                    <w:tr2bl w:val="nil"/>
                  </w:tcBorders>
                  <w:noWrap w:val="0"/>
                  <w:vAlign w:val="center"/>
                </w:tcPr>
                <w:p w14:paraId="4164CA3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+11t</w:t>
                  </w:r>
                </w:p>
              </w:tc>
              <w:tc>
                <w:tcPr>
                  <w:tcW w:w="356" w:type="pct"/>
                  <w:tcBorders>
                    <w:tl2br w:val="nil"/>
                    <w:tr2bl w:val="nil"/>
                  </w:tcBorders>
                  <w:noWrap w:val="0"/>
                  <w:vAlign w:val="center"/>
                </w:tcPr>
                <w:p w14:paraId="76770B1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1t</w:t>
                  </w:r>
                </w:p>
              </w:tc>
              <w:tc>
                <w:tcPr>
                  <w:tcW w:w="484" w:type="pct"/>
                  <w:vMerge w:val="restart"/>
                  <w:tcBorders>
                    <w:tl2br w:val="nil"/>
                    <w:tr2bl w:val="nil"/>
                  </w:tcBorders>
                  <w:noWrap w:val="0"/>
                  <w:vAlign w:val="center"/>
                </w:tcPr>
                <w:p w14:paraId="0EDAE4B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污水站</w:t>
                  </w:r>
                </w:p>
              </w:tc>
            </w:tr>
            <w:tr w14:paraId="3CBEFE1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4CB5AE61">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19</w:t>
                  </w:r>
                </w:p>
              </w:tc>
              <w:tc>
                <w:tcPr>
                  <w:tcW w:w="502" w:type="pct"/>
                  <w:tcBorders>
                    <w:tl2br w:val="nil"/>
                    <w:tr2bl w:val="nil"/>
                  </w:tcBorders>
                  <w:noWrap w:val="0"/>
                  <w:vAlign w:val="center"/>
                </w:tcPr>
                <w:p w14:paraId="5C098CA4">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混凝剂</w:t>
                  </w:r>
                </w:p>
              </w:tc>
              <w:tc>
                <w:tcPr>
                  <w:tcW w:w="1509" w:type="pct"/>
                  <w:tcBorders>
                    <w:tl2br w:val="nil"/>
                    <w:tr2bl w:val="nil"/>
                  </w:tcBorders>
                  <w:noWrap w:val="0"/>
                  <w:vAlign w:val="center"/>
                </w:tcPr>
                <w:p w14:paraId="6CB85E9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PAC，聚合氯化铝</w:t>
                  </w:r>
                </w:p>
              </w:tc>
              <w:tc>
                <w:tcPr>
                  <w:tcW w:w="323" w:type="pct"/>
                  <w:tcBorders>
                    <w:tl2br w:val="nil"/>
                    <w:tr2bl w:val="nil"/>
                  </w:tcBorders>
                  <w:noWrap w:val="0"/>
                  <w:vAlign w:val="center"/>
                </w:tcPr>
                <w:p w14:paraId="395D1700">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粉末状</w:t>
                  </w:r>
                </w:p>
              </w:tc>
              <w:tc>
                <w:tcPr>
                  <w:tcW w:w="500" w:type="pct"/>
                  <w:tcBorders>
                    <w:tl2br w:val="nil"/>
                    <w:tr2bl w:val="nil"/>
                  </w:tcBorders>
                  <w:noWrap w:val="0"/>
                  <w:vAlign w:val="center"/>
                </w:tcPr>
                <w:p w14:paraId="485AF51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20kg/桶</w:t>
                  </w:r>
                </w:p>
              </w:tc>
              <w:tc>
                <w:tcPr>
                  <w:tcW w:w="363" w:type="pct"/>
                  <w:tcBorders>
                    <w:tl2br w:val="nil"/>
                    <w:tr2bl w:val="nil"/>
                  </w:tcBorders>
                  <w:shd w:val="clear" w:color="auto" w:fill="auto"/>
                  <w:noWrap w:val="0"/>
                  <w:vAlign w:val="center"/>
                </w:tcPr>
                <w:p w14:paraId="6CD55F5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2.5t</w:t>
                  </w:r>
                </w:p>
              </w:tc>
              <w:tc>
                <w:tcPr>
                  <w:tcW w:w="356" w:type="pct"/>
                  <w:tcBorders>
                    <w:tl2br w:val="nil"/>
                    <w:tr2bl w:val="nil"/>
                  </w:tcBorders>
                  <w:shd w:val="clear" w:color="auto" w:fill="auto"/>
                  <w:noWrap w:val="0"/>
                  <w:vAlign w:val="center"/>
                </w:tcPr>
                <w:p w14:paraId="3ADBBBA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15t</w:t>
                  </w:r>
                </w:p>
              </w:tc>
              <w:tc>
                <w:tcPr>
                  <w:tcW w:w="444" w:type="pct"/>
                  <w:tcBorders>
                    <w:tl2br w:val="nil"/>
                    <w:tr2bl w:val="nil"/>
                  </w:tcBorders>
                  <w:noWrap w:val="0"/>
                  <w:vAlign w:val="center"/>
                </w:tcPr>
                <w:p w14:paraId="53864D0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+12.5t</w:t>
                  </w:r>
                </w:p>
              </w:tc>
              <w:tc>
                <w:tcPr>
                  <w:tcW w:w="356" w:type="pct"/>
                  <w:tcBorders>
                    <w:tl2br w:val="nil"/>
                    <w:tr2bl w:val="nil"/>
                  </w:tcBorders>
                  <w:noWrap w:val="0"/>
                  <w:vAlign w:val="center"/>
                </w:tcPr>
                <w:p w14:paraId="0581674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0.5t</w:t>
                  </w:r>
                </w:p>
              </w:tc>
              <w:tc>
                <w:tcPr>
                  <w:tcW w:w="484" w:type="pct"/>
                  <w:vMerge w:val="continue"/>
                  <w:tcBorders>
                    <w:tl2br w:val="nil"/>
                    <w:tr2bl w:val="nil"/>
                  </w:tcBorders>
                  <w:noWrap w:val="0"/>
                  <w:vAlign w:val="center"/>
                </w:tcPr>
                <w:p w14:paraId="72D2CECB">
                  <w:pPr>
                    <w:jc w:val="center"/>
                    <w:rPr>
                      <w:rFonts w:hint="default" w:ascii="Times New Roman" w:hAnsi="Times New Roman" w:eastAsia="仿宋" w:cs="Times New Roman"/>
                      <w:color w:val="auto"/>
                      <w:szCs w:val="21"/>
                    </w:rPr>
                  </w:pPr>
                </w:p>
              </w:tc>
            </w:tr>
            <w:tr w14:paraId="3B1B3E3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6E5B967A">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20</w:t>
                  </w:r>
                </w:p>
              </w:tc>
              <w:tc>
                <w:tcPr>
                  <w:tcW w:w="502" w:type="pct"/>
                  <w:tcBorders>
                    <w:tl2br w:val="nil"/>
                    <w:tr2bl w:val="nil"/>
                  </w:tcBorders>
                  <w:noWrap w:val="0"/>
                  <w:vAlign w:val="center"/>
                </w:tcPr>
                <w:p w14:paraId="6CA36F00">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絮凝剂</w:t>
                  </w:r>
                </w:p>
              </w:tc>
              <w:tc>
                <w:tcPr>
                  <w:tcW w:w="1509" w:type="pct"/>
                  <w:tcBorders>
                    <w:tl2br w:val="nil"/>
                    <w:tr2bl w:val="nil"/>
                  </w:tcBorders>
                  <w:noWrap w:val="0"/>
                  <w:vAlign w:val="center"/>
                </w:tcPr>
                <w:p w14:paraId="0A3716A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323" w:type="pct"/>
                  <w:tcBorders>
                    <w:tl2br w:val="nil"/>
                    <w:tr2bl w:val="nil"/>
                  </w:tcBorders>
                  <w:noWrap w:val="0"/>
                  <w:vAlign w:val="center"/>
                </w:tcPr>
                <w:p w14:paraId="1AB3DD8B">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粉末状</w:t>
                  </w:r>
                </w:p>
              </w:tc>
              <w:tc>
                <w:tcPr>
                  <w:tcW w:w="500" w:type="pct"/>
                  <w:tcBorders>
                    <w:tl2br w:val="nil"/>
                    <w:tr2bl w:val="nil"/>
                  </w:tcBorders>
                  <w:noWrap w:val="0"/>
                  <w:vAlign w:val="center"/>
                </w:tcPr>
                <w:p w14:paraId="380F16E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20kg/袋</w:t>
                  </w:r>
                </w:p>
              </w:tc>
              <w:tc>
                <w:tcPr>
                  <w:tcW w:w="363" w:type="pct"/>
                  <w:tcBorders>
                    <w:tl2br w:val="nil"/>
                    <w:tr2bl w:val="nil"/>
                  </w:tcBorders>
                  <w:shd w:val="clear" w:color="auto" w:fill="auto"/>
                  <w:noWrap w:val="0"/>
                  <w:vAlign w:val="center"/>
                </w:tcPr>
                <w:p w14:paraId="7F3AC69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0.25t</w:t>
                  </w:r>
                </w:p>
              </w:tc>
              <w:tc>
                <w:tcPr>
                  <w:tcW w:w="356" w:type="pct"/>
                  <w:tcBorders>
                    <w:tl2br w:val="nil"/>
                    <w:tr2bl w:val="nil"/>
                  </w:tcBorders>
                  <w:shd w:val="clear" w:color="auto" w:fill="auto"/>
                  <w:noWrap w:val="0"/>
                  <w:vAlign w:val="center"/>
                </w:tcPr>
                <w:p w14:paraId="582A030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0.4t</w:t>
                  </w:r>
                </w:p>
              </w:tc>
              <w:tc>
                <w:tcPr>
                  <w:tcW w:w="444" w:type="pct"/>
                  <w:tcBorders>
                    <w:tl2br w:val="nil"/>
                    <w:tr2bl w:val="nil"/>
                  </w:tcBorders>
                  <w:noWrap w:val="0"/>
                  <w:vAlign w:val="center"/>
                </w:tcPr>
                <w:p w14:paraId="39C3E48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+0.15</w:t>
                  </w:r>
                </w:p>
              </w:tc>
              <w:tc>
                <w:tcPr>
                  <w:tcW w:w="356" w:type="pct"/>
                  <w:tcBorders>
                    <w:tl2br w:val="nil"/>
                    <w:tr2bl w:val="nil"/>
                  </w:tcBorders>
                  <w:noWrap w:val="0"/>
                  <w:vAlign w:val="center"/>
                </w:tcPr>
                <w:p w14:paraId="70115C70">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0.05t</w:t>
                  </w:r>
                </w:p>
              </w:tc>
              <w:tc>
                <w:tcPr>
                  <w:tcW w:w="484" w:type="pct"/>
                  <w:vMerge w:val="continue"/>
                  <w:tcBorders>
                    <w:tl2br w:val="nil"/>
                    <w:tr2bl w:val="nil"/>
                  </w:tcBorders>
                  <w:noWrap w:val="0"/>
                  <w:vAlign w:val="center"/>
                </w:tcPr>
                <w:p w14:paraId="04C8B308">
                  <w:pPr>
                    <w:jc w:val="center"/>
                    <w:rPr>
                      <w:rFonts w:hint="default" w:ascii="Times New Roman" w:hAnsi="Times New Roman" w:eastAsia="仿宋" w:cs="Times New Roman"/>
                      <w:color w:val="auto"/>
                      <w:szCs w:val="21"/>
                    </w:rPr>
                  </w:pPr>
                </w:p>
              </w:tc>
            </w:tr>
            <w:tr w14:paraId="7C20F9F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60" w:type="pct"/>
                  <w:tcBorders>
                    <w:tl2br w:val="nil"/>
                    <w:tr2bl w:val="nil"/>
                  </w:tcBorders>
                  <w:shd w:val="clear" w:color="auto" w:fill="auto"/>
                  <w:noWrap w:val="0"/>
                  <w:vAlign w:val="center"/>
                </w:tcPr>
                <w:p w14:paraId="10D9CA4E">
                  <w:pPr>
                    <w:widowControl/>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21</w:t>
                  </w:r>
                </w:p>
              </w:tc>
              <w:tc>
                <w:tcPr>
                  <w:tcW w:w="502" w:type="pct"/>
                  <w:tcBorders>
                    <w:tl2br w:val="nil"/>
                    <w:tr2bl w:val="nil"/>
                  </w:tcBorders>
                  <w:noWrap w:val="0"/>
                  <w:vAlign w:val="center"/>
                </w:tcPr>
                <w:p w14:paraId="11F473C5">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氯化钙</w:t>
                  </w:r>
                </w:p>
              </w:tc>
              <w:tc>
                <w:tcPr>
                  <w:tcW w:w="1509" w:type="pct"/>
                  <w:tcBorders>
                    <w:tl2br w:val="nil"/>
                    <w:tr2bl w:val="nil"/>
                  </w:tcBorders>
                  <w:noWrap w:val="0"/>
                  <w:vAlign w:val="center"/>
                </w:tcPr>
                <w:p w14:paraId="64459987">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氯化钙</w:t>
                  </w:r>
                </w:p>
              </w:tc>
              <w:tc>
                <w:tcPr>
                  <w:tcW w:w="323" w:type="pct"/>
                  <w:tcBorders>
                    <w:tl2br w:val="nil"/>
                    <w:tr2bl w:val="nil"/>
                  </w:tcBorders>
                  <w:noWrap w:val="0"/>
                  <w:vAlign w:val="center"/>
                </w:tcPr>
                <w:p w14:paraId="31952694">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粉末状</w:t>
                  </w:r>
                </w:p>
              </w:tc>
              <w:tc>
                <w:tcPr>
                  <w:tcW w:w="500" w:type="pct"/>
                  <w:tcBorders>
                    <w:tl2br w:val="nil"/>
                    <w:tr2bl w:val="nil"/>
                  </w:tcBorders>
                  <w:noWrap w:val="0"/>
                  <w:vAlign w:val="center"/>
                </w:tcPr>
                <w:p w14:paraId="723987A2">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20kg/袋</w:t>
                  </w:r>
                </w:p>
              </w:tc>
              <w:tc>
                <w:tcPr>
                  <w:tcW w:w="363" w:type="pct"/>
                  <w:tcBorders>
                    <w:tl2br w:val="nil"/>
                    <w:tr2bl w:val="nil"/>
                  </w:tcBorders>
                  <w:shd w:val="clear" w:color="auto" w:fill="auto"/>
                  <w:noWrap w:val="0"/>
                  <w:vAlign w:val="center"/>
                </w:tcPr>
                <w:p w14:paraId="6AD4A21B">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w:t>
                  </w:r>
                </w:p>
              </w:tc>
              <w:tc>
                <w:tcPr>
                  <w:tcW w:w="356" w:type="pct"/>
                  <w:tcBorders>
                    <w:tl2br w:val="nil"/>
                    <w:tr2bl w:val="nil"/>
                  </w:tcBorders>
                  <w:shd w:val="clear" w:color="auto" w:fill="auto"/>
                  <w:noWrap w:val="0"/>
                  <w:vAlign w:val="center"/>
                </w:tcPr>
                <w:p w14:paraId="3FCA34BC">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18t</w:t>
                  </w:r>
                </w:p>
              </w:tc>
              <w:tc>
                <w:tcPr>
                  <w:tcW w:w="444" w:type="pct"/>
                  <w:tcBorders>
                    <w:tl2br w:val="nil"/>
                    <w:tr2bl w:val="nil"/>
                  </w:tcBorders>
                  <w:noWrap w:val="0"/>
                  <w:vAlign w:val="center"/>
                </w:tcPr>
                <w:p w14:paraId="6EE565A9">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+18t</w:t>
                  </w:r>
                </w:p>
              </w:tc>
              <w:tc>
                <w:tcPr>
                  <w:tcW w:w="356" w:type="pct"/>
                  <w:tcBorders>
                    <w:tl2br w:val="nil"/>
                    <w:tr2bl w:val="nil"/>
                  </w:tcBorders>
                  <w:noWrap w:val="0"/>
                  <w:vAlign w:val="center"/>
                </w:tcPr>
                <w:p w14:paraId="2E5CAF7B">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2t</w:t>
                  </w:r>
                </w:p>
              </w:tc>
              <w:tc>
                <w:tcPr>
                  <w:tcW w:w="484" w:type="pct"/>
                  <w:vMerge w:val="continue"/>
                  <w:tcBorders>
                    <w:tl2br w:val="nil"/>
                    <w:tr2bl w:val="nil"/>
                  </w:tcBorders>
                  <w:noWrap w:val="0"/>
                  <w:vAlign w:val="center"/>
                </w:tcPr>
                <w:p w14:paraId="751C2474">
                  <w:pPr>
                    <w:jc w:val="center"/>
                    <w:rPr>
                      <w:rFonts w:hint="default" w:ascii="Times New Roman" w:hAnsi="Times New Roman" w:eastAsia="仿宋" w:cs="Times New Roman"/>
                      <w:color w:val="auto"/>
                      <w:szCs w:val="21"/>
                    </w:rPr>
                  </w:pPr>
                </w:p>
              </w:tc>
            </w:tr>
          </w:tbl>
          <w:p w14:paraId="3CDA9BE2">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主要原辅材料理化性质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5489"/>
              <w:gridCol w:w="2427"/>
              <w:gridCol w:w="3828"/>
            </w:tblGrid>
            <w:tr w14:paraId="20C2F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5CAE5ABE">
                  <w:pPr>
                    <w:keepNext w:val="0"/>
                    <w:keepLines w:val="0"/>
                    <w:pageBreakBefore w:val="0"/>
                    <w:kinsoku w:val="0"/>
                    <w:wordWrap/>
                    <w:overflowPunct/>
                    <w:topLinePunct w:val="0"/>
                    <w:autoSpaceDE w:val="0"/>
                    <w:autoSpaceDN w:val="0"/>
                    <w:bidi w:val="0"/>
                    <w:adjustRightInd/>
                    <w:snapToGrid w:val="0"/>
                    <w:spacing w:line="240" w:lineRule="auto"/>
                    <w:ind w:right="0"/>
                    <w:jc w:val="center"/>
                    <w:textAlignment w:val="bottom"/>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物质名称</w:t>
                  </w:r>
                </w:p>
              </w:tc>
              <w:tc>
                <w:tcPr>
                  <w:tcW w:w="5489" w:type="dxa"/>
                  <w:noWrap w:val="0"/>
                  <w:vAlign w:val="center"/>
                </w:tcPr>
                <w:p w14:paraId="392AF371">
                  <w:pPr>
                    <w:keepNext w:val="0"/>
                    <w:keepLines w:val="0"/>
                    <w:pageBreakBefore w:val="0"/>
                    <w:kinsoku w:val="0"/>
                    <w:wordWrap/>
                    <w:overflowPunct/>
                    <w:topLinePunct w:val="0"/>
                    <w:autoSpaceDE w:val="0"/>
                    <w:autoSpaceDN w:val="0"/>
                    <w:bidi w:val="0"/>
                    <w:adjustRightInd/>
                    <w:snapToGrid w:val="0"/>
                    <w:spacing w:line="240" w:lineRule="auto"/>
                    <w:ind w:right="0"/>
                    <w:jc w:val="center"/>
                    <w:textAlignment w:val="bottom"/>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理化性质</w:t>
                  </w:r>
                </w:p>
              </w:tc>
              <w:tc>
                <w:tcPr>
                  <w:tcW w:w="2427" w:type="dxa"/>
                  <w:noWrap w:val="0"/>
                  <w:vAlign w:val="center"/>
                </w:tcPr>
                <w:p w14:paraId="175182FC">
                  <w:pPr>
                    <w:keepNext w:val="0"/>
                    <w:keepLines w:val="0"/>
                    <w:pageBreakBefore w:val="0"/>
                    <w:kinsoku w:val="0"/>
                    <w:wordWrap/>
                    <w:overflowPunct/>
                    <w:topLinePunct w:val="0"/>
                    <w:autoSpaceDE w:val="0"/>
                    <w:autoSpaceDN w:val="0"/>
                    <w:bidi w:val="0"/>
                    <w:adjustRightInd/>
                    <w:snapToGrid w:val="0"/>
                    <w:spacing w:line="240" w:lineRule="auto"/>
                    <w:ind w:right="0"/>
                    <w:jc w:val="center"/>
                    <w:textAlignment w:val="bottom"/>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燃烧爆炸性</w:t>
                  </w:r>
                </w:p>
              </w:tc>
              <w:tc>
                <w:tcPr>
                  <w:tcW w:w="3828" w:type="dxa"/>
                  <w:noWrap w:val="0"/>
                  <w:vAlign w:val="center"/>
                </w:tcPr>
                <w:p w14:paraId="5A64F6E3">
                  <w:pPr>
                    <w:keepNext w:val="0"/>
                    <w:keepLines w:val="0"/>
                    <w:pageBreakBefore w:val="0"/>
                    <w:kinsoku w:val="0"/>
                    <w:wordWrap/>
                    <w:overflowPunct/>
                    <w:topLinePunct w:val="0"/>
                    <w:autoSpaceDE w:val="0"/>
                    <w:autoSpaceDN w:val="0"/>
                    <w:bidi w:val="0"/>
                    <w:adjustRightInd/>
                    <w:snapToGrid w:val="0"/>
                    <w:spacing w:line="240" w:lineRule="auto"/>
                    <w:ind w:right="0"/>
                    <w:jc w:val="center"/>
                    <w:textAlignment w:val="bottom"/>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毒理</w:t>
                  </w:r>
                  <w:r>
                    <w:rPr>
                      <w:rFonts w:hint="default" w:ascii="Times New Roman" w:hAnsi="Times New Roman" w:eastAsia="仿宋" w:cs="Times New Roman"/>
                      <w:b/>
                      <w:color w:val="auto"/>
                      <w:sz w:val="21"/>
                      <w:szCs w:val="21"/>
                      <w:lang w:val="en-US" w:eastAsia="zh-CN"/>
                    </w:rPr>
                    <w:t>毒</w:t>
                  </w:r>
                  <w:r>
                    <w:rPr>
                      <w:rFonts w:hint="default" w:ascii="Times New Roman" w:hAnsi="Times New Roman" w:eastAsia="仿宋" w:cs="Times New Roman"/>
                      <w:b/>
                      <w:color w:val="auto"/>
                      <w:sz w:val="21"/>
                      <w:szCs w:val="21"/>
                    </w:rPr>
                    <w:t>性</w:t>
                  </w:r>
                </w:p>
              </w:tc>
            </w:tr>
            <w:tr w14:paraId="5A43F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5131538D">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硅烷剂</w:t>
                  </w:r>
                </w:p>
              </w:tc>
              <w:tc>
                <w:tcPr>
                  <w:tcW w:w="5489" w:type="dxa"/>
                  <w:noWrap w:val="0"/>
                  <w:vAlign w:val="center"/>
                </w:tcPr>
                <w:p w14:paraId="452589B6">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浅蓝色透明液体，无气味；相对密度：1.05-1.1g/cm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；不溶于水</w:t>
                  </w:r>
                </w:p>
              </w:tc>
              <w:tc>
                <w:tcPr>
                  <w:tcW w:w="2427" w:type="dxa"/>
                  <w:noWrap w:val="0"/>
                  <w:vAlign w:val="center"/>
                </w:tcPr>
                <w:p w14:paraId="2D89E46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c>
                <w:tcPr>
                  <w:tcW w:w="3828" w:type="dxa"/>
                  <w:noWrap w:val="0"/>
                  <w:vAlign w:val="center"/>
                </w:tcPr>
                <w:p w14:paraId="6C37487D">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3FCB8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232C7BC0">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氧化锌</w:t>
                  </w:r>
                </w:p>
              </w:tc>
              <w:tc>
                <w:tcPr>
                  <w:tcW w:w="5489" w:type="dxa"/>
                  <w:noWrap w:val="0"/>
                  <w:vAlign w:val="center"/>
                </w:tcPr>
                <w:p w14:paraId="5904F91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白色六角晶体或粉末，无气味；熔点：1975℃；相对密度（水=1）：5.606；不溶于水、乙醇，溶于酸、氢氧化钠水溶液、氯化铵等</w:t>
                  </w:r>
                </w:p>
              </w:tc>
              <w:tc>
                <w:tcPr>
                  <w:tcW w:w="2427" w:type="dxa"/>
                  <w:noWrap w:val="0"/>
                  <w:vAlign w:val="center"/>
                </w:tcPr>
                <w:p w14:paraId="0120B00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3828" w:type="dxa"/>
                  <w:noWrap w:val="0"/>
                  <w:vAlign w:val="center"/>
                </w:tcPr>
                <w:p w14:paraId="5D483C16">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：7950mg/kg（小鼠经口）</w:t>
                  </w:r>
                </w:p>
              </w:tc>
            </w:tr>
            <w:tr w14:paraId="0AD23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586" w:type="dxa"/>
                  <w:noWrap w:val="0"/>
                  <w:vAlign w:val="center"/>
                </w:tcPr>
                <w:p w14:paraId="70B38DC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纯碱（碳酸钠）</w:t>
                  </w:r>
                </w:p>
              </w:tc>
              <w:tc>
                <w:tcPr>
                  <w:tcW w:w="5489" w:type="dxa"/>
                  <w:noWrap w:val="0"/>
                  <w:vAlign w:val="center"/>
                </w:tcPr>
                <w:p w14:paraId="3635E0EB">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白色粉末或细颗粒；熔点：851℃；相对密度（水=1）：2.53；易溶于水，不溶于乙醇、乙醚</w:t>
                  </w:r>
                </w:p>
              </w:tc>
              <w:tc>
                <w:tcPr>
                  <w:tcW w:w="2427" w:type="dxa"/>
                  <w:noWrap w:val="0"/>
                  <w:vAlign w:val="center"/>
                </w:tcPr>
                <w:p w14:paraId="4A4C913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3828" w:type="dxa"/>
                  <w:noWrap w:val="0"/>
                  <w:vAlign w:val="center"/>
                </w:tcPr>
                <w:p w14:paraId="546604CB">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：4090mg/kg（大鼠经口）</w:t>
                  </w:r>
                </w:p>
                <w:p w14:paraId="1BDD23C2">
                  <w:pPr>
                    <w:pStyle w:val="2"/>
                    <w:keepNext w:val="0"/>
                    <w:keepLines w:val="0"/>
                    <w:pageBreakBefore w:val="0"/>
                    <w:wordWrap/>
                    <w:overflowPunct/>
                    <w:topLinePunct w:val="0"/>
                    <w:bidi w:val="0"/>
                    <w:adjustRightInd/>
                    <w:snapToGrid w:val="0"/>
                    <w:spacing w:before="0" w:after="0" w:line="240" w:lineRule="auto"/>
                    <w:ind w:right="0"/>
                    <w:jc w:val="center"/>
                    <w:rPr>
                      <w:rFonts w:hint="default" w:ascii="Times New Roman" w:hAnsi="Times New Roman" w:cs="Times New Roman"/>
                      <w:color w:val="auto"/>
                      <w:lang w:val="en-US" w:eastAsia="zh-CN"/>
                    </w:rPr>
                  </w:pPr>
                  <w:r>
                    <w:rPr>
                      <w:rFonts w:hint="default" w:ascii="Times New Roman" w:hAnsi="Times New Roman" w:eastAsia="仿宋" w:cs="Times New Roman"/>
                      <w:color w:val="auto"/>
                      <w:sz w:val="21"/>
                      <w:szCs w:val="21"/>
                      <w:lang w:val="en-US" w:eastAsia="zh-CN"/>
                    </w:rPr>
                    <w:t>LC</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：2300mg/m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，2小时（大鼠吸入）</w:t>
                  </w:r>
                </w:p>
              </w:tc>
            </w:tr>
            <w:tr w14:paraId="284B6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2F83F9C4">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脱脂剂</w:t>
                  </w:r>
                </w:p>
              </w:tc>
              <w:tc>
                <w:tcPr>
                  <w:tcW w:w="5489" w:type="dxa"/>
                  <w:noWrap w:val="0"/>
                  <w:vAlign w:val="center"/>
                </w:tcPr>
                <w:p w14:paraId="6FB26A5E">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无色透明或淡黄色液体，有轻微气味；沸点：100-110℃；相对密度：1.03-1.05g/cm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；溶于水</w:t>
                  </w:r>
                </w:p>
              </w:tc>
              <w:tc>
                <w:tcPr>
                  <w:tcW w:w="2427" w:type="dxa"/>
                  <w:noWrap w:val="0"/>
                  <w:vAlign w:val="center"/>
                </w:tcPr>
                <w:p w14:paraId="7C4256A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c>
                <w:tcPr>
                  <w:tcW w:w="3828" w:type="dxa"/>
                  <w:noWrap w:val="0"/>
                  <w:vAlign w:val="center"/>
                </w:tcPr>
                <w:p w14:paraId="6E270F14">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214DF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4FB68FAF">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表调剂</w:t>
                  </w:r>
                </w:p>
              </w:tc>
              <w:tc>
                <w:tcPr>
                  <w:tcW w:w="5489" w:type="dxa"/>
                  <w:noWrap w:val="0"/>
                  <w:vAlign w:val="center"/>
                </w:tcPr>
                <w:p w14:paraId="57DDE18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白色固体粉末，相对密度：1.05-1.1g/cm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，溶于水</w:t>
                  </w:r>
                </w:p>
              </w:tc>
              <w:tc>
                <w:tcPr>
                  <w:tcW w:w="2427" w:type="dxa"/>
                  <w:shd w:val="clear" w:color="auto" w:fill="auto"/>
                  <w:noWrap w:val="0"/>
                  <w:vAlign w:val="center"/>
                </w:tcPr>
                <w:p w14:paraId="0BD113F7">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无资料</w:t>
                  </w:r>
                </w:p>
              </w:tc>
              <w:tc>
                <w:tcPr>
                  <w:tcW w:w="3828" w:type="dxa"/>
                  <w:shd w:val="clear" w:color="auto" w:fill="auto"/>
                  <w:noWrap w:val="0"/>
                  <w:vAlign w:val="center"/>
                </w:tcPr>
                <w:p w14:paraId="6CA28283">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无资料</w:t>
                  </w:r>
                </w:p>
              </w:tc>
            </w:tr>
            <w:tr w14:paraId="2472D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447E6E8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柠檬酸钠</w:t>
                  </w:r>
                </w:p>
              </w:tc>
              <w:tc>
                <w:tcPr>
                  <w:tcW w:w="5489" w:type="dxa"/>
                  <w:noWrap w:val="0"/>
                  <w:vAlign w:val="center"/>
                </w:tcPr>
                <w:p w14:paraId="384EE2C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无色晶体或粒状粉末，相对密度（水=1）：1.857；溶于水，难溶于乙醇</w:t>
                  </w:r>
                </w:p>
              </w:tc>
              <w:tc>
                <w:tcPr>
                  <w:tcW w:w="2427" w:type="dxa"/>
                  <w:shd w:val="clear" w:color="auto" w:fill="auto"/>
                  <w:noWrap w:val="0"/>
                  <w:vAlign w:val="center"/>
                </w:tcPr>
                <w:p w14:paraId="3C738948">
                  <w:pPr>
                    <w:keepNext w:val="0"/>
                    <w:keepLines w:val="0"/>
                    <w:pageBreakBefore w:val="0"/>
                    <w:wordWrap/>
                    <w:overflowPunct/>
                    <w:topLinePunct w:val="0"/>
                    <w:bidi w:val="0"/>
                    <w:adjustRightInd/>
                    <w:snapToGrid w:val="0"/>
                    <w:spacing w:line="240" w:lineRule="auto"/>
                    <w:ind w:right="0" w:rightChars="0"/>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不易燃</w:t>
                  </w:r>
                </w:p>
              </w:tc>
              <w:tc>
                <w:tcPr>
                  <w:tcW w:w="3828" w:type="dxa"/>
                  <w:shd w:val="clear" w:color="auto" w:fill="auto"/>
                  <w:noWrap w:val="0"/>
                  <w:vAlign w:val="center"/>
                </w:tcPr>
                <w:p w14:paraId="5D783DE7">
                  <w:pPr>
                    <w:keepNext w:val="0"/>
                    <w:keepLines w:val="0"/>
                    <w:pageBreakBefore w:val="0"/>
                    <w:wordWrap/>
                    <w:overflowPunct/>
                    <w:topLinePunct w:val="0"/>
                    <w:bidi w:val="0"/>
                    <w:adjustRightInd/>
                    <w:snapToGrid w:val="0"/>
                    <w:spacing w:line="240" w:lineRule="auto"/>
                    <w:ind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eastAsia"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00</w:t>
                  </w:r>
                  <w:r>
                    <w:rPr>
                      <w:rFonts w:hint="default" w:ascii="Times New Roman" w:hAnsi="Times New Roman" w:eastAsia="仿宋" w:cs="Times New Roman"/>
                      <w:color w:val="auto"/>
                      <w:sz w:val="21"/>
                      <w:szCs w:val="21"/>
                      <w:lang w:val="en-US" w:eastAsia="zh-CN"/>
                    </w:rPr>
                    <w:t>0mg/kg（大鼠经口）</w:t>
                  </w:r>
                </w:p>
              </w:tc>
            </w:tr>
            <w:tr w14:paraId="4448F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46C3AE5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碳酸氢钠</w:t>
                  </w:r>
                </w:p>
              </w:tc>
              <w:tc>
                <w:tcPr>
                  <w:tcW w:w="5489" w:type="dxa"/>
                  <w:noWrap w:val="0"/>
                  <w:vAlign w:val="center"/>
                </w:tcPr>
                <w:p w14:paraId="6A2C8383">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白色粉末或超级闪光点晶体，无臭，味咸；熔点：270℃；沸点：851℃；密度：2.16g/mL at25℃（lit.）；可溶于水，微溶于乙醇</w:t>
                  </w:r>
                </w:p>
              </w:tc>
              <w:tc>
                <w:tcPr>
                  <w:tcW w:w="2427" w:type="dxa"/>
                  <w:shd w:val="clear" w:color="auto" w:fill="auto"/>
                  <w:noWrap w:val="0"/>
                  <w:vAlign w:val="center"/>
                </w:tcPr>
                <w:p w14:paraId="4C575497">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无资料</w:t>
                  </w:r>
                </w:p>
              </w:tc>
              <w:tc>
                <w:tcPr>
                  <w:tcW w:w="3828" w:type="dxa"/>
                  <w:shd w:val="clear" w:color="auto" w:fill="auto"/>
                  <w:noWrap w:val="0"/>
                  <w:vAlign w:val="center"/>
                </w:tcPr>
                <w:p w14:paraId="2732A395">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：4220mg/kg（大鼠经口）</w:t>
                  </w:r>
                </w:p>
              </w:tc>
            </w:tr>
            <w:tr w14:paraId="56EEC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216918E0">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电泳漆</w:t>
                  </w:r>
                </w:p>
              </w:tc>
              <w:tc>
                <w:tcPr>
                  <w:tcW w:w="5489" w:type="dxa"/>
                  <w:noWrap w:val="0"/>
                  <w:vAlign w:val="center"/>
                </w:tcPr>
                <w:p w14:paraId="3133C9BF">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无色至淡黄色液体；沸点：82-171℃；特定密度：1.05g/cm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；混溶于水</w:t>
                  </w:r>
                </w:p>
              </w:tc>
              <w:tc>
                <w:tcPr>
                  <w:tcW w:w="2427" w:type="dxa"/>
                  <w:noWrap w:val="0"/>
                  <w:vAlign w:val="center"/>
                </w:tcPr>
                <w:p w14:paraId="1332B8B7">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爆炸下限</w:t>
                  </w:r>
                  <w:r>
                    <w:rPr>
                      <w:rFonts w:hint="default" w:ascii="Times New Roman" w:hAnsi="Times New Roman" w:eastAsia="仿宋" w:cs="Times New Roman"/>
                      <w:color w:val="auto"/>
                      <w:sz w:val="21"/>
                      <w:szCs w:val="21"/>
                      <w:lang w:val="en-US" w:eastAsia="zh-CN"/>
                    </w:rPr>
                    <w:t>%（V/V）：1.1，爆炸上限%（V/V）12</w:t>
                  </w:r>
                </w:p>
              </w:tc>
              <w:tc>
                <w:tcPr>
                  <w:tcW w:w="3828" w:type="dxa"/>
                  <w:noWrap w:val="0"/>
                  <w:vAlign w:val="center"/>
                </w:tcPr>
                <w:p w14:paraId="2010124F">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2-丁氧基乙醇：</w:t>
                  </w:r>
                </w:p>
                <w:p w14:paraId="46E0F69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cs="Times New Roman"/>
                      <w:color w:val="auto"/>
                      <w:lang w:val="en-US" w:eastAsia="zh-CN"/>
                    </w:rPr>
                  </w:pPr>
                  <w:r>
                    <w:rPr>
                      <w:rFonts w:hint="default" w:ascii="Times New Roman" w:hAnsi="Times New Roman" w:eastAsia="仿宋" w:cs="Times New Roman"/>
                      <w:color w:val="auto"/>
                      <w:sz w:val="21"/>
                      <w:szCs w:val="21"/>
                      <w:lang w:val="en-US" w:eastAsia="zh-CN"/>
                    </w:rPr>
                    <w:t>LC</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（吸入（蒸气），小鼠）：100[ppm/4H]；LD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（皮肤，兔）：300[mg/kg]</w:t>
                  </w:r>
                </w:p>
              </w:tc>
            </w:tr>
            <w:tr w14:paraId="1E28B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597EE9CE">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电泳漆色浆</w:t>
                  </w:r>
                </w:p>
              </w:tc>
              <w:tc>
                <w:tcPr>
                  <w:tcW w:w="5489" w:type="dxa"/>
                  <w:noWrap w:val="0"/>
                  <w:vAlign w:val="center"/>
                </w:tcPr>
                <w:p w14:paraId="6ABDBAFE">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黑色液体，</w:t>
                  </w:r>
                  <w:r>
                    <w:rPr>
                      <w:rFonts w:hint="default" w:ascii="Times New Roman" w:hAnsi="Times New Roman" w:eastAsia="仿宋" w:cs="Times New Roman"/>
                      <w:color w:val="auto"/>
                      <w:sz w:val="21"/>
                      <w:szCs w:val="21"/>
                      <w:lang w:val="en-US" w:eastAsia="zh-CN"/>
                    </w:rPr>
                    <w:t>特定密度：1.</w:t>
                  </w:r>
                  <w:r>
                    <w:rPr>
                      <w:rFonts w:hint="eastAsia" w:eastAsia="仿宋" w:cs="Times New Roman"/>
                      <w:color w:val="auto"/>
                      <w:sz w:val="21"/>
                      <w:szCs w:val="21"/>
                      <w:lang w:val="en-US" w:eastAsia="zh-CN"/>
                    </w:rPr>
                    <w:t>22</w:t>
                  </w:r>
                  <w:r>
                    <w:rPr>
                      <w:rFonts w:hint="default" w:ascii="Times New Roman" w:hAnsi="Times New Roman" w:eastAsia="仿宋" w:cs="Times New Roman"/>
                      <w:color w:val="auto"/>
                      <w:sz w:val="21"/>
                      <w:szCs w:val="21"/>
                      <w:lang w:val="en-US" w:eastAsia="zh-CN"/>
                    </w:rPr>
                    <w:t>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；溶于水</w:t>
                  </w:r>
                </w:p>
              </w:tc>
              <w:tc>
                <w:tcPr>
                  <w:tcW w:w="2427" w:type="dxa"/>
                  <w:noWrap w:val="0"/>
                  <w:vAlign w:val="center"/>
                </w:tcPr>
                <w:p w14:paraId="2F07754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c>
                <w:tcPr>
                  <w:tcW w:w="3828" w:type="dxa"/>
                  <w:noWrap w:val="0"/>
                  <w:vAlign w:val="center"/>
                </w:tcPr>
                <w:p w14:paraId="168A1FB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6E33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0A787459">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2-丙醇</w:t>
                  </w:r>
                </w:p>
              </w:tc>
              <w:tc>
                <w:tcPr>
                  <w:tcW w:w="5489" w:type="dxa"/>
                  <w:noWrap w:val="0"/>
                  <w:vAlign w:val="center"/>
                </w:tcPr>
                <w:p w14:paraId="50A7FD0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无色液体；熔点：-89.5℃；沸点：73.0±3.0℃at760mmHg；密度：0.8±0.1g/cm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；溶于水、乙醇、乙醚等多数有机溶剂</w:t>
                  </w:r>
                </w:p>
              </w:tc>
              <w:tc>
                <w:tcPr>
                  <w:tcW w:w="2427" w:type="dxa"/>
                  <w:noWrap w:val="0"/>
                  <w:vAlign w:val="center"/>
                </w:tcPr>
                <w:p w14:paraId="5E6CB485">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爆炸</w:t>
                  </w:r>
                  <w:r>
                    <w:rPr>
                      <w:rFonts w:hint="eastAsia" w:eastAsia="仿宋" w:cs="Times New Roman"/>
                      <w:color w:val="auto"/>
                      <w:sz w:val="21"/>
                      <w:szCs w:val="21"/>
                      <w:lang w:val="en-US" w:eastAsia="zh-CN"/>
                    </w:rPr>
                    <w:t>下限</w:t>
                  </w:r>
                  <w:r>
                    <w:rPr>
                      <w:rFonts w:hint="default" w:ascii="Times New Roman" w:hAnsi="Times New Roman" w:eastAsia="仿宋" w:cs="Times New Roman"/>
                      <w:color w:val="auto"/>
                      <w:sz w:val="21"/>
                      <w:szCs w:val="21"/>
                      <w:lang w:val="en-US" w:eastAsia="zh-CN"/>
                    </w:rPr>
                    <w:t>%：2，爆炸上限%：12.7</w:t>
                  </w:r>
                </w:p>
              </w:tc>
              <w:tc>
                <w:tcPr>
                  <w:tcW w:w="3828" w:type="dxa"/>
                  <w:noWrap w:val="0"/>
                  <w:vAlign w:val="center"/>
                </w:tcPr>
                <w:p w14:paraId="0671DF6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：5045mg/kg（大鼠经口）；</w:t>
                  </w:r>
                </w:p>
                <w:p w14:paraId="25F2B944">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：12800mg/kg（兔经皮）</w:t>
                  </w:r>
                </w:p>
              </w:tc>
            </w:tr>
            <w:tr w14:paraId="4ADA1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368C1B0F">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2-丁氧基乙醇</w:t>
                  </w:r>
                </w:p>
              </w:tc>
              <w:tc>
                <w:tcPr>
                  <w:tcW w:w="5489" w:type="dxa"/>
                  <w:noWrap w:val="0"/>
                  <w:vAlign w:val="center"/>
                </w:tcPr>
                <w:p w14:paraId="766DAAED">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无色液体，略有气味；熔点：-74.8℃；沸点：170.2℃；相对密度（水=1）：0.90；相对密度（空气=1）：4.07；易溶于水、乙醇、乙醚等多数有机溶剂</w:t>
                  </w:r>
                </w:p>
              </w:tc>
              <w:tc>
                <w:tcPr>
                  <w:tcW w:w="2427" w:type="dxa"/>
                  <w:noWrap w:val="0"/>
                  <w:vAlign w:val="center"/>
                </w:tcPr>
                <w:p w14:paraId="30A15D46">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爆炸下限</w:t>
                  </w:r>
                  <w:r>
                    <w:rPr>
                      <w:rFonts w:hint="default" w:ascii="Times New Roman" w:hAnsi="Times New Roman" w:eastAsia="仿宋" w:cs="Times New Roman"/>
                      <w:color w:val="auto"/>
                      <w:sz w:val="21"/>
                      <w:szCs w:val="21"/>
                      <w:lang w:val="en-US" w:eastAsia="zh-CN"/>
                    </w:rPr>
                    <w:t>%（V/V）：1.1，爆炸上限%（V/V）：10.6</w:t>
                  </w:r>
                </w:p>
              </w:tc>
              <w:tc>
                <w:tcPr>
                  <w:tcW w:w="3828" w:type="dxa"/>
                  <w:noWrap w:val="0"/>
                  <w:vAlign w:val="center"/>
                </w:tcPr>
                <w:p w14:paraId="788A4F4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：2500mg／kg（大鼠经口）；</w:t>
                  </w:r>
                </w:p>
                <w:p w14:paraId="67C6510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：1200mg/kg（小鼠经口）</w:t>
                  </w:r>
                </w:p>
              </w:tc>
            </w:tr>
            <w:tr w14:paraId="6FBEE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68465183">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丙二醇乙醚</w:t>
                  </w:r>
                </w:p>
              </w:tc>
              <w:tc>
                <w:tcPr>
                  <w:tcW w:w="5489" w:type="dxa"/>
                  <w:noWrap w:val="0"/>
                  <w:vAlign w:val="center"/>
                </w:tcPr>
                <w:p w14:paraId="0ADA30D3">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透明无色液体；熔点：-100℃；沸点：132℃；相对密度（水=1）：0.897；易溶于水、乙醇、乙醚等多数有机溶剂</w:t>
                  </w:r>
                </w:p>
              </w:tc>
              <w:tc>
                <w:tcPr>
                  <w:tcW w:w="2427" w:type="dxa"/>
                  <w:noWrap w:val="0"/>
                  <w:vAlign w:val="center"/>
                </w:tcPr>
                <w:p w14:paraId="4B5492C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易燃</w:t>
                  </w:r>
                </w:p>
              </w:tc>
              <w:tc>
                <w:tcPr>
                  <w:tcW w:w="3828" w:type="dxa"/>
                  <w:noWrap w:val="0"/>
                  <w:vAlign w:val="center"/>
                </w:tcPr>
                <w:p w14:paraId="6FF7743C">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：7000～7110mg/kg（大鼠经口）</w:t>
                  </w:r>
                </w:p>
              </w:tc>
            </w:tr>
            <w:tr w14:paraId="32AD7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5AD45E5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硫酸（98%）</w:t>
                  </w:r>
                </w:p>
              </w:tc>
              <w:tc>
                <w:tcPr>
                  <w:tcW w:w="5489" w:type="dxa"/>
                  <w:noWrap w:val="0"/>
                  <w:vAlign w:val="center"/>
                </w:tcPr>
                <w:p w14:paraId="2D5DC9E7">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外观性状：无色有刺激性恶臭的气体；熔点：10.5℃；沸点：-33.5℃；相对密度（水=1）：1.83；相对密度（空气=1）：0.6；易溶于水、乙醇、乙醚等</w:t>
                  </w:r>
                </w:p>
              </w:tc>
              <w:tc>
                <w:tcPr>
                  <w:tcW w:w="2427" w:type="dxa"/>
                  <w:noWrap w:val="0"/>
                  <w:vAlign w:val="center"/>
                </w:tcPr>
                <w:p w14:paraId="24E05773">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爆炸下限</w:t>
                  </w:r>
                  <w:r>
                    <w:rPr>
                      <w:rFonts w:hint="default" w:ascii="Times New Roman" w:hAnsi="Times New Roman" w:eastAsia="仿宋" w:cs="Times New Roman"/>
                      <w:color w:val="auto"/>
                      <w:sz w:val="21"/>
                      <w:szCs w:val="21"/>
                      <w:lang w:val="en-US" w:eastAsia="zh-CN"/>
                    </w:rPr>
                    <w:t>%（V/V）：15.7，爆炸上限%（V/V）：27.4</w:t>
                  </w:r>
                </w:p>
              </w:tc>
              <w:tc>
                <w:tcPr>
                  <w:tcW w:w="3828" w:type="dxa"/>
                  <w:noWrap w:val="0"/>
                  <w:vAlign w:val="center"/>
                </w:tcPr>
                <w:p w14:paraId="15DA9649">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：350mg/kg（大鼠经口）</w:t>
                  </w:r>
                </w:p>
              </w:tc>
            </w:tr>
            <w:tr w14:paraId="2C54A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449E8E95">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盐酸（31%）</w:t>
                  </w:r>
                </w:p>
              </w:tc>
              <w:tc>
                <w:tcPr>
                  <w:tcW w:w="5489" w:type="dxa"/>
                  <w:noWrap w:val="0"/>
                  <w:vAlign w:val="center"/>
                </w:tcPr>
                <w:p w14:paraId="5A263BEF">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外观性状：无色或微黄色发烟液体，有刺鼻的酸味；熔点：-114.8℃；沸点：108.6℃；相对密度（水=1）：1.15；与水混溶，溶于液碱</w:t>
                  </w:r>
                </w:p>
              </w:tc>
              <w:tc>
                <w:tcPr>
                  <w:tcW w:w="2427" w:type="dxa"/>
                  <w:noWrap w:val="0"/>
                  <w:vAlign w:val="center"/>
                </w:tcPr>
                <w:p w14:paraId="1291FB04">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无资料</w:t>
                  </w:r>
                </w:p>
              </w:tc>
              <w:tc>
                <w:tcPr>
                  <w:tcW w:w="3828" w:type="dxa"/>
                  <w:noWrap w:val="0"/>
                  <w:vAlign w:val="center"/>
                </w:tcPr>
                <w:p w14:paraId="3E27ADD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605D9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0AC47E3B">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白平光（</w:t>
                  </w:r>
                  <w:r>
                    <w:rPr>
                      <w:rFonts w:hint="eastAsia" w:eastAsia="仿宋" w:cs="Times New Roman"/>
                      <w:color w:val="auto"/>
                      <w:szCs w:val="21"/>
                      <w:lang w:val="en-US" w:eastAsia="zh-CN"/>
                    </w:rPr>
                    <w:t>塑粉</w:t>
                  </w:r>
                  <w:r>
                    <w:rPr>
                      <w:rFonts w:hint="default" w:ascii="Times New Roman" w:hAnsi="Times New Roman" w:eastAsia="仿宋" w:cs="Times New Roman"/>
                      <w:color w:val="auto"/>
                      <w:szCs w:val="21"/>
                      <w:lang w:val="en-US" w:eastAsia="zh-CN"/>
                    </w:rPr>
                    <w:t>）</w:t>
                  </w:r>
                </w:p>
              </w:tc>
              <w:tc>
                <w:tcPr>
                  <w:tcW w:w="5489" w:type="dxa"/>
                  <w:noWrap w:val="0"/>
                  <w:vAlign w:val="center"/>
                </w:tcPr>
                <w:p w14:paraId="5C81692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无气味粉末；密度（g/cm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）：1.2-1.6；微溶于醇、酮、甲苯等非极性有机溶剂</w:t>
                  </w:r>
                </w:p>
              </w:tc>
              <w:tc>
                <w:tcPr>
                  <w:tcW w:w="2427" w:type="dxa"/>
                  <w:noWrap w:val="0"/>
                  <w:vAlign w:val="center"/>
                </w:tcPr>
                <w:p w14:paraId="532C3AE7">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爆炸下限</w:t>
                  </w:r>
                  <w:r>
                    <w:rPr>
                      <w:rFonts w:hint="default" w:ascii="Times New Roman" w:hAnsi="Times New Roman" w:eastAsia="仿宋" w:cs="Times New Roman"/>
                      <w:color w:val="auto"/>
                      <w:sz w:val="21"/>
                      <w:szCs w:val="21"/>
                      <w:lang w:val="en-US" w:eastAsia="zh-CN"/>
                    </w:rPr>
                    <w:t>（g/m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）：53，爆炸上限：无资料</w:t>
                  </w:r>
                </w:p>
              </w:tc>
              <w:tc>
                <w:tcPr>
                  <w:tcW w:w="3828" w:type="dxa"/>
                  <w:noWrap w:val="0"/>
                  <w:vAlign w:val="center"/>
                </w:tcPr>
                <w:p w14:paraId="69FF358A">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5BED7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0C635874">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氢氧化钠</w:t>
                  </w:r>
                </w:p>
              </w:tc>
              <w:tc>
                <w:tcPr>
                  <w:tcW w:w="5489" w:type="dxa"/>
                  <w:noWrap w:val="0"/>
                  <w:vAlign w:val="center"/>
                </w:tcPr>
                <w:p w14:paraId="70B2F948">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白色不透明固体，易潮解；熔点：318.4℃；沸点：1390℃；相对密度（水=1）：2.12；易溶于水、乙醇、甘油，不溶于丙酮</w:t>
                  </w:r>
                </w:p>
              </w:tc>
              <w:tc>
                <w:tcPr>
                  <w:tcW w:w="2427" w:type="dxa"/>
                  <w:noWrap w:val="0"/>
                  <w:vAlign w:val="center"/>
                </w:tcPr>
                <w:p w14:paraId="029FEE4B">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3828" w:type="dxa"/>
                  <w:noWrap w:val="0"/>
                  <w:vAlign w:val="center"/>
                </w:tcPr>
                <w:p w14:paraId="21B4A6DB">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40</w:t>
                  </w:r>
                  <w:r>
                    <w:rPr>
                      <w:rFonts w:hint="default" w:ascii="Times New Roman" w:hAnsi="Times New Roman" w:eastAsia="仿宋" w:cs="Times New Roman"/>
                      <w:color w:val="auto"/>
                      <w:sz w:val="21"/>
                      <w:szCs w:val="21"/>
                      <w:lang w:val="en-US" w:eastAsia="zh-CN"/>
                    </w:rPr>
                    <w:t>mg/kg（</w:t>
                  </w:r>
                  <w:r>
                    <w:rPr>
                      <w:rFonts w:hint="eastAsia" w:eastAsia="仿宋" w:cs="Times New Roman"/>
                      <w:color w:val="auto"/>
                      <w:sz w:val="21"/>
                      <w:szCs w:val="21"/>
                      <w:lang w:val="en-US" w:eastAsia="zh-CN"/>
                    </w:rPr>
                    <w:t>小</w:t>
                  </w:r>
                  <w:r>
                    <w:rPr>
                      <w:rFonts w:hint="default" w:ascii="Times New Roman" w:hAnsi="Times New Roman" w:eastAsia="仿宋" w:cs="Times New Roman"/>
                      <w:color w:val="auto"/>
                      <w:sz w:val="21"/>
                      <w:szCs w:val="21"/>
                      <w:lang w:val="en-US" w:eastAsia="zh-CN"/>
                    </w:rPr>
                    <w:t>鼠</w:t>
                  </w:r>
                  <w:r>
                    <w:rPr>
                      <w:rFonts w:hint="eastAsia" w:eastAsia="仿宋" w:cs="Times New Roman"/>
                      <w:color w:val="auto"/>
                      <w:sz w:val="21"/>
                      <w:szCs w:val="21"/>
                      <w:lang w:val="en-US" w:eastAsia="zh-CN"/>
                    </w:rPr>
                    <w:t>腹腔</w:t>
                  </w:r>
                  <w:r>
                    <w:rPr>
                      <w:rFonts w:hint="default" w:ascii="Times New Roman" w:hAnsi="Times New Roman" w:eastAsia="仿宋" w:cs="Times New Roman"/>
                      <w:color w:val="auto"/>
                      <w:sz w:val="21"/>
                      <w:szCs w:val="21"/>
                      <w:lang w:val="en-US" w:eastAsia="zh-CN"/>
                    </w:rPr>
                    <w:t>）</w:t>
                  </w:r>
                </w:p>
              </w:tc>
            </w:tr>
            <w:tr w14:paraId="5CDFD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6" w:type="dxa"/>
                  <w:noWrap w:val="0"/>
                  <w:vAlign w:val="center"/>
                </w:tcPr>
                <w:p w14:paraId="711A2E71">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氯化钙</w:t>
                  </w:r>
                </w:p>
              </w:tc>
              <w:tc>
                <w:tcPr>
                  <w:tcW w:w="5489" w:type="dxa"/>
                  <w:noWrap w:val="0"/>
                  <w:vAlign w:val="center"/>
                </w:tcPr>
                <w:p w14:paraId="5C3F9159">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无色或白色晶体，固体易潮解；</w:t>
                  </w:r>
                  <w:r>
                    <w:rPr>
                      <w:rFonts w:hint="default" w:ascii="Times New Roman" w:hAnsi="Times New Roman" w:eastAsia="仿宋" w:cs="Times New Roman"/>
                      <w:color w:val="auto"/>
                      <w:sz w:val="21"/>
                      <w:szCs w:val="21"/>
                      <w:lang w:val="en-US" w:eastAsia="zh-CN"/>
                    </w:rPr>
                    <w:t>熔点：</w:t>
                  </w:r>
                  <w:r>
                    <w:rPr>
                      <w:rFonts w:hint="eastAsia" w:eastAsia="仿宋" w:cs="Times New Roman"/>
                      <w:color w:val="auto"/>
                      <w:sz w:val="21"/>
                      <w:szCs w:val="21"/>
                      <w:lang w:val="en-US" w:eastAsia="zh-CN"/>
                    </w:rPr>
                    <w:t>787</w:t>
                  </w:r>
                  <w:r>
                    <w:rPr>
                      <w:rFonts w:hint="default" w:ascii="Times New Roman" w:hAnsi="Times New Roman" w:eastAsia="仿宋" w:cs="Times New Roman"/>
                      <w:color w:val="auto"/>
                      <w:sz w:val="21"/>
                      <w:szCs w:val="21"/>
                      <w:lang w:val="en-US" w:eastAsia="zh-CN"/>
                    </w:rPr>
                    <w:t>℃；沸点：1</w:t>
                  </w:r>
                  <w:r>
                    <w:rPr>
                      <w:rFonts w:hint="eastAsia" w:eastAsia="仿宋" w:cs="Times New Roman"/>
                      <w:color w:val="auto"/>
                      <w:sz w:val="21"/>
                      <w:szCs w:val="21"/>
                      <w:lang w:val="en-US" w:eastAsia="zh-CN"/>
                    </w:rPr>
                    <w:t>600</w:t>
                  </w:r>
                  <w:r>
                    <w:rPr>
                      <w:rFonts w:hint="default" w:ascii="Times New Roman" w:hAnsi="Times New Roman" w:eastAsia="仿宋" w:cs="Times New Roman"/>
                      <w:color w:val="auto"/>
                      <w:sz w:val="21"/>
                      <w:szCs w:val="21"/>
                      <w:lang w:val="en-US" w:eastAsia="zh-CN"/>
                    </w:rPr>
                    <w:t>℃；相对密度（水=1）：</w:t>
                  </w:r>
                  <w:r>
                    <w:rPr>
                      <w:rFonts w:hint="eastAsia" w:eastAsia="仿宋" w:cs="Times New Roman"/>
                      <w:color w:val="auto"/>
                      <w:sz w:val="21"/>
                      <w:szCs w:val="21"/>
                      <w:lang w:val="en-US" w:eastAsia="zh-CN"/>
                    </w:rPr>
                    <w:t>1.71</w:t>
                  </w: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溶解度：74.5（25</w:t>
                  </w: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w:t>
                  </w:r>
                </w:p>
              </w:tc>
              <w:tc>
                <w:tcPr>
                  <w:tcW w:w="2427" w:type="dxa"/>
                  <w:noWrap w:val="0"/>
                  <w:vAlign w:val="center"/>
                </w:tcPr>
                <w:p w14:paraId="3BA484C1">
                  <w:pPr>
                    <w:keepNext w:val="0"/>
                    <w:keepLines w:val="0"/>
                    <w:pageBreakBefore w:val="0"/>
                    <w:wordWrap/>
                    <w:overflowPunct/>
                    <w:topLinePunct w:val="0"/>
                    <w:bidi w:val="0"/>
                    <w:adjustRightInd/>
                    <w:snapToGrid w:val="0"/>
                    <w:spacing w:line="240" w:lineRule="auto"/>
                    <w:ind w:right="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3828" w:type="dxa"/>
                  <w:noWrap w:val="0"/>
                  <w:vAlign w:val="center"/>
                </w:tcPr>
                <w:p w14:paraId="5DB86BBE">
                  <w:pPr>
                    <w:keepNext w:val="0"/>
                    <w:keepLines w:val="0"/>
                    <w:pageBreakBefore w:val="0"/>
                    <w:wordWrap/>
                    <w:overflowPunct/>
                    <w:topLinePunct w:val="0"/>
                    <w:bidi w:val="0"/>
                    <w:adjustRightInd/>
                    <w:snapToGrid w:val="0"/>
                    <w:spacing w:line="240" w:lineRule="auto"/>
                    <w:ind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100</w:t>
                  </w:r>
                  <w:r>
                    <w:rPr>
                      <w:rFonts w:hint="default" w:ascii="Times New Roman" w:hAnsi="Times New Roman" w:eastAsia="仿宋" w:cs="Times New Roman"/>
                      <w:color w:val="auto"/>
                      <w:sz w:val="21"/>
                      <w:szCs w:val="21"/>
                      <w:lang w:val="en-US" w:eastAsia="zh-CN"/>
                    </w:rPr>
                    <w:t>0mg/kg（大鼠经口）</w:t>
                  </w:r>
                </w:p>
              </w:tc>
            </w:tr>
          </w:tbl>
          <w:p w14:paraId="7F77E8CC">
            <w:pPr>
              <w:pStyle w:val="27"/>
              <w:ind w:left="0" w:leftChars="0" w:firstLine="0" w:firstLineChars="0"/>
              <w:rPr>
                <w:color w:val="auto"/>
              </w:rPr>
            </w:pPr>
          </w:p>
        </w:tc>
      </w:tr>
    </w:tbl>
    <w:p w14:paraId="22AAC658">
      <w:pPr>
        <w:pStyle w:val="27"/>
        <w:rPr>
          <w:color w:val="auto"/>
        </w:rPr>
      </w:pPr>
    </w:p>
    <w:p w14:paraId="6A0210AF">
      <w:pPr>
        <w:pStyle w:val="27"/>
        <w:rPr>
          <w:color w:val="auto"/>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508"/>
      </w:tblGrid>
      <w:tr w14:paraId="52FA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dxa"/>
          </w:tcPr>
          <w:p w14:paraId="500D8A62">
            <w:pPr>
              <w:pStyle w:val="27"/>
              <w:rPr>
                <w:color w:val="auto"/>
                <w:vertAlign w:val="baseline"/>
              </w:rPr>
            </w:pPr>
          </w:p>
        </w:tc>
        <w:tc>
          <w:tcPr>
            <w:tcW w:w="9508" w:type="dxa"/>
          </w:tcPr>
          <w:p w14:paraId="4B5BF611">
            <w:pPr>
              <w:pStyle w:val="25"/>
              <w:spacing w:before="0" w:beforeAutospacing="0" w:after="0" w:afterAutospacing="0"/>
              <w:ind w:left="0" w:leftChars="0" w:firstLine="0" w:firstLineChars="0"/>
              <w:jc w:val="both"/>
              <w:rPr>
                <w:rFonts w:hint="default" w:ascii="Times New Roman" w:hAnsi="Times New Roman"/>
                <w:b/>
                <w:color w:val="auto"/>
                <w:kern w:val="2"/>
                <w:sz w:val="24"/>
                <w:szCs w:val="24"/>
                <w:highlight w:val="none"/>
                <w:lang w:val="en-US" w:eastAsia="zh-CN"/>
              </w:rPr>
            </w:pPr>
            <w:r>
              <w:rPr>
                <w:rFonts w:hint="eastAsia" w:ascii="Times New Roman" w:hAnsi="Times New Roman"/>
                <w:b/>
                <w:color w:val="auto"/>
                <w:kern w:val="2"/>
                <w:sz w:val="24"/>
                <w:szCs w:val="24"/>
                <w:highlight w:val="none"/>
                <w:lang w:val="en-US" w:eastAsia="zh-CN"/>
              </w:rPr>
              <w:t>5.2  涂料用量核算</w:t>
            </w:r>
          </w:p>
          <w:p w14:paraId="1B26E513">
            <w:pPr>
              <w:pStyle w:val="25"/>
              <w:spacing w:before="0" w:beforeAutospacing="0" w:after="0" w:afterAutospacing="0"/>
              <w:ind w:left="0" w:leftChars="0" w:firstLine="0" w:firstLineChars="0"/>
              <w:jc w:val="both"/>
              <w:rPr>
                <w:rFonts w:hint="default" w:ascii="Times New Roman" w:hAnsi="Times New Roman"/>
                <w:b/>
                <w:color w:val="auto"/>
                <w:kern w:val="2"/>
                <w:sz w:val="24"/>
                <w:szCs w:val="24"/>
                <w:highlight w:val="none"/>
                <w:lang w:val="en-US" w:eastAsia="zh-CN"/>
              </w:rPr>
            </w:pPr>
            <w:r>
              <w:rPr>
                <w:rFonts w:hint="eastAsia" w:ascii="Times New Roman" w:hAnsi="Times New Roman"/>
                <w:b/>
                <w:color w:val="auto"/>
                <w:kern w:val="2"/>
                <w:sz w:val="24"/>
                <w:szCs w:val="24"/>
                <w:highlight w:val="none"/>
                <w:lang w:val="en-US" w:eastAsia="zh-CN"/>
              </w:rPr>
              <w:t>5.2.1电泳漆用量核算</w:t>
            </w:r>
          </w:p>
          <w:p w14:paraId="41FC5AE3">
            <w:pPr>
              <w:adjustRightInd w:val="0"/>
              <w:snapToGrid w:val="0"/>
              <w:spacing w:line="360" w:lineRule="auto"/>
              <w:ind w:firstLine="480" w:firstLineChars="200"/>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电泳涂料</w:t>
            </w:r>
            <w:r>
              <w:rPr>
                <w:rFonts w:hint="default" w:cs="Times New Roman"/>
                <w:bCs/>
                <w:color w:val="auto"/>
                <w:sz w:val="24"/>
                <w:szCs w:val="24"/>
                <w:highlight w:val="none"/>
                <w:lang w:val="en-US" w:eastAsia="zh-CN"/>
              </w:rPr>
              <w:t>参照《汽车工业污染防治可行技术指南》（HJ1181-2021）：表9</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采用电泳超滤技术可使电泳材料利用率达到98%以上</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，保守起见本项目电泳浸涂效率取98%</w:t>
            </w:r>
            <w:r>
              <w:rPr>
                <w:rFonts w:hint="eastAsia" w:cs="Times New Roman"/>
                <w:bCs/>
                <w:color w:val="auto"/>
                <w:sz w:val="24"/>
                <w:szCs w:val="24"/>
                <w:highlight w:val="none"/>
                <w:lang w:val="en-US" w:eastAsia="zh-CN"/>
              </w:rPr>
              <w:t>（其中</w:t>
            </w:r>
            <w:r>
              <w:rPr>
                <w:rFonts w:hint="default" w:cs="Times New Roman"/>
                <w:bCs/>
                <w:color w:val="auto"/>
                <w:sz w:val="24"/>
                <w:szCs w:val="24"/>
                <w:highlight w:val="none"/>
                <w:lang w:val="en-US" w:eastAsia="zh-CN"/>
              </w:rPr>
              <w:t>9</w:t>
            </w:r>
            <w:r>
              <w:rPr>
                <w:rFonts w:hint="eastAsia" w:cs="Times New Roman"/>
                <w:bCs/>
                <w:color w:val="auto"/>
                <w:sz w:val="24"/>
                <w:szCs w:val="24"/>
                <w:highlight w:val="none"/>
                <w:lang w:val="en-US" w:eastAsia="zh-CN"/>
              </w:rPr>
              <w:t>7</w:t>
            </w:r>
            <w:r>
              <w:rPr>
                <w:rFonts w:hint="default" w:cs="Times New Roman"/>
                <w:bCs/>
                <w:color w:val="auto"/>
                <w:sz w:val="24"/>
                <w:szCs w:val="24"/>
                <w:highlight w:val="none"/>
                <w:lang w:val="en-US" w:eastAsia="zh-CN"/>
              </w:rPr>
              <w:t>%的附着在工件表面</w:t>
            </w:r>
            <w:r>
              <w:rPr>
                <w:rFonts w:hint="eastAsia" w:cs="Times New Roman"/>
                <w:bCs/>
                <w:color w:val="auto"/>
                <w:sz w:val="24"/>
                <w:szCs w:val="24"/>
                <w:highlight w:val="none"/>
                <w:lang w:val="en-US" w:eastAsia="zh-CN"/>
              </w:rPr>
              <w:t>，1%附着在挂具上）</w:t>
            </w:r>
            <w:r>
              <w:rPr>
                <w:rFonts w:hint="default" w:cs="Times New Roman"/>
                <w:bCs/>
                <w:color w:val="auto"/>
                <w:sz w:val="24"/>
                <w:szCs w:val="24"/>
                <w:highlight w:val="none"/>
                <w:lang w:val="en-US" w:eastAsia="zh-CN"/>
              </w:rPr>
              <w:t>，</w:t>
            </w:r>
            <w:r>
              <w:rPr>
                <w:rFonts w:hint="eastAsia" w:cs="Times New Roman"/>
                <w:bCs/>
                <w:color w:val="auto"/>
                <w:sz w:val="24"/>
                <w:szCs w:val="24"/>
                <w:highlight w:val="none"/>
                <w:lang w:val="en-US" w:eastAsia="zh-CN"/>
              </w:rPr>
              <w:t>其余约2%的电泳漆部分进入废水，部分形成漆渣</w:t>
            </w:r>
            <w:r>
              <w:rPr>
                <w:rFonts w:hint="default" w:cs="Times New Roman"/>
                <w:bCs/>
                <w:color w:val="auto"/>
                <w:sz w:val="24"/>
                <w:szCs w:val="24"/>
                <w:highlight w:val="none"/>
                <w:lang w:val="en-US" w:eastAsia="zh-CN"/>
              </w:rPr>
              <w:t>。</w:t>
            </w:r>
            <w:r>
              <w:rPr>
                <w:rFonts w:hint="eastAsia" w:cs="Times New Roman"/>
                <w:bCs/>
                <w:color w:val="auto"/>
                <w:sz w:val="24"/>
                <w:szCs w:val="24"/>
                <w:highlight w:val="none"/>
                <w:lang w:val="en-US" w:eastAsia="zh-CN"/>
              </w:rPr>
              <w:t>本项目电泳底漆配置使用比例为电泳漆树脂：电泳漆色浆=4：1，电泳底漆配置前后各组分含量见下表。</w:t>
            </w:r>
          </w:p>
          <w:p w14:paraId="454FAF04">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电泳漆</w:t>
            </w:r>
            <w:r>
              <w:rPr>
                <w:rFonts w:hint="eastAsia" w:cs="Times New Roman"/>
                <w:b/>
                <w:bCs/>
                <w:color w:val="auto"/>
                <w:kern w:val="2"/>
                <w:sz w:val="24"/>
                <w:szCs w:val="24"/>
                <w:highlight w:val="none"/>
                <w:lang w:val="en-US" w:eastAsia="zh-CN" w:bidi="ar"/>
              </w:rPr>
              <w:t>配置前后各组分含量情况表</w:t>
            </w:r>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16"/>
              <w:gridCol w:w="466"/>
              <w:gridCol w:w="1084"/>
              <w:gridCol w:w="933"/>
              <w:gridCol w:w="933"/>
              <w:gridCol w:w="784"/>
              <w:gridCol w:w="1066"/>
              <w:gridCol w:w="917"/>
              <w:gridCol w:w="901"/>
              <w:gridCol w:w="842"/>
            </w:tblGrid>
            <w:tr w14:paraId="12E77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gridSpan w:val="2"/>
                  <w:vMerge w:val="restart"/>
                  <w:noWrap w:val="0"/>
                  <w:vAlign w:val="center"/>
                </w:tcPr>
                <w:p w14:paraId="63B8C8A6">
                  <w:pPr>
                    <w:kinsoku w:val="0"/>
                    <w:autoSpaceDE w:val="0"/>
                    <w:autoSpaceDN w:val="0"/>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cs="Times New Roman"/>
                      <w:b/>
                      <w:color w:val="auto"/>
                      <w:sz w:val="21"/>
                      <w:szCs w:val="21"/>
                      <w:lang w:val="en-US" w:eastAsia="zh-CN"/>
                    </w:rPr>
                    <w:t>种类</w:t>
                  </w:r>
                </w:p>
              </w:tc>
              <w:tc>
                <w:tcPr>
                  <w:tcW w:w="251" w:type="pct"/>
                  <w:vMerge w:val="restart"/>
                  <w:noWrap w:val="0"/>
                  <w:vAlign w:val="center"/>
                </w:tcPr>
                <w:p w14:paraId="30444B96">
                  <w:pPr>
                    <w:snapToGrid w:val="0"/>
                    <w:jc w:val="center"/>
                    <w:rPr>
                      <w:rFonts w:hint="default" w:eastAsia="仿宋" w:cs="Times New Roman"/>
                      <w:b/>
                      <w:bCs/>
                      <w:color w:val="auto"/>
                      <w:sz w:val="21"/>
                      <w:szCs w:val="21"/>
                      <w:lang w:val="en-US" w:eastAsia="zh-CN"/>
                    </w:rPr>
                  </w:pPr>
                  <w:r>
                    <w:rPr>
                      <w:rFonts w:hint="eastAsia" w:eastAsia="仿宋" w:cs="Times New Roman"/>
                      <w:b/>
                      <w:bCs/>
                      <w:color w:val="auto"/>
                      <w:sz w:val="21"/>
                      <w:szCs w:val="21"/>
                      <w:lang w:val="en-US" w:eastAsia="zh-CN"/>
                    </w:rPr>
                    <w:t>配比</w:t>
                  </w:r>
                </w:p>
              </w:tc>
              <w:tc>
                <w:tcPr>
                  <w:tcW w:w="2017" w:type="pct"/>
                  <w:gridSpan w:val="4"/>
                  <w:noWrap w:val="0"/>
                  <w:vAlign w:val="center"/>
                </w:tcPr>
                <w:p w14:paraId="2CF24492">
                  <w:pPr>
                    <w:snapToGrid w:val="0"/>
                    <w:jc w:val="center"/>
                    <w:rPr>
                      <w:rFonts w:hint="default" w:eastAsia="仿宋" w:cs="Times New Roman"/>
                      <w:b/>
                      <w:bCs/>
                      <w:color w:val="auto"/>
                      <w:sz w:val="21"/>
                      <w:szCs w:val="21"/>
                      <w:lang w:val="en-US" w:eastAsia="zh-CN"/>
                    </w:rPr>
                  </w:pPr>
                  <w:r>
                    <w:rPr>
                      <w:rFonts w:hint="eastAsia" w:eastAsia="仿宋" w:cs="Times New Roman"/>
                      <w:b/>
                      <w:bCs/>
                      <w:color w:val="auto"/>
                      <w:sz w:val="21"/>
                      <w:szCs w:val="21"/>
                      <w:lang w:val="en-US" w:eastAsia="zh-CN"/>
                    </w:rPr>
                    <w:t>配比前数据</w:t>
                  </w:r>
                </w:p>
              </w:tc>
              <w:tc>
                <w:tcPr>
                  <w:tcW w:w="2013" w:type="pct"/>
                  <w:gridSpan w:val="4"/>
                  <w:noWrap w:val="0"/>
                  <w:vAlign w:val="center"/>
                </w:tcPr>
                <w:p w14:paraId="66F8A071">
                  <w:pPr>
                    <w:snapToGrid w:val="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配比后数据</w:t>
                  </w:r>
                </w:p>
              </w:tc>
            </w:tr>
            <w:tr w14:paraId="0BF53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gridSpan w:val="2"/>
                  <w:vMerge w:val="continue"/>
                  <w:noWrap w:val="0"/>
                  <w:vAlign w:val="center"/>
                </w:tcPr>
                <w:p w14:paraId="24EC0FDF">
                  <w:pPr>
                    <w:kinsoku w:val="0"/>
                    <w:autoSpaceDE w:val="0"/>
                    <w:autoSpaceDN w:val="0"/>
                    <w:snapToGrid w:val="0"/>
                    <w:jc w:val="center"/>
                    <w:textAlignment w:val="bottom"/>
                    <w:rPr>
                      <w:rFonts w:hint="eastAsia" w:ascii="Times New Roman" w:hAnsi="Times New Roman" w:eastAsia="仿宋" w:cs="Times New Roman"/>
                      <w:color w:val="auto"/>
                      <w:kern w:val="2"/>
                      <w:sz w:val="21"/>
                      <w:szCs w:val="21"/>
                      <w:lang w:val="en-US" w:eastAsia="zh-CN" w:bidi="ar-SA"/>
                    </w:rPr>
                  </w:pPr>
                </w:p>
              </w:tc>
              <w:tc>
                <w:tcPr>
                  <w:tcW w:w="251" w:type="pct"/>
                  <w:vMerge w:val="continue"/>
                  <w:noWrap w:val="0"/>
                  <w:vAlign w:val="center"/>
                </w:tcPr>
                <w:p w14:paraId="54F89604">
                  <w:pPr>
                    <w:snapToGrid w:val="0"/>
                    <w:jc w:val="center"/>
                    <w:rPr>
                      <w:rFonts w:hint="eastAsia" w:eastAsia="仿宋" w:cs="Times New Roman"/>
                      <w:b/>
                      <w:bCs/>
                      <w:color w:val="auto"/>
                      <w:sz w:val="21"/>
                      <w:szCs w:val="21"/>
                      <w:lang w:val="en-US" w:eastAsia="zh-CN"/>
                    </w:rPr>
                  </w:pPr>
                </w:p>
              </w:tc>
              <w:tc>
                <w:tcPr>
                  <w:tcW w:w="585" w:type="pct"/>
                  <w:noWrap w:val="0"/>
                  <w:vAlign w:val="center"/>
                </w:tcPr>
                <w:p w14:paraId="5F0C1CB1">
                  <w:pPr>
                    <w:snapToGrid w:val="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密度</w:t>
                  </w:r>
                </w:p>
                <w:p w14:paraId="42603430">
                  <w:pPr>
                    <w:snapToGrid w:val="0"/>
                    <w:jc w:val="center"/>
                    <w:rPr>
                      <w:rFonts w:hint="default" w:ascii="Times New Roman" w:hAnsi="Times New Roman" w:eastAsia="仿宋" w:cs="Times New Roman"/>
                      <w:b/>
                      <w:bCs/>
                      <w:color w:val="auto"/>
                      <w:sz w:val="21"/>
                      <w:szCs w:val="21"/>
                      <w:lang w:val="en-US" w:eastAsia="zh-CN"/>
                    </w:rPr>
                  </w:pPr>
                  <w:r>
                    <w:rPr>
                      <w:rFonts w:hint="eastAsia" w:eastAsia="仿宋" w:cs="Times New Roman"/>
                      <w:b/>
                      <w:color w:val="auto"/>
                      <w:sz w:val="21"/>
                      <w:szCs w:val="21"/>
                      <w:lang w:val="en-US" w:eastAsia="zh-CN"/>
                    </w:rPr>
                    <w:t>（g/cm</w:t>
                  </w:r>
                  <w:r>
                    <w:rPr>
                      <w:rFonts w:hint="eastAsia" w:eastAsia="仿宋" w:cs="Times New Roman"/>
                      <w:b/>
                      <w:color w:val="auto"/>
                      <w:sz w:val="21"/>
                      <w:szCs w:val="21"/>
                      <w:vertAlign w:val="superscript"/>
                      <w:lang w:val="en-US" w:eastAsia="zh-CN"/>
                    </w:rPr>
                    <w:t>3</w:t>
                  </w:r>
                  <w:r>
                    <w:rPr>
                      <w:rFonts w:hint="eastAsia" w:eastAsia="仿宋" w:cs="Times New Roman"/>
                      <w:b/>
                      <w:color w:val="auto"/>
                      <w:sz w:val="21"/>
                      <w:szCs w:val="21"/>
                      <w:lang w:val="en-US" w:eastAsia="zh-CN"/>
                    </w:rPr>
                    <w:t>）</w:t>
                  </w:r>
                </w:p>
              </w:tc>
              <w:tc>
                <w:tcPr>
                  <w:tcW w:w="504" w:type="pct"/>
                  <w:noWrap w:val="0"/>
                  <w:vAlign w:val="center"/>
                </w:tcPr>
                <w:p w14:paraId="600EA9E7">
                  <w:pPr>
                    <w:snapToGrid w:val="0"/>
                    <w:jc w:val="center"/>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挥发分含量</w:t>
                  </w:r>
                  <w:r>
                    <w:rPr>
                      <w:rFonts w:hint="eastAsia" w:eastAsia="仿宋" w:cs="Times New Roman"/>
                      <w:b/>
                      <w:color w:val="auto"/>
                      <w:sz w:val="21"/>
                      <w:szCs w:val="21"/>
                      <w:lang w:val="en-US" w:eastAsia="zh-CN"/>
                    </w:rPr>
                    <w:t>（%）</w:t>
                  </w:r>
                </w:p>
              </w:tc>
              <w:tc>
                <w:tcPr>
                  <w:tcW w:w="504" w:type="pct"/>
                  <w:noWrap w:val="0"/>
                  <w:vAlign w:val="center"/>
                </w:tcPr>
                <w:p w14:paraId="45601C9F">
                  <w:pPr>
                    <w:snapToGrid w:val="0"/>
                    <w:jc w:val="center"/>
                    <w:rPr>
                      <w:rFonts w:hint="default" w:eastAsia="仿宋" w:cs="Times New Roman"/>
                      <w:b/>
                      <w:bCs/>
                      <w:color w:val="auto"/>
                      <w:sz w:val="21"/>
                      <w:szCs w:val="21"/>
                      <w:lang w:val="en-US" w:eastAsia="zh-CN"/>
                    </w:rPr>
                  </w:pPr>
                  <w:r>
                    <w:rPr>
                      <w:rFonts w:hint="eastAsia" w:eastAsia="仿宋" w:cs="Times New Roman"/>
                      <w:b/>
                      <w:bCs/>
                      <w:color w:val="auto"/>
                      <w:sz w:val="21"/>
                      <w:szCs w:val="21"/>
                      <w:lang w:val="en-US" w:eastAsia="zh-CN"/>
                    </w:rPr>
                    <w:t>固体分含量</w:t>
                  </w:r>
                  <w:r>
                    <w:rPr>
                      <w:rFonts w:hint="eastAsia" w:eastAsia="仿宋" w:cs="Times New Roman"/>
                      <w:b/>
                      <w:color w:val="auto"/>
                      <w:sz w:val="21"/>
                      <w:szCs w:val="21"/>
                      <w:lang w:val="en-US" w:eastAsia="zh-CN"/>
                    </w:rPr>
                    <w:t>（%）</w:t>
                  </w:r>
                </w:p>
              </w:tc>
              <w:tc>
                <w:tcPr>
                  <w:tcW w:w="423" w:type="pct"/>
                  <w:noWrap w:val="0"/>
                  <w:vAlign w:val="center"/>
                </w:tcPr>
                <w:p w14:paraId="588027C6">
                  <w:pPr>
                    <w:snapToGrid w:val="0"/>
                    <w:jc w:val="center"/>
                    <w:rPr>
                      <w:rFonts w:hint="default" w:eastAsia="仿宋" w:cs="Times New Roman"/>
                      <w:b/>
                      <w:bCs/>
                      <w:color w:val="auto"/>
                      <w:sz w:val="21"/>
                      <w:szCs w:val="21"/>
                      <w:lang w:val="en-US" w:eastAsia="zh-CN"/>
                    </w:rPr>
                  </w:pPr>
                  <w:r>
                    <w:rPr>
                      <w:rFonts w:hint="eastAsia" w:eastAsia="仿宋" w:cs="Times New Roman"/>
                      <w:b/>
                      <w:bCs/>
                      <w:color w:val="auto"/>
                      <w:sz w:val="21"/>
                      <w:szCs w:val="21"/>
                      <w:lang w:val="en-US" w:eastAsia="zh-CN"/>
                    </w:rPr>
                    <w:t>水分含量</w:t>
                  </w:r>
                  <w:r>
                    <w:rPr>
                      <w:rFonts w:hint="eastAsia" w:eastAsia="仿宋" w:cs="Times New Roman"/>
                      <w:b/>
                      <w:color w:val="auto"/>
                      <w:sz w:val="21"/>
                      <w:szCs w:val="21"/>
                      <w:lang w:val="en-US" w:eastAsia="zh-CN"/>
                    </w:rPr>
                    <w:t>（%）</w:t>
                  </w:r>
                </w:p>
              </w:tc>
              <w:tc>
                <w:tcPr>
                  <w:tcW w:w="576" w:type="pct"/>
                  <w:shd w:val="clear" w:color="auto" w:fill="auto"/>
                  <w:noWrap w:val="0"/>
                  <w:vAlign w:val="center"/>
                </w:tcPr>
                <w:p w14:paraId="6E8DEA17">
                  <w:pPr>
                    <w:snapToGrid w:val="0"/>
                    <w:jc w:val="center"/>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密度</w:t>
                  </w:r>
                </w:p>
                <w:p w14:paraId="72431B31">
                  <w:pPr>
                    <w:snapToGrid w:val="0"/>
                    <w:jc w:val="center"/>
                    <w:rPr>
                      <w:rFonts w:hint="eastAsia" w:eastAsia="仿宋" w:cs="Times New Roman"/>
                      <w:b/>
                      <w:bCs/>
                      <w:color w:val="auto"/>
                      <w:sz w:val="21"/>
                      <w:szCs w:val="21"/>
                      <w:lang w:val="en-US" w:eastAsia="zh-CN"/>
                    </w:rPr>
                  </w:pPr>
                  <w:r>
                    <w:rPr>
                      <w:rFonts w:hint="eastAsia" w:eastAsia="仿宋" w:cs="Times New Roman"/>
                      <w:b/>
                      <w:color w:val="auto"/>
                      <w:sz w:val="21"/>
                      <w:szCs w:val="21"/>
                      <w:lang w:val="en-US" w:eastAsia="zh-CN"/>
                    </w:rPr>
                    <w:t>（g/cm</w:t>
                  </w:r>
                  <w:r>
                    <w:rPr>
                      <w:rFonts w:hint="eastAsia" w:eastAsia="仿宋" w:cs="Times New Roman"/>
                      <w:b/>
                      <w:color w:val="auto"/>
                      <w:sz w:val="21"/>
                      <w:szCs w:val="21"/>
                      <w:vertAlign w:val="superscript"/>
                      <w:lang w:val="en-US" w:eastAsia="zh-CN"/>
                    </w:rPr>
                    <w:t>3</w:t>
                  </w:r>
                  <w:r>
                    <w:rPr>
                      <w:rFonts w:hint="eastAsia" w:eastAsia="仿宋" w:cs="Times New Roman"/>
                      <w:b/>
                      <w:color w:val="auto"/>
                      <w:sz w:val="21"/>
                      <w:szCs w:val="21"/>
                      <w:lang w:val="en-US" w:eastAsia="zh-CN"/>
                    </w:rPr>
                    <w:t>）</w:t>
                  </w:r>
                </w:p>
              </w:tc>
              <w:tc>
                <w:tcPr>
                  <w:tcW w:w="495" w:type="pct"/>
                  <w:shd w:val="clear" w:color="auto" w:fill="auto"/>
                  <w:noWrap w:val="0"/>
                  <w:vAlign w:val="center"/>
                </w:tcPr>
                <w:p w14:paraId="3BD0796D">
                  <w:pPr>
                    <w:snapToGrid w:val="0"/>
                    <w:jc w:val="center"/>
                    <w:rPr>
                      <w:rFonts w:hint="eastAsia" w:ascii="Times New Roman" w:hAnsi="Times New Roman" w:eastAsia="仿宋" w:cs="Times New Roman"/>
                      <w:b/>
                      <w:bCs/>
                      <w:color w:val="auto"/>
                      <w:kern w:val="2"/>
                      <w:sz w:val="21"/>
                      <w:szCs w:val="21"/>
                      <w:lang w:val="en-US" w:eastAsia="zh-CN" w:bidi="ar-SA"/>
                    </w:rPr>
                  </w:pPr>
                  <w:r>
                    <w:rPr>
                      <w:rFonts w:hint="eastAsia" w:eastAsia="仿宋" w:cs="Times New Roman"/>
                      <w:b/>
                      <w:bCs/>
                      <w:color w:val="auto"/>
                      <w:sz w:val="21"/>
                      <w:szCs w:val="21"/>
                      <w:lang w:val="en-US" w:eastAsia="zh-CN"/>
                    </w:rPr>
                    <w:t>挥发分含量</w:t>
                  </w:r>
                  <w:r>
                    <w:rPr>
                      <w:rFonts w:hint="eastAsia" w:eastAsia="仿宋" w:cs="Times New Roman"/>
                      <w:b/>
                      <w:color w:val="auto"/>
                      <w:sz w:val="21"/>
                      <w:szCs w:val="21"/>
                      <w:lang w:val="en-US" w:eastAsia="zh-CN"/>
                    </w:rPr>
                    <w:t>（%）</w:t>
                  </w:r>
                </w:p>
              </w:tc>
              <w:tc>
                <w:tcPr>
                  <w:tcW w:w="486" w:type="pct"/>
                  <w:shd w:val="clear" w:color="auto" w:fill="auto"/>
                  <w:noWrap w:val="0"/>
                  <w:vAlign w:val="center"/>
                </w:tcPr>
                <w:p w14:paraId="0DA3196E">
                  <w:pPr>
                    <w:snapToGrid w:val="0"/>
                    <w:jc w:val="center"/>
                    <w:rPr>
                      <w:rFonts w:hint="eastAsia" w:ascii="Times New Roman" w:hAnsi="Times New Roman" w:eastAsia="仿宋" w:cs="Times New Roman"/>
                      <w:b/>
                      <w:bCs/>
                      <w:color w:val="auto"/>
                      <w:kern w:val="2"/>
                      <w:sz w:val="21"/>
                      <w:szCs w:val="21"/>
                      <w:lang w:val="en-US" w:eastAsia="zh-CN" w:bidi="ar-SA"/>
                    </w:rPr>
                  </w:pPr>
                  <w:r>
                    <w:rPr>
                      <w:rFonts w:hint="eastAsia" w:eastAsia="仿宋" w:cs="Times New Roman"/>
                      <w:b/>
                      <w:bCs/>
                      <w:color w:val="auto"/>
                      <w:sz w:val="21"/>
                      <w:szCs w:val="21"/>
                      <w:lang w:val="en-US" w:eastAsia="zh-CN"/>
                    </w:rPr>
                    <w:t>固体分含量</w:t>
                  </w:r>
                  <w:r>
                    <w:rPr>
                      <w:rFonts w:hint="eastAsia" w:eastAsia="仿宋" w:cs="Times New Roman"/>
                      <w:b/>
                      <w:color w:val="auto"/>
                      <w:sz w:val="21"/>
                      <w:szCs w:val="21"/>
                      <w:lang w:val="en-US" w:eastAsia="zh-CN"/>
                    </w:rPr>
                    <w:t>（%）</w:t>
                  </w:r>
                </w:p>
              </w:tc>
              <w:tc>
                <w:tcPr>
                  <w:tcW w:w="454" w:type="pct"/>
                  <w:shd w:val="clear" w:color="auto" w:fill="auto"/>
                  <w:noWrap w:val="0"/>
                  <w:vAlign w:val="center"/>
                </w:tcPr>
                <w:p w14:paraId="2C4EA5BF">
                  <w:pPr>
                    <w:snapToGrid w:val="0"/>
                    <w:jc w:val="center"/>
                    <w:rPr>
                      <w:rFonts w:hint="eastAsia" w:ascii="Times New Roman" w:hAnsi="Times New Roman" w:eastAsia="仿宋" w:cs="Times New Roman"/>
                      <w:b/>
                      <w:bCs/>
                      <w:color w:val="auto"/>
                      <w:kern w:val="2"/>
                      <w:sz w:val="21"/>
                      <w:szCs w:val="21"/>
                      <w:lang w:val="en-US" w:eastAsia="zh-CN" w:bidi="ar-SA"/>
                    </w:rPr>
                  </w:pPr>
                  <w:r>
                    <w:rPr>
                      <w:rFonts w:hint="eastAsia" w:eastAsia="仿宋" w:cs="Times New Roman"/>
                      <w:b/>
                      <w:bCs/>
                      <w:color w:val="auto"/>
                      <w:sz w:val="21"/>
                      <w:szCs w:val="21"/>
                      <w:lang w:val="en-US" w:eastAsia="zh-CN"/>
                    </w:rPr>
                    <w:t>水分含量</w:t>
                  </w:r>
                  <w:r>
                    <w:rPr>
                      <w:rFonts w:hint="eastAsia" w:eastAsia="仿宋" w:cs="Times New Roman"/>
                      <w:b/>
                      <w:color w:val="auto"/>
                      <w:sz w:val="21"/>
                      <w:szCs w:val="21"/>
                      <w:lang w:val="en-US" w:eastAsia="zh-CN"/>
                    </w:rPr>
                    <w:t>（%）</w:t>
                  </w:r>
                </w:p>
              </w:tc>
            </w:tr>
            <w:tr w14:paraId="15BCF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noWrap w:val="0"/>
                  <w:vAlign w:val="center"/>
                </w:tcPr>
                <w:p w14:paraId="0339F2DC">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电泳底漆</w:t>
                  </w:r>
                </w:p>
              </w:tc>
              <w:tc>
                <w:tcPr>
                  <w:tcW w:w="494" w:type="pct"/>
                  <w:shd w:val="clear" w:color="auto" w:fill="auto"/>
                  <w:noWrap w:val="0"/>
                  <w:vAlign w:val="center"/>
                </w:tcPr>
                <w:p w14:paraId="2314DF8B">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电泳漆树脂</w:t>
                  </w:r>
                </w:p>
              </w:tc>
              <w:tc>
                <w:tcPr>
                  <w:tcW w:w="251" w:type="pct"/>
                  <w:noWrap w:val="0"/>
                  <w:vAlign w:val="center"/>
                </w:tcPr>
                <w:p w14:paraId="2FAACB97">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4</w:t>
                  </w:r>
                </w:p>
              </w:tc>
              <w:tc>
                <w:tcPr>
                  <w:tcW w:w="585" w:type="pct"/>
                  <w:noWrap w:val="0"/>
                  <w:vAlign w:val="center"/>
                </w:tcPr>
                <w:p w14:paraId="109085A2">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1.05</w:t>
                  </w:r>
                </w:p>
              </w:tc>
              <w:tc>
                <w:tcPr>
                  <w:tcW w:w="504" w:type="pct"/>
                  <w:noWrap w:val="0"/>
                  <w:vAlign w:val="center"/>
                </w:tcPr>
                <w:p w14:paraId="0653271B">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21.7</w:t>
                  </w:r>
                </w:p>
              </w:tc>
              <w:tc>
                <w:tcPr>
                  <w:tcW w:w="504" w:type="pct"/>
                  <w:noWrap w:val="0"/>
                  <w:vAlign w:val="center"/>
                </w:tcPr>
                <w:p w14:paraId="019AF37B">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58.3</w:t>
                  </w:r>
                </w:p>
              </w:tc>
              <w:tc>
                <w:tcPr>
                  <w:tcW w:w="423" w:type="pct"/>
                  <w:noWrap w:val="0"/>
                  <w:vAlign w:val="center"/>
                </w:tcPr>
                <w:p w14:paraId="2DAB4D7F">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20</w:t>
                  </w:r>
                </w:p>
              </w:tc>
              <w:tc>
                <w:tcPr>
                  <w:tcW w:w="576" w:type="pct"/>
                  <w:vMerge w:val="restart"/>
                  <w:noWrap w:val="0"/>
                  <w:vAlign w:val="center"/>
                </w:tcPr>
                <w:p w14:paraId="1B1D4E79">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1.084</w:t>
                  </w:r>
                </w:p>
              </w:tc>
              <w:tc>
                <w:tcPr>
                  <w:tcW w:w="495" w:type="pct"/>
                  <w:vMerge w:val="restart"/>
                  <w:noWrap w:val="0"/>
                  <w:vAlign w:val="center"/>
                </w:tcPr>
                <w:p w14:paraId="0064BAA9">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17.46</w:t>
                  </w:r>
                </w:p>
              </w:tc>
              <w:tc>
                <w:tcPr>
                  <w:tcW w:w="486" w:type="pct"/>
                  <w:vMerge w:val="restart"/>
                  <w:noWrap w:val="0"/>
                  <w:vAlign w:val="center"/>
                </w:tcPr>
                <w:p w14:paraId="59E58884">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50.64</w:t>
                  </w:r>
                </w:p>
              </w:tc>
              <w:tc>
                <w:tcPr>
                  <w:tcW w:w="454" w:type="pct"/>
                  <w:vMerge w:val="restart"/>
                  <w:noWrap w:val="0"/>
                  <w:vAlign w:val="center"/>
                </w:tcPr>
                <w:p w14:paraId="6424B9D9">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31.9</w:t>
                  </w:r>
                </w:p>
              </w:tc>
            </w:tr>
            <w:tr w14:paraId="7BC9F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noWrap w:val="0"/>
                  <w:vAlign w:val="center"/>
                </w:tcPr>
                <w:p w14:paraId="262294A9">
                  <w:pPr>
                    <w:snapToGrid w:val="0"/>
                    <w:jc w:val="center"/>
                    <w:rPr>
                      <w:rFonts w:hint="default" w:eastAsia="仿宋" w:cs="Times New Roman"/>
                      <w:color w:val="auto"/>
                      <w:sz w:val="21"/>
                      <w:szCs w:val="21"/>
                      <w:lang w:val="en-US" w:eastAsia="zh-CN"/>
                    </w:rPr>
                  </w:pPr>
                </w:p>
              </w:tc>
              <w:tc>
                <w:tcPr>
                  <w:tcW w:w="494" w:type="pct"/>
                  <w:shd w:val="clear" w:color="auto" w:fill="auto"/>
                  <w:noWrap w:val="0"/>
                  <w:vAlign w:val="center"/>
                </w:tcPr>
                <w:p w14:paraId="6181303E">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电泳漆色浆</w:t>
                  </w:r>
                </w:p>
              </w:tc>
              <w:tc>
                <w:tcPr>
                  <w:tcW w:w="251" w:type="pct"/>
                  <w:noWrap w:val="0"/>
                  <w:vAlign w:val="center"/>
                </w:tcPr>
                <w:p w14:paraId="2DE42311">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585" w:type="pct"/>
                  <w:noWrap w:val="0"/>
                  <w:vAlign w:val="center"/>
                </w:tcPr>
                <w:p w14:paraId="490C7CD9">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1.22</w:t>
                  </w:r>
                </w:p>
              </w:tc>
              <w:tc>
                <w:tcPr>
                  <w:tcW w:w="504" w:type="pct"/>
                  <w:noWrap w:val="0"/>
                  <w:vAlign w:val="center"/>
                </w:tcPr>
                <w:p w14:paraId="501151B2">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504" w:type="pct"/>
                  <w:noWrap w:val="0"/>
                  <w:vAlign w:val="center"/>
                </w:tcPr>
                <w:p w14:paraId="5BAD0940">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20</w:t>
                  </w:r>
                </w:p>
              </w:tc>
              <w:tc>
                <w:tcPr>
                  <w:tcW w:w="423" w:type="pct"/>
                  <w:noWrap w:val="0"/>
                  <w:vAlign w:val="center"/>
                </w:tcPr>
                <w:p w14:paraId="1553E25D">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79.5</w:t>
                  </w:r>
                </w:p>
              </w:tc>
              <w:tc>
                <w:tcPr>
                  <w:tcW w:w="576" w:type="pct"/>
                  <w:vMerge w:val="continue"/>
                  <w:noWrap w:val="0"/>
                  <w:vAlign w:val="center"/>
                </w:tcPr>
                <w:p w14:paraId="644FF880">
                  <w:pPr>
                    <w:snapToGrid w:val="0"/>
                    <w:jc w:val="center"/>
                    <w:rPr>
                      <w:rFonts w:hint="eastAsia" w:eastAsia="仿宋" w:cs="Times New Roman"/>
                      <w:color w:val="auto"/>
                      <w:sz w:val="21"/>
                      <w:szCs w:val="21"/>
                      <w:lang w:val="en-US" w:eastAsia="zh-CN"/>
                    </w:rPr>
                  </w:pPr>
                </w:p>
              </w:tc>
              <w:tc>
                <w:tcPr>
                  <w:tcW w:w="495" w:type="pct"/>
                  <w:vMerge w:val="continue"/>
                  <w:noWrap w:val="0"/>
                  <w:vAlign w:val="center"/>
                </w:tcPr>
                <w:p w14:paraId="790757B7">
                  <w:pPr>
                    <w:snapToGrid w:val="0"/>
                    <w:jc w:val="center"/>
                    <w:rPr>
                      <w:rFonts w:hint="eastAsia" w:eastAsia="仿宋" w:cs="Times New Roman"/>
                      <w:color w:val="auto"/>
                      <w:sz w:val="21"/>
                      <w:szCs w:val="21"/>
                      <w:lang w:val="en-US" w:eastAsia="zh-CN"/>
                    </w:rPr>
                  </w:pPr>
                </w:p>
              </w:tc>
              <w:tc>
                <w:tcPr>
                  <w:tcW w:w="486" w:type="pct"/>
                  <w:vMerge w:val="continue"/>
                  <w:noWrap w:val="0"/>
                  <w:vAlign w:val="center"/>
                </w:tcPr>
                <w:p w14:paraId="01E0C25E">
                  <w:pPr>
                    <w:snapToGrid w:val="0"/>
                    <w:jc w:val="center"/>
                    <w:rPr>
                      <w:rFonts w:hint="eastAsia" w:eastAsia="仿宋" w:cs="Times New Roman"/>
                      <w:color w:val="auto"/>
                      <w:sz w:val="21"/>
                      <w:szCs w:val="21"/>
                      <w:lang w:val="en-US" w:eastAsia="zh-CN"/>
                    </w:rPr>
                  </w:pPr>
                </w:p>
              </w:tc>
              <w:tc>
                <w:tcPr>
                  <w:tcW w:w="454" w:type="pct"/>
                  <w:vMerge w:val="continue"/>
                  <w:noWrap w:val="0"/>
                  <w:vAlign w:val="center"/>
                </w:tcPr>
                <w:p w14:paraId="1A593EF5">
                  <w:pPr>
                    <w:snapToGrid w:val="0"/>
                    <w:jc w:val="center"/>
                    <w:rPr>
                      <w:rFonts w:hint="eastAsia" w:eastAsia="仿宋" w:cs="Times New Roman"/>
                      <w:color w:val="auto"/>
                      <w:sz w:val="21"/>
                      <w:szCs w:val="21"/>
                      <w:lang w:val="en-US" w:eastAsia="zh-CN"/>
                    </w:rPr>
                  </w:pPr>
                </w:p>
              </w:tc>
            </w:tr>
            <w:tr w14:paraId="1ED70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1"/>
                  <w:noWrap w:val="0"/>
                  <w:vAlign w:val="center"/>
                </w:tcPr>
                <w:p w14:paraId="0481C94A">
                  <w:pPr>
                    <w:snapToGrid w:val="0"/>
                    <w:jc w:val="both"/>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注：按照文件要求，水性漆不考虑水的稀释比例。</w:t>
                  </w:r>
                </w:p>
              </w:tc>
            </w:tr>
          </w:tbl>
          <w:p w14:paraId="076F844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电泳漆用量核算表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940"/>
              <w:gridCol w:w="683"/>
              <w:gridCol w:w="833"/>
              <w:gridCol w:w="950"/>
              <w:gridCol w:w="1017"/>
              <w:gridCol w:w="967"/>
              <w:gridCol w:w="1533"/>
              <w:gridCol w:w="1294"/>
            </w:tblGrid>
            <w:tr w14:paraId="3846F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60" w:type="pct"/>
                  <w:vMerge w:val="restart"/>
                  <w:noWrap w:val="0"/>
                  <w:vAlign w:val="center"/>
                </w:tcPr>
                <w:p w14:paraId="112BEE96">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生产线</w:t>
                  </w:r>
                </w:p>
              </w:tc>
              <w:tc>
                <w:tcPr>
                  <w:tcW w:w="507" w:type="pct"/>
                  <w:vMerge w:val="restart"/>
                  <w:noWrap w:val="0"/>
                  <w:vAlign w:val="center"/>
                </w:tcPr>
                <w:p w14:paraId="25255DE9">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总涂装面积/m</w:t>
                  </w:r>
                  <w:r>
                    <w:rPr>
                      <w:rFonts w:hint="eastAsia" w:eastAsia="仿宋" w:cs="Times New Roman"/>
                      <w:b/>
                      <w:color w:val="auto"/>
                      <w:sz w:val="21"/>
                      <w:szCs w:val="21"/>
                      <w:vertAlign w:val="superscript"/>
                      <w:lang w:val="en-US" w:eastAsia="zh-CN"/>
                    </w:rPr>
                    <w:t>2</w:t>
                  </w:r>
                </w:p>
              </w:tc>
              <w:tc>
                <w:tcPr>
                  <w:tcW w:w="368" w:type="pct"/>
                  <w:vMerge w:val="restart"/>
                  <w:noWrap w:val="0"/>
                  <w:vAlign w:val="center"/>
                </w:tcPr>
                <w:p w14:paraId="41A4FF19">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厚度/</w:t>
                  </w:r>
                  <w:r>
                    <w:rPr>
                      <w:rFonts w:hint="default" w:ascii="Times New Roman" w:hAnsi="Times New Roman" w:eastAsia="仿宋" w:cs="Times New Roman"/>
                      <w:b/>
                      <w:color w:val="auto"/>
                      <w:sz w:val="21"/>
                      <w:szCs w:val="21"/>
                      <w:lang w:val="en-US" w:eastAsia="zh-CN"/>
                    </w:rPr>
                    <w:t>μm</w:t>
                  </w:r>
                </w:p>
              </w:tc>
              <w:tc>
                <w:tcPr>
                  <w:tcW w:w="450" w:type="pct"/>
                  <w:vMerge w:val="restart"/>
                  <w:noWrap w:val="0"/>
                  <w:vAlign w:val="center"/>
                </w:tcPr>
                <w:p w14:paraId="03B186A6">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密度/g/cm</w:t>
                  </w:r>
                  <w:r>
                    <w:rPr>
                      <w:rFonts w:hint="eastAsia" w:eastAsia="仿宋" w:cs="Times New Roman"/>
                      <w:b/>
                      <w:color w:val="auto"/>
                      <w:sz w:val="21"/>
                      <w:szCs w:val="21"/>
                      <w:vertAlign w:val="superscript"/>
                      <w:lang w:val="en-US" w:eastAsia="zh-CN"/>
                    </w:rPr>
                    <w:t>3</w:t>
                  </w:r>
                </w:p>
              </w:tc>
              <w:tc>
                <w:tcPr>
                  <w:tcW w:w="513" w:type="pct"/>
                  <w:vMerge w:val="restart"/>
                  <w:noWrap w:val="0"/>
                  <w:vAlign w:val="center"/>
                </w:tcPr>
                <w:p w14:paraId="33BFD325">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固体附着率/%</w:t>
                  </w:r>
                </w:p>
              </w:tc>
              <w:tc>
                <w:tcPr>
                  <w:tcW w:w="549" w:type="pct"/>
                  <w:vMerge w:val="restart"/>
                  <w:noWrap w:val="0"/>
                  <w:vAlign w:val="center"/>
                </w:tcPr>
                <w:p w14:paraId="2A34FC00">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固体分比例/%</w:t>
                  </w:r>
                </w:p>
              </w:tc>
              <w:tc>
                <w:tcPr>
                  <w:tcW w:w="522" w:type="pct"/>
                  <w:vMerge w:val="restart"/>
                  <w:noWrap w:val="0"/>
                  <w:vAlign w:val="center"/>
                </w:tcPr>
                <w:p w14:paraId="0AF44B31">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总用漆量/t/a</w:t>
                  </w:r>
                </w:p>
              </w:tc>
              <w:tc>
                <w:tcPr>
                  <w:tcW w:w="1527" w:type="pct"/>
                  <w:gridSpan w:val="2"/>
                  <w:noWrap w:val="0"/>
                  <w:vAlign w:val="center"/>
                </w:tcPr>
                <w:p w14:paraId="703A09AF">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本项目设计用漆量/t/a</w:t>
                  </w:r>
                </w:p>
              </w:tc>
            </w:tr>
            <w:tr w14:paraId="77BB3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60" w:type="pct"/>
                  <w:vMerge w:val="continue"/>
                  <w:noWrap w:val="0"/>
                  <w:vAlign w:val="center"/>
                </w:tcPr>
                <w:p w14:paraId="352B9A8F">
                  <w:pPr>
                    <w:kinsoku w:val="0"/>
                    <w:autoSpaceDE w:val="0"/>
                    <w:autoSpaceDN w:val="0"/>
                    <w:snapToGrid w:val="0"/>
                    <w:jc w:val="center"/>
                    <w:textAlignment w:val="bottom"/>
                    <w:rPr>
                      <w:color w:val="auto"/>
                    </w:rPr>
                  </w:pPr>
                </w:p>
              </w:tc>
              <w:tc>
                <w:tcPr>
                  <w:tcW w:w="507" w:type="pct"/>
                  <w:vMerge w:val="continue"/>
                  <w:noWrap w:val="0"/>
                  <w:vAlign w:val="center"/>
                </w:tcPr>
                <w:p w14:paraId="3E02DE0B">
                  <w:pPr>
                    <w:kinsoku w:val="0"/>
                    <w:autoSpaceDE w:val="0"/>
                    <w:autoSpaceDN w:val="0"/>
                    <w:snapToGrid w:val="0"/>
                    <w:jc w:val="center"/>
                    <w:textAlignment w:val="bottom"/>
                    <w:rPr>
                      <w:color w:val="auto"/>
                    </w:rPr>
                  </w:pPr>
                </w:p>
              </w:tc>
              <w:tc>
                <w:tcPr>
                  <w:tcW w:w="368" w:type="pct"/>
                  <w:vMerge w:val="continue"/>
                  <w:noWrap w:val="0"/>
                  <w:vAlign w:val="center"/>
                </w:tcPr>
                <w:p w14:paraId="34533228">
                  <w:pPr>
                    <w:kinsoku w:val="0"/>
                    <w:autoSpaceDE w:val="0"/>
                    <w:autoSpaceDN w:val="0"/>
                    <w:snapToGrid w:val="0"/>
                    <w:jc w:val="center"/>
                    <w:textAlignment w:val="bottom"/>
                    <w:rPr>
                      <w:color w:val="auto"/>
                    </w:rPr>
                  </w:pPr>
                </w:p>
              </w:tc>
              <w:tc>
                <w:tcPr>
                  <w:tcW w:w="450" w:type="pct"/>
                  <w:vMerge w:val="continue"/>
                  <w:noWrap w:val="0"/>
                  <w:vAlign w:val="center"/>
                </w:tcPr>
                <w:p w14:paraId="5334F1F9">
                  <w:pPr>
                    <w:kinsoku w:val="0"/>
                    <w:autoSpaceDE w:val="0"/>
                    <w:autoSpaceDN w:val="0"/>
                    <w:snapToGrid w:val="0"/>
                    <w:jc w:val="center"/>
                    <w:textAlignment w:val="bottom"/>
                    <w:rPr>
                      <w:color w:val="auto"/>
                    </w:rPr>
                  </w:pPr>
                </w:p>
              </w:tc>
              <w:tc>
                <w:tcPr>
                  <w:tcW w:w="513" w:type="pct"/>
                  <w:vMerge w:val="continue"/>
                  <w:noWrap w:val="0"/>
                  <w:vAlign w:val="center"/>
                </w:tcPr>
                <w:p w14:paraId="2220AAA5">
                  <w:pPr>
                    <w:kinsoku w:val="0"/>
                    <w:autoSpaceDE w:val="0"/>
                    <w:autoSpaceDN w:val="0"/>
                    <w:snapToGrid w:val="0"/>
                    <w:jc w:val="center"/>
                    <w:textAlignment w:val="bottom"/>
                    <w:rPr>
                      <w:color w:val="auto"/>
                    </w:rPr>
                  </w:pPr>
                </w:p>
              </w:tc>
              <w:tc>
                <w:tcPr>
                  <w:tcW w:w="549" w:type="pct"/>
                  <w:vMerge w:val="continue"/>
                  <w:noWrap w:val="0"/>
                  <w:vAlign w:val="center"/>
                </w:tcPr>
                <w:p w14:paraId="77CC51F1">
                  <w:pPr>
                    <w:kinsoku w:val="0"/>
                    <w:autoSpaceDE w:val="0"/>
                    <w:autoSpaceDN w:val="0"/>
                    <w:snapToGrid w:val="0"/>
                    <w:jc w:val="center"/>
                    <w:textAlignment w:val="bottom"/>
                    <w:rPr>
                      <w:color w:val="auto"/>
                    </w:rPr>
                  </w:pPr>
                </w:p>
              </w:tc>
              <w:tc>
                <w:tcPr>
                  <w:tcW w:w="522" w:type="pct"/>
                  <w:vMerge w:val="continue"/>
                  <w:noWrap w:val="0"/>
                  <w:vAlign w:val="center"/>
                </w:tcPr>
                <w:p w14:paraId="4D4A614B">
                  <w:pPr>
                    <w:kinsoku w:val="0"/>
                    <w:autoSpaceDE w:val="0"/>
                    <w:autoSpaceDN w:val="0"/>
                    <w:snapToGrid w:val="0"/>
                    <w:jc w:val="center"/>
                    <w:textAlignment w:val="bottom"/>
                    <w:rPr>
                      <w:color w:val="auto"/>
                    </w:rPr>
                  </w:pPr>
                </w:p>
              </w:tc>
              <w:tc>
                <w:tcPr>
                  <w:tcW w:w="828" w:type="pct"/>
                  <w:noWrap w:val="0"/>
                  <w:vAlign w:val="center"/>
                </w:tcPr>
                <w:p w14:paraId="6B4DAD14">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电泳漆树脂</w:t>
                  </w:r>
                </w:p>
              </w:tc>
              <w:tc>
                <w:tcPr>
                  <w:tcW w:w="699" w:type="pct"/>
                  <w:noWrap w:val="0"/>
                  <w:vAlign w:val="center"/>
                </w:tcPr>
                <w:p w14:paraId="1C99C156">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电泳漆色浆</w:t>
                  </w:r>
                </w:p>
              </w:tc>
            </w:tr>
            <w:tr w14:paraId="364DD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2A0DB2A1">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电泳1线</w:t>
                  </w:r>
                </w:p>
              </w:tc>
              <w:tc>
                <w:tcPr>
                  <w:tcW w:w="507" w:type="pct"/>
                  <w:noWrap w:val="0"/>
                  <w:vAlign w:val="center"/>
                </w:tcPr>
                <w:p w14:paraId="2DC4E091">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58104</w:t>
                  </w:r>
                </w:p>
              </w:tc>
              <w:tc>
                <w:tcPr>
                  <w:tcW w:w="368" w:type="pct"/>
                  <w:noWrap w:val="0"/>
                  <w:vAlign w:val="center"/>
                </w:tcPr>
                <w:p w14:paraId="581D9732">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45</w:t>
                  </w:r>
                </w:p>
              </w:tc>
              <w:tc>
                <w:tcPr>
                  <w:tcW w:w="450" w:type="pct"/>
                  <w:noWrap w:val="0"/>
                  <w:vAlign w:val="center"/>
                </w:tcPr>
                <w:p w14:paraId="3E796EFD">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1.084</w:t>
                  </w:r>
                </w:p>
              </w:tc>
              <w:tc>
                <w:tcPr>
                  <w:tcW w:w="513" w:type="pct"/>
                  <w:noWrap w:val="0"/>
                  <w:vAlign w:val="center"/>
                </w:tcPr>
                <w:p w14:paraId="4BBA8AA4">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98</w:t>
                  </w:r>
                </w:p>
              </w:tc>
              <w:tc>
                <w:tcPr>
                  <w:tcW w:w="549" w:type="pct"/>
                  <w:noWrap w:val="0"/>
                  <w:vAlign w:val="center"/>
                </w:tcPr>
                <w:p w14:paraId="5CF9B82A">
                  <w:pPr>
                    <w:keepNext w:val="0"/>
                    <w:keepLines w:val="0"/>
                    <w:widowControl/>
                    <w:suppressLineNumbers w:val="0"/>
                    <w:jc w:val="center"/>
                    <w:textAlignment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50.64</w:t>
                  </w:r>
                </w:p>
              </w:tc>
              <w:tc>
                <w:tcPr>
                  <w:tcW w:w="522" w:type="pct"/>
                  <w:noWrap w:val="0"/>
                  <w:vAlign w:val="center"/>
                </w:tcPr>
                <w:p w14:paraId="0A299DEB">
                  <w:pPr>
                    <w:keepNext w:val="0"/>
                    <w:keepLines w:val="0"/>
                    <w:widowControl/>
                    <w:suppressLineNumbers w:val="0"/>
                    <w:jc w:val="center"/>
                    <w:textAlignment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5.71</w:t>
                  </w:r>
                </w:p>
              </w:tc>
              <w:tc>
                <w:tcPr>
                  <w:tcW w:w="828" w:type="pct"/>
                  <w:vMerge w:val="restart"/>
                  <w:noWrap w:val="0"/>
                  <w:vAlign w:val="center"/>
                </w:tcPr>
                <w:p w14:paraId="5C509941">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9.6</w:t>
                  </w:r>
                </w:p>
              </w:tc>
              <w:tc>
                <w:tcPr>
                  <w:tcW w:w="699" w:type="pct"/>
                  <w:vMerge w:val="restart"/>
                  <w:noWrap w:val="0"/>
                  <w:vAlign w:val="center"/>
                </w:tcPr>
                <w:p w14:paraId="2786E207">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2.4</w:t>
                  </w:r>
                </w:p>
              </w:tc>
            </w:tr>
            <w:tr w14:paraId="72909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41893ED4">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电泳2线</w:t>
                  </w:r>
                </w:p>
              </w:tc>
              <w:tc>
                <w:tcPr>
                  <w:tcW w:w="507" w:type="pct"/>
                  <w:noWrap w:val="0"/>
                  <w:vAlign w:val="center"/>
                </w:tcPr>
                <w:p w14:paraId="5E5A5E77">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58104</w:t>
                  </w:r>
                </w:p>
              </w:tc>
              <w:tc>
                <w:tcPr>
                  <w:tcW w:w="368" w:type="pct"/>
                  <w:noWrap w:val="0"/>
                  <w:vAlign w:val="center"/>
                </w:tcPr>
                <w:p w14:paraId="6496AD65">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45</w:t>
                  </w:r>
                </w:p>
              </w:tc>
              <w:tc>
                <w:tcPr>
                  <w:tcW w:w="450" w:type="pct"/>
                  <w:noWrap w:val="0"/>
                  <w:vAlign w:val="center"/>
                </w:tcPr>
                <w:p w14:paraId="16FEDBF8">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1.084</w:t>
                  </w:r>
                </w:p>
              </w:tc>
              <w:tc>
                <w:tcPr>
                  <w:tcW w:w="513" w:type="pct"/>
                  <w:noWrap w:val="0"/>
                  <w:vAlign w:val="center"/>
                </w:tcPr>
                <w:p w14:paraId="06FD6090">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98</w:t>
                  </w:r>
                </w:p>
              </w:tc>
              <w:tc>
                <w:tcPr>
                  <w:tcW w:w="549" w:type="pct"/>
                  <w:noWrap w:val="0"/>
                  <w:vAlign w:val="center"/>
                </w:tcPr>
                <w:p w14:paraId="00129522">
                  <w:pPr>
                    <w:keepNext w:val="0"/>
                    <w:keepLines w:val="0"/>
                    <w:widowControl/>
                    <w:suppressLineNumbers w:val="0"/>
                    <w:jc w:val="center"/>
                    <w:textAlignment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50.64</w:t>
                  </w:r>
                </w:p>
              </w:tc>
              <w:tc>
                <w:tcPr>
                  <w:tcW w:w="522" w:type="pct"/>
                  <w:noWrap w:val="0"/>
                  <w:vAlign w:val="center"/>
                </w:tcPr>
                <w:p w14:paraId="0690765C">
                  <w:pPr>
                    <w:keepNext w:val="0"/>
                    <w:keepLines w:val="0"/>
                    <w:widowControl/>
                    <w:suppressLineNumbers w:val="0"/>
                    <w:jc w:val="center"/>
                    <w:textAlignment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5.71</w:t>
                  </w:r>
                </w:p>
              </w:tc>
              <w:tc>
                <w:tcPr>
                  <w:tcW w:w="828" w:type="pct"/>
                  <w:vMerge w:val="continue"/>
                  <w:noWrap w:val="0"/>
                  <w:vAlign w:val="center"/>
                </w:tcPr>
                <w:p w14:paraId="6CAEE148">
                  <w:pPr>
                    <w:snapToGrid w:val="0"/>
                    <w:jc w:val="center"/>
                    <w:rPr>
                      <w:rFonts w:hint="default" w:ascii="Times New Roman" w:hAnsi="Times New Roman" w:eastAsia="仿宋" w:cs="Times New Roman"/>
                      <w:color w:val="auto"/>
                      <w:sz w:val="21"/>
                      <w:szCs w:val="21"/>
                      <w:lang w:val="en-US" w:eastAsia="zh-CN"/>
                    </w:rPr>
                  </w:pPr>
                </w:p>
              </w:tc>
              <w:tc>
                <w:tcPr>
                  <w:tcW w:w="699" w:type="pct"/>
                  <w:vMerge w:val="continue"/>
                  <w:noWrap w:val="0"/>
                  <w:vAlign w:val="center"/>
                </w:tcPr>
                <w:p w14:paraId="26BD6A0B">
                  <w:pPr>
                    <w:snapToGrid w:val="0"/>
                    <w:jc w:val="center"/>
                    <w:rPr>
                      <w:rFonts w:hint="default" w:ascii="Times New Roman" w:hAnsi="Times New Roman" w:eastAsia="仿宋" w:cs="Times New Roman"/>
                      <w:color w:val="auto"/>
                      <w:sz w:val="21"/>
                      <w:szCs w:val="21"/>
                      <w:lang w:val="en-US" w:eastAsia="zh-CN"/>
                    </w:rPr>
                  </w:pPr>
                </w:p>
              </w:tc>
            </w:tr>
            <w:tr w14:paraId="415F7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0" w:type="pct"/>
                  <w:noWrap w:val="0"/>
                  <w:vAlign w:val="center"/>
                </w:tcPr>
                <w:p w14:paraId="6C7E93D3">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合计</w:t>
                  </w:r>
                </w:p>
              </w:tc>
              <w:tc>
                <w:tcPr>
                  <w:tcW w:w="507" w:type="pct"/>
                  <w:noWrap w:val="0"/>
                  <w:vAlign w:val="center"/>
                </w:tcPr>
                <w:p w14:paraId="525138AD">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116208</w:t>
                  </w:r>
                </w:p>
              </w:tc>
              <w:tc>
                <w:tcPr>
                  <w:tcW w:w="368" w:type="pct"/>
                  <w:noWrap w:val="0"/>
                  <w:vAlign w:val="center"/>
                </w:tcPr>
                <w:p w14:paraId="6F863D9A">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450" w:type="pct"/>
                  <w:noWrap w:val="0"/>
                  <w:vAlign w:val="center"/>
                </w:tcPr>
                <w:p w14:paraId="5378B399">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13" w:type="pct"/>
                  <w:noWrap w:val="0"/>
                  <w:vAlign w:val="center"/>
                </w:tcPr>
                <w:p w14:paraId="7BBFB1CA">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49" w:type="pct"/>
                  <w:noWrap w:val="0"/>
                  <w:vAlign w:val="center"/>
                </w:tcPr>
                <w:p w14:paraId="23E5F6C6">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22" w:type="pct"/>
                  <w:noWrap w:val="0"/>
                  <w:vAlign w:val="center"/>
                </w:tcPr>
                <w:p w14:paraId="4F364280">
                  <w:pPr>
                    <w:snapToGrid w:val="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11.42</w:t>
                  </w:r>
                </w:p>
              </w:tc>
              <w:tc>
                <w:tcPr>
                  <w:tcW w:w="1527" w:type="pct"/>
                  <w:gridSpan w:val="2"/>
                  <w:noWrap w:val="0"/>
                  <w:vAlign w:val="center"/>
                </w:tcPr>
                <w:p w14:paraId="6142A807">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7</w:t>
                  </w:r>
                </w:p>
              </w:tc>
            </w:tr>
          </w:tbl>
          <w:p w14:paraId="3EF4A24A">
            <w:pPr>
              <w:pStyle w:val="25"/>
              <w:spacing w:before="0" w:beforeAutospacing="0" w:after="0" w:afterAutospacing="0"/>
              <w:ind w:left="0" w:leftChars="0" w:firstLine="0" w:firstLineChars="0"/>
              <w:jc w:val="both"/>
              <w:rPr>
                <w:rFonts w:hint="default" w:ascii="Times New Roman" w:hAnsi="Times New Roman"/>
                <w:b/>
                <w:color w:val="auto"/>
                <w:kern w:val="2"/>
                <w:sz w:val="24"/>
                <w:szCs w:val="24"/>
                <w:highlight w:val="none"/>
                <w:lang w:val="en-US" w:eastAsia="zh-CN"/>
              </w:rPr>
            </w:pPr>
            <w:r>
              <w:rPr>
                <w:rFonts w:hint="eastAsia" w:ascii="Times New Roman" w:hAnsi="Times New Roman"/>
                <w:b/>
                <w:color w:val="auto"/>
                <w:kern w:val="2"/>
                <w:sz w:val="24"/>
                <w:szCs w:val="24"/>
                <w:highlight w:val="none"/>
                <w:lang w:val="en-US" w:eastAsia="zh-CN"/>
              </w:rPr>
              <w:t>5.2.2塑粉用量核算</w:t>
            </w:r>
          </w:p>
          <w:p w14:paraId="6B44BCFD">
            <w:pPr>
              <w:adjustRightInd w:val="0"/>
              <w:snapToGrid w:val="0"/>
              <w:spacing w:line="360" w:lineRule="auto"/>
              <w:ind w:firstLine="480" w:firstLineChars="200"/>
              <w:rPr>
                <w:rFonts w:hint="default" w:cs="Times New Roman"/>
                <w:bCs/>
                <w:color w:val="auto"/>
                <w:sz w:val="24"/>
                <w:szCs w:val="24"/>
                <w:highlight w:val="none"/>
                <w:lang w:val="en-US" w:eastAsia="zh-CN"/>
              </w:rPr>
            </w:pPr>
            <w:r>
              <w:rPr>
                <w:rFonts w:hint="default" w:cs="Times New Roman"/>
                <w:bCs/>
                <w:color w:val="auto"/>
                <w:sz w:val="24"/>
                <w:szCs w:val="24"/>
                <w:highlight w:val="none"/>
                <w:lang w:val="en-US" w:eastAsia="zh-CN"/>
              </w:rPr>
              <w:t>喷粉涂料参考《污染源强核算技术指南汽车制造</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HJ1097-2020</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》附录E粉末喷涂-零部件喷涂</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静电喷涂</w:t>
            </w:r>
            <w:r>
              <w:rPr>
                <w:rFonts w:hint="eastAsia" w:cs="Times New Roman"/>
                <w:bCs/>
                <w:color w:val="auto"/>
                <w:sz w:val="24"/>
                <w:szCs w:val="24"/>
                <w:highlight w:val="none"/>
                <w:lang w:val="en-US" w:eastAsia="zh-CN"/>
              </w:rPr>
              <w:t>）</w:t>
            </w:r>
            <w:r>
              <w:rPr>
                <w:rFonts w:hint="default" w:cs="Times New Roman"/>
                <w:bCs/>
                <w:color w:val="auto"/>
                <w:sz w:val="24"/>
                <w:szCs w:val="24"/>
                <w:highlight w:val="none"/>
                <w:lang w:val="en-US" w:eastAsia="zh-CN"/>
              </w:rPr>
              <w:t>中的物料中固体分附着率65%计算</w:t>
            </w:r>
            <w:r>
              <w:rPr>
                <w:rFonts w:hint="eastAsia" w:cs="Times New Roman"/>
                <w:bCs/>
                <w:color w:val="auto"/>
                <w:sz w:val="24"/>
                <w:szCs w:val="24"/>
                <w:highlight w:val="none"/>
                <w:lang w:val="en-US" w:eastAsia="zh-CN"/>
              </w:rPr>
              <w:t>，剩余35%经“滤芯回收系统”收集处理，收集效率为95%，剩余5%未被收集的粉尘中约60%沉降到地面清扫后作为一般固废，40%在车间无组织排放。</w:t>
            </w:r>
          </w:p>
          <w:p w14:paraId="4FEA59F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b/>
                <w:bCs/>
                <w:color w:val="auto"/>
                <w:sz w:val="24"/>
                <w:highlight w:val="none"/>
                <w:lang w:val="en-US" w:eastAsia="zh-CN" w:bidi="ar"/>
              </w:rPr>
              <w:t>塑粉</w:t>
            </w:r>
            <w:r>
              <w:rPr>
                <w:rFonts w:hint="eastAsia" w:ascii="Times New Roman" w:hAnsi="Times New Roman" w:eastAsia="宋体" w:cs="Times New Roman"/>
                <w:b/>
                <w:bCs/>
                <w:color w:val="auto"/>
                <w:kern w:val="2"/>
                <w:sz w:val="24"/>
                <w:szCs w:val="24"/>
                <w:highlight w:val="none"/>
                <w:lang w:val="en-US" w:eastAsia="zh-CN" w:bidi="ar"/>
              </w:rPr>
              <w:t>用量核算表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10"/>
              <w:gridCol w:w="840"/>
              <w:gridCol w:w="867"/>
              <w:gridCol w:w="888"/>
              <w:gridCol w:w="703"/>
              <w:gridCol w:w="639"/>
              <w:gridCol w:w="807"/>
              <w:gridCol w:w="768"/>
              <w:gridCol w:w="638"/>
              <w:gridCol w:w="624"/>
              <w:gridCol w:w="925"/>
            </w:tblGrid>
            <w:tr w14:paraId="4B19D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52" w:type="pct"/>
                  <w:vMerge w:val="restart"/>
                  <w:noWrap w:val="0"/>
                  <w:vAlign w:val="center"/>
                </w:tcPr>
                <w:p w14:paraId="11A996A8">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生产线</w:t>
                  </w:r>
                </w:p>
              </w:tc>
              <w:tc>
                <w:tcPr>
                  <w:tcW w:w="491" w:type="pct"/>
                  <w:vMerge w:val="restart"/>
                  <w:noWrap w:val="0"/>
                  <w:vAlign w:val="center"/>
                </w:tcPr>
                <w:p w14:paraId="51466159">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总涂装面积</w:t>
                  </w:r>
                </w:p>
                <w:p w14:paraId="25179004">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（m</w:t>
                  </w:r>
                  <w:r>
                    <w:rPr>
                      <w:rFonts w:hint="eastAsia" w:eastAsia="仿宋" w:cs="Times New Roman"/>
                      <w:b/>
                      <w:color w:val="auto"/>
                      <w:sz w:val="21"/>
                      <w:szCs w:val="21"/>
                      <w:vertAlign w:val="superscript"/>
                      <w:lang w:val="en-US" w:eastAsia="zh-CN"/>
                    </w:rPr>
                    <w:t>2</w:t>
                  </w:r>
                  <w:r>
                    <w:rPr>
                      <w:rFonts w:hint="eastAsia" w:eastAsia="仿宋" w:cs="Times New Roman"/>
                      <w:b/>
                      <w:color w:val="auto"/>
                      <w:sz w:val="21"/>
                      <w:szCs w:val="21"/>
                      <w:lang w:val="en-US" w:eastAsia="zh-CN"/>
                    </w:rPr>
                    <w:t>）</w:t>
                  </w:r>
                </w:p>
              </w:tc>
              <w:tc>
                <w:tcPr>
                  <w:tcW w:w="453" w:type="pct"/>
                  <w:vMerge w:val="restart"/>
                  <w:noWrap w:val="0"/>
                  <w:vAlign w:val="center"/>
                </w:tcPr>
                <w:p w14:paraId="111C1573">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厚度</w:t>
                  </w:r>
                  <w:r>
                    <w:rPr>
                      <w:rFonts w:hint="default" w:ascii="Times New Roman" w:hAnsi="Times New Roman" w:eastAsia="仿宋" w:cs="Times New Roman"/>
                      <w:b/>
                      <w:color w:val="auto"/>
                      <w:sz w:val="21"/>
                      <w:szCs w:val="21"/>
                      <w:lang w:val="en-US" w:eastAsia="zh-CN"/>
                    </w:rPr>
                    <w:t>（μm）</w:t>
                  </w:r>
                </w:p>
              </w:tc>
              <w:tc>
                <w:tcPr>
                  <w:tcW w:w="468" w:type="pct"/>
                  <w:vMerge w:val="restart"/>
                  <w:noWrap w:val="0"/>
                  <w:vAlign w:val="center"/>
                </w:tcPr>
                <w:p w14:paraId="2DF06077">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密度（g/cm</w:t>
                  </w:r>
                  <w:r>
                    <w:rPr>
                      <w:rFonts w:hint="eastAsia" w:eastAsia="仿宋" w:cs="Times New Roman"/>
                      <w:b/>
                      <w:color w:val="auto"/>
                      <w:sz w:val="21"/>
                      <w:szCs w:val="21"/>
                      <w:vertAlign w:val="superscript"/>
                      <w:lang w:val="en-US" w:eastAsia="zh-CN"/>
                    </w:rPr>
                    <w:t>3</w:t>
                  </w:r>
                  <w:r>
                    <w:rPr>
                      <w:rFonts w:hint="eastAsia" w:eastAsia="仿宋" w:cs="Times New Roman"/>
                      <w:b/>
                      <w:color w:val="auto"/>
                      <w:sz w:val="21"/>
                      <w:szCs w:val="21"/>
                      <w:lang w:val="en-US" w:eastAsia="zh-CN"/>
                    </w:rPr>
                    <w:t>）</w:t>
                  </w:r>
                </w:p>
              </w:tc>
              <w:tc>
                <w:tcPr>
                  <w:tcW w:w="479" w:type="pct"/>
                  <w:vMerge w:val="restart"/>
                  <w:noWrap w:val="0"/>
                  <w:vAlign w:val="center"/>
                </w:tcPr>
                <w:p w14:paraId="4466DA97">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喷粉工件附着量</w:t>
                  </w:r>
                </w:p>
                <w:p w14:paraId="6A934AF3">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（t/a）</w:t>
                  </w:r>
                </w:p>
              </w:tc>
              <w:tc>
                <w:tcPr>
                  <w:tcW w:w="724" w:type="pct"/>
                  <w:gridSpan w:val="2"/>
                  <w:noWrap w:val="0"/>
                  <w:vAlign w:val="center"/>
                </w:tcPr>
                <w:p w14:paraId="2EC000B4">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固体附着率</w:t>
                  </w:r>
                </w:p>
                <w:p w14:paraId="0A84A9B9">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（65%）</w:t>
                  </w:r>
                </w:p>
              </w:tc>
              <w:tc>
                <w:tcPr>
                  <w:tcW w:w="435" w:type="pct"/>
                  <w:vMerge w:val="restart"/>
                  <w:noWrap w:val="0"/>
                  <w:vAlign w:val="center"/>
                </w:tcPr>
                <w:p w14:paraId="069E00EB">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理论用量（t/a）</w:t>
                  </w:r>
                </w:p>
              </w:tc>
              <w:tc>
                <w:tcPr>
                  <w:tcW w:w="414" w:type="pct"/>
                  <w:vMerge w:val="restart"/>
                  <w:noWrap w:val="0"/>
                  <w:vAlign w:val="center"/>
                </w:tcPr>
                <w:p w14:paraId="2E860E57">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设计用量（t/a）</w:t>
                  </w:r>
                </w:p>
              </w:tc>
              <w:tc>
                <w:tcPr>
                  <w:tcW w:w="344" w:type="pct"/>
                  <w:vMerge w:val="restart"/>
                  <w:noWrap w:val="0"/>
                  <w:vAlign w:val="center"/>
                </w:tcPr>
                <w:p w14:paraId="02B73247">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进入废气（35%）</w:t>
                  </w:r>
                </w:p>
              </w:tc>
              <w:tc>
                <w:tcPr>
                  <w:tcW w:w="336" w:type="pct"/>
                  <w:vMerge w:val="restart"/>
                  <w:noWrap w:val="0"/>
                  <w:vAlign w:val="center"/>
                </w:tcPr>
                <w:p w14:paraId="21965528">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回收量t/a</w:t>
                  </w:r>
                </w:p>
              </w:tc>
              <w:tc>
                <w:tcPr>
                  <w:tcW w:w="499" w:type="pct"/>
                  <w:vMerge w:val="restart"/>
                  <w:noWrap w:val="0"/>
                  <w:vAlign w:val="center"/>
                </w:tcPr>
                <w:p w14:paraId="2AF70577">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塑粉实际使用量</w:t>
                  </w:r>
                </w:p>
                <w:p w14:paraId="251F504A">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（t/a）</w:t>
                  </w:r>
                </w:p>
              </w:tc>
            </w:tr>
            <w:tr w14:paraId="3D371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52" w:type="pct"/>
                  <w:vMerge w:val="continue"/>
                  <w:noWrap w:val="0"/>
                  <w:vAlign w:val="center"/>
                </w:tcPr>
                <w:p w14:paraId="726F9E26">
                  <w:pPr>
                    <w:kinsoku w:val="0"/>
                    <w:autoSpaceDE w:val="0"/>
                    <w:autoSpaceDN w:val="0"/>
                    <w:snapToGrid w:val="0"/>
                    <w:jc w:val="center"/>
                    <w:textAlignment w:val="bottom"/>
                    <w:rPr>
                      <w:color w:val="auto"/>
                    </w:rPr>
                  </w:pPr>
                </w:p>
              </w:tc>
              <w:tc>
                <w:tcPr>
                  <w:tcW w:w="491" w:type="pct"/>
                  <w:vMerge w:val="continue"/>
                  <w:noWrap w:val="0"/>
                  <w:vAlign w:val="center"/>
                </w:tcPr>
                <w:p w14:paraId="07189188">
                  <w:pPr>
                    <w:kinsoku w:val="0"/>
                    <w:autoSpaceDE w:val="0"/>
                    <w:autoSpaceDN w:val="0"/>
                    <w:snapToGrid w:val="0"/>
                    <w:jc w:val="center"/>
                    <w:textAlignment w:val="bottom"/>
                    <w:rPr>
                      <w:color w:val="auto"/>
                    </w:rPr>
                  </w:pPr>
                </w:p>
              </w:tc>
              <w:tc>
                <w:tcPr>
                  <w:tcW w:w="453" w:type="pct"/>
                  <w:vMerge w:val="continue"/>
                  <w:noWrap w:val="0"/>
                  <w:vAlign w:val="center"/>
                </w:tcPr>
                <w:p w14:paraId="4CBD23B1">
                  <w:pPr>
                    <w:kinsoku w:val="0"/>
                    <w:autoSpaceDE w:val="0"/>
                    <w:autoSpaceDN w:val="0"/>
                    <w:snapToGrid w:val="0"/>
                    <w:jc w:val="center"/>
                    <w:textAlignment w:val="bottom"/>
                    <w:rPr>
                      <w:color w:val="auto"/>
                    </w:rPr>
                  </w:pPr>
                </w:p>
              </w:tc>
              <w:tc>
                <w:tcPr>
                  <w:tcW w:w="468" w:type="pct"/>
                  <w:vMerge w:val="continue"/>
                  <w:noWrap w:val="0"/>
                  <w:vAlign w:val="center"/>
                </w:tcPr>
                <w:p w14:paraId="25DBD82B">
                  <w:pPr>
                    <w:kinsoku w:val="0"/>
                    <w:autoSpaceDE w:val="0"/>
                    <w:autoSpaceDN w:val="0"/>
                    <w:snapToGrid w:val="0"/>
                    <w:jc w:val="center"/>
                    <w:textAlignment w:val="bottom"/>
                    <w:rPr>
                      <w:color w:val="auto"/>
                    </w:rPr>
                  </w:pPr>
                </w:p>
              </w:tc>
              <w:tc>
                <w:tcPr>
                  <w:tcW w:w="479" w:type="pct"/>
                  <w:vMerge w:val="continue"/>
                  <w:noWrap w:val="0"/>
                  <w:vAlign w:val="center"/>
                </w:tcPr>
                <w:p w14:paraId="79A2E667">
                  <w:pPr>
                    <w:kinsoku w:val="0"/>
                    <w:autoSpaceDE w:val="0"/>
                    <w:autoSpaceDN w:val="0"/>
                    <w:snapToGrid w:val="0"/>
                    <w:jc w:val="center"/>
                    <w:textAlignment w:val="bottom"/>
                    <w:rPr>
                      <w:rFonts w:hint="eastAsia" w:eastAsia="仿宋" w:cs="Times New Roman"/>
                      <w:b/>
                      <w:color w:val="auto"/>
                      <w:sz w:val="21"/>
                      <w:szCs w:val="21"/>
                      <w:lang w:val="en-US" w:eastAsia="zh-CN"/>
                    </w:rPr>
                  </w:pPr>
                </w:p>
              </w:tc>
              <w:tc>
                <w:tcPr>
                  <w:tcW w:w="379" w:type="pct"/>
                  <w:noWrap w:val="0"/>
                  <w:vAlign w:val="center"/>
                </w:tcPr>
                <w:p w14:paraId="0635BFCB">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工件附着</w:t>
                  </w:r>
                </w:p>
              </w:tc>
              <w:tc>
                <w:tcPr>
                  <w:tcW w:w="344" w:type="pct"/>
                  <w:noWrap w:val="0"/>
                  <w:vAlign w:val="center"/>
                </w:tcPr>
                <w:p w14:paraId="2031219C">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挂具附着</w:t>
                  </w:r>
                </w:p>
              </w:tc>
              <w:tc>
                <w:tcPr>
                  <w:tcW w:w="435" w:type="pct"/>
                  <w:vMerge w:val="continue"/>
                  <w:noWrap w:val="0"/>
                  <w:vAlign w:val="center"/>
                </w:tcPr>
                <w:p w14:paraId="4E9ED7B9">
                  <w:pPr>
                    <w:kinsoku w:val="0"/>
                    <w:autoSpaceDE w:val="0"/>
                    <w:autoSpaceDN w:val="0"/>
                    <w:snapToGrid w:val="0"/>
                    <w:jc w:val="center"/>
                    <w:textAlignment w:val="bottom"/>
                    <w:rPr>
                      <w:color w:val="auto"/>
                    </w:rPr>
                  </w:pPr>
                </w:p>
              </w:tc>
              <w:tc>
                <w:tcPr>
                  <w:tcW w:w="414" w:type="pct"/>
                  <w:vMerge w:val="continue"/>
                  <w:noWrap w:val="0"/>
                  <w:vAlign w:val="center"/>
                </w:tcPr>
                <w:p w14:paraId="497F2DC3">
                  <w:pPr>
                    <w:kinsoku w:val="0"/>
                    <w:autoSpaceDE w:val="0"/>
                    <w:autoSpaceDN w:val="0"/>
                    <w:snapToGrid w:val="0"/>
                    <w:jc w:val="center"/>
                    <w:textAlignment w:val="bottom"/>
                    <w:rPr>
                      <w:color w:val="auto"/>
                    </w:rPr>
                  </w:pPr>
                </w:p>
              </w:tc>
              <w:tc>
                <w:tcPr>
                  <w:tcW w:w="344" w:type="pct"/>
                  <w:vMerge w:val="continue"/>
                  <w:noWrap w:val="0"/>
                  <w:vAlign w:val="center"/>
                </w:tcPr>
                <w:p w14:paraId="1817C425">
                  <w:pPr>
                    <w:kinsoku w:val="0"/>
                    <w:autoSpaceDE w:val="0"/>
                    <w:autoSpaceDN w:val="0"/>
                    <w:snapToGrid w:val="0"/>
                    <w:jc w:val="center"/>
                    <w:textAlignment w:val="bottom"/>
                    <w:rPr>
                      <w:color w:val="auto"/>
                    </w:rPr>
                  </w:pPr>
                </w:p>
              </w:tc>
              <w:tc>
                <w:tcPr>
                  <w:tcW w:w="336" w:type="pct"/>
                  <w:vMerge w:val="continue"/>
                  <w:noWrap w:val="0"/>
                  <w:vAlign w:val="center"/>
                </w:tcPr>
                <w:p w14:paraId="2DA2D6C7">
                  <w:pPr>
                    <w:kinsoku w:val="0"/>
                    <w:autoSpaceDE w:val="0"/>
                    <w:autoSpaceDN w:val="0"/>
                    <w:snapToGrid w:val="0"/>
                    <w:jc w:val="center"/>
                    <w:textAlignment w:val="bottom"/>
                    <w:rPr>
                      <w:color w:val="auto"/>
                    </w:rPr>
                  </w:pPr>
                </w:p>
              </w:tc>
              <w:tc>
                <w:tcPr>
                  <w:tcW w:w="499" w:type="pct"/>
                  <w:vMerge w:val="continue"/>
                  <w:noWrap w:val="0"/>
                  <w:vAlign w:val="center"/>
                </w:tcPr>
                <w:p w14:paraId="6C10865C">
                  <w:pPr>
                    <w:kinsoku w:val="0"/>
                    <w:autoSpaceDE w:val="0"/>
                    <w:autoSpaceDN w:val="0"/>
                    <w:snapToGrid w:val="0"/>
                    <w:jc w:val="center"/>
                    <w:textAlignment w:val="bottom"/>
                    <w:rPr>
                      <w:color w:val="auto"/>
                    </w:rPr>
                  </w:pPr>
                </w:p>
              </w:tc>
            </w:tr>
            <w:tr w14:paraId="3F01C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noWrap w:val="0"/>
                  <w:vAlign w:val="center"/>
                </w:tcPr>
                <w:p w14:paraId="02F322FB">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喷粉线</w:t>
                  </w:r>
                </w:p>
              </w:tc>
              <w:tc>
                <w:tcPr>
                  <w:tcW w:w="491" w:type="pct"/>
                  <w:noWrap w:val="0"/>
                  <w:vAlign w:val="center"/>
                </w:tcPr>
                <w:p w14:paraId="0A609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48324</w:t>
                  </w:r>
                </w:p>
              </w:tc>
              <w:tc>
                <w:tcPr>
                  <w:tcW w:w="453" w:type="pct"/>
                  <w:noWrap w:val="0"/>
                  <w:vAlign w:val="center"/>
                </w:tcPr>
                <w:p w14:paraId="53631D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180</w:t>
                  </w:r>
                </w:p>
              </w:tc>
              <w:tc>
                <w:tcPr>
                  <w:tcW w:w="468" w:type="pct"/>
                  <w:noWrap w:val="0"/>
                  <w:vAlign w:val="center"/>
                </w:tcPr>
                <w:p w14:paraId="2A8738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w:t>
                  </w:r>
                </w:p>
              </w:tc>
              <w:tc>
                <w:tcPr>
                  <w:tcW w:w="479" w:type="pct"/>
                  <w:noWrap w:val="0"/>
                  <w:vAlign w:val="center"/>
                </w:tcPr>
                <w:p w14:paraId="3D64D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12.178</w:t>
                  </w:r>
                </w:p>
              </w:tc>
              <w:tc>
                <w:tcPr>
                  <w:tcW w:w="379" w:type="pct"/>
                  <w:noWrap w:val="0"/>
                  <w:vAlign w:val="center"/>
                </w:tcPr>
                <w:p w14:paraId="397753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r>
                    <w:rPr>
                      <w:rFonts w:hint="eastAsia" w:cs="Times New Roman"/>
                      <w:i w:val="0"/>
                      <w:iCs w:val="0"/>
                      <w:color w:val="auto"/>
                      <w:kern w:val="0"/>
                      <w:sz w:val="21"/>
                      <w:szCs w:val="21"/>
                      <w:u w:val="none"/>
                      <w:lang w:val="en-US" w:eastAsia="zh-CN" w:bidi="ar"/>
                    </w:rPr>
                    <w:t>4%</w:t>
                  </w:r>
                </w:p>
              </w:tc>
              <w:tc>
                <w:tcPr>
                  <w:tcW w:w="344" w:type="pct"/>
                  <w:noWrap w:val="0"/>
                  <w:vAlign w:val="center"/>
                </w:tcPr>
                <w:p w14:paraId="75A28D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435" w:type="pct"/>
                  <w:noWrap w:val="0"/>
                  <w:vAlign w:val="center"/>
                </w:tcPr>
                <w:p w14:paraId="08D703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19.03</w:t>
                  </w:r>
                </w:p>
              </w:tc>
              <w:tc>
                <w:tcPr>
                  <w:tcW w:w="414" w:type="pct"/>
                  <w:noWrap w:val="0"/>
                  <w:vAlign w:val="center"/>
                </w:tcPr>
                <w:p w14:paraId="00ACEB3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344" w:type="pct"/>
                  <w:noWrap w:val="0"/>
                  <w:vAlign w:val="center"/>
                </w:tcPr>
                <w:p w14:paraId="29168CD8">
                  <w:pPr>
                    <w:rPr>
                      <w:color w:val="auto"/>
                    </w:rPr>
                  </w:pPr>
                  <w:r>
                    <w:rPr>
                      <w:rFonts w:hint="eastAsia" w:cs="Times New Roman"/>
                      <w:i w:val="0"/>
                      <w:iCs w:val="0"/>
                      <w:color w:val="auto"/>
                      <w:kern w:val="0"/>
                      <w:sz w:val="21"/>
                      <w:szCs w:val="21"/>
                      <w:u w:val="none"/>
                      <w:lang w:val="en-US" w:eastAsia="zh-CN" w:bidi="ar"/>
                    </w:rPr>
                    <w:t>6.66</w:t>
                  </w:r>
                </w:p>
              </w:tc>
              <w:tc>
                <w:tcPr>
                  <w:tcW w:w="336" w:type="pct"/>
                  <w:noWrap w:val="0"/>
                  <w:vAlign w:val="center"/>
                </w:tcPr>
                <w:p w14:paraId="52FE25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6.011</w:t>
                  </w:r>
                </w:p>
              </w:tc>
              <w:tc>
                <w:tcPr>
                  <w:tcW w:w="499" w:type="pct"/>
                  <w:noWrap w:val="0"/>
                  <w:vAlign w:val="center"/>
                </w:tcPr>
                <w:p w14:paraId="36EFC6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13.019</w:t>
                  </w:r>
                </w:p>
              </w:tc>
            </w:tr>
          </w:tbl>
          <w:p w14:paraId="5B830662">
            <w:pPr>
              <w:pStyle w:val="25"/>
              <w:spacing w:before="0" w:beforeAutospacing="0" w:after="0" w:afterAutospacing="0"/>
              <w:ind w:left="0" w:leftChars="0" w:firstLine="0" w:firstLineChars="0"/>
              <w:jc w:val="both"/>
              <w:rPr>
                <w:rFonts w:hint="default" w:ascii="Times New Roman" w:hAnsi="Times New Roman"/>
                <w:b/>
                <w:color w:val="auto"/>
                <w:kern w:val="2"/>
                <w:sz w:val="24"/>
                <w:szCs w:val="24"/>
                <w:highlight w:val="none"/>
                <w:lang w:val="en-US" w:eastAsia="zh-CN"/>
              </w:rPr>
            </w:pPr>
            <w:r>
              <w:rPr>
                <w:rFonts w:hint="eastAsia" w:ascii="Times New Roman" w:hAnsi="Times New Roman"/>
                <w:b/>
                <w:color w:val="auto"/>
                <w:kern w:val="2"/>
                <w:sz w:val="24"/>
                <w:szCs w:val="24"/>
                <w:highlight w:val="none"/>
                <w:lang w:val="en-US" w:eastAsia="zh-CN"/>
              </w:rPr>
              <w:t>5.2.3涂料成分合理性分析</w:t>
            </w:r>
          </w:p>
          <w:p w14:paraId="7ECF7B5C">
            <w:pPr>
              <w:adjustRightInd w:val="0"/>
              <w:snapToGrid w:val="0"/>
              <w:spacing w:line="360" w:lineRule="auto"/>
              <w:ind w:firstLine="480" w:firstLineChars="200"/>
              <w:rPr>
                <w:rFonts w:hint="default" w:cs="Times New Roman"/>
                <w:bCs/>
                <w:color w:val="auto"/>
                <w:sz w:val="24"/>
                <w:szCs w:val="24"/>
                <w:highlight w:val="none"/>
                <w:lang w:val="en-US" w:eastAsia="zh-CN"/>
              </w:rPr>
            </w:pPr>
            <w:r>
              <w:rPr>
                <w:rFonts w:hint="default" w:cs="Times New Roman"/>
                <w:bCs/>
                <w:color w:val="auto"/>
                <w:sz w:val="24"/>
                <w:szCs w:val="24"/>
                <w:highlight w:val="none"/>
                <w:lang w:val="en-US" w:eastAsia="zh-CN"/>
              </w:rPr>
              <w:t>根据《车辆涂料中有害物质限量》（GB</w:t>
            </w:r>
            <w:r>
              <w:rPr>
                <w:rFonts w:hint="eastAsia" w:cs="Times New Roman"/>
                <w:bCs/>
                <w:color w:val="auto"/>
                <w:sz w:val="24"/>
                <w:szCs w:val="24"/>
                <w:highlight w:val="none"/>
                <w:lang w:val="en-US" w:eastAsia="zh-CN"/>
              </w:rPr>
              <w:t xml:space="preserve"> </w:t>
            </w:r>
            <w:r>
              <w:rPr>
                <w:rFonts w:hint="default" w:cs="Times New Roman"/>
                <w:bCs/>
                <w:color w:val="auto"/>
                <w:sz w:val="24"/>
                <w:szCs w:val="24"/>
                <w:highlight w:val="none"/>
                <w:lang w:val="en-US" w:eastAsia="zh-CN"/>
              </w:rPr>
              <w:t>24409-2020）、《低挥发性有机化合物含量涂料产品技术要求》（GB/T</w:t>
            </w:r>
            <w:r>
              <w:rPr>
                <w:rFonts w:hint="eastAsia" w:cs="Times New Roman"/>
                <w:bCs/>
                <w:color w:val="auto"/>
                <w:sz w:val="24"/>
                <w:szCs w:val="24"/>
                <w:highlight w:val="none"/>
                <w:lang w:val="en-US" w:eastAsia="zh-CN"/>
              </w:rPr>
              <w:t xml:space="preserve"> </w:t>
            </w:r>
            <w:r>
              <w:rPr>
                <w:rFonts w:hint="default" w:cs="Times New Roman"/>
                <w:bCs/>
                <w:color w:val="auto"/>
                <w:sz w:val="24"/>
                <w:szCs w:val="24"/>
                <w:highlight w:val="none"/>
                <w:lang w:val="en-US" w:eastAsia="zh-CN"/>
              </w:rPr>
              <w:t>38597-2020），水性涂料和水性辐射固化涂料</w:t>
            </w:r>
            <w:r>
              <w:rPr>
                <w:rFonts w:hint="eastAsia" w:cs="Times New Roman"/>
                <w:bCs/>
                <w:color w:val="auto"/>
                <w:sz w:val="24"/>
                <w:szCs w:val="24"/>
                <w:highlight w:val="none"/>
                <w:lang w:val="en-US" w:eastAsia="zh-CN"/>
              </w:rPr>
              <w:t>VOC</w:t>
            </w:r>
            <w:r>
              <w:rPr>
                <w:rFonts w:hint="default" w:cs="Times New Roman"/>
                <w:bCs/>
                <w:color w:val="auto"/>
                <w:sz w:val="24"/>
                <w:szCs w:val="24"/>
                <w:highlight w:val="none"/>
                <w:lang w:val="en-US" w:eastAsia="zh-CN"/>
              </w:rPr>
              <w:t>含量项目测试时均不考虑水的稀释比例。</w:t>
            </w:r>
            <w:r>
              <w:rPr>
                <w:rFonts w:hint="eastAsia" w:cs="Times New Roman"/>
                <w:bCs/>
                <w:color w:val="auto"/>
                <w:sz w:val="24"/>
                <w:szCs w:val="24"/>
                <w:highlight w:val="none"/>
                <w:lang w:val="en-US" w:eastAsia="zh-CN"/>
              </w:rPr>
              <w:t>项目调配后电泳漆底漆VOC等主要成分分析见下表</w:t>
            </w:r>
            <w:r>
              <w:rPr>
                <w:rFonts w:hint="default" w:cs="Times New Roman"/>
                <w:bCs/>
                <w:color w:val="auto"/>
                <w:sz w:val="24"/>
                <w:szCs w:val="24"/>
                <w:highlight w:val="none"/>
                <w:lang w:val="en-US" w:eastAsia="zh-CN"/>
              </w:rPr>
              <w:t>。</w:t>
            </w:r>
          </w:p>
          <w:p w14:paraId="5FCED87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主要涂料VOCs限量分析表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715"/>
              <w:gridCol w:w="2845"/>
              <w:gridCol w:w="3617"/>
            </w:tblGrid>
            <w:tr w14:paraId="371F1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82" w:type="pct"/>
                  <w:vMerge w:val="restart"/>
                  <w:noWrap w:val="0"/>
                  <w:vAlign w:val="center"/>
                </w:tcPr>
                <w:p w14:paraId="0C9A828A">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涂料名称</w:t>
                  </w:r>
                </w:p>
              </w:tc>
              <w:tc>
                <w:tcPr>
                  <w:tcW w:w="926" w:type="pct"/>
                  <w:vMerge w:val="restart"/>
                  <w:noWrap w:val="0"/>
                  <w:vAlign w:val="center"/>
                </w:tcPr>
                <w:p w14:paraId="13B4FE89">
                  <w:pPr>
                    <w:kinsoku w:val="0"/>
                    <w:autoSpaceDE w:val="0"/>
                    <w:autoSpaceDN w:val="0"/>
                    <w:snapToGrid w:val="0"/>
                    <w:jc w:val="center"/>
                    <w:textAlignment w:val="bottom"/>
                    <w:rPr>
                      <w:rFonts w:hint="eastAsia" w:eastAsia="仿宋" w:cs="Times New Roman"/>
                      <w:b/>
                      <w:color w:val="auto"/>
                      <w:sz w:val="21"/>
                      <w:szCs w:val="21"/>
                      <w:lang w:val="en-US" w:eastAsia="zh-CN"/>
                    </w:rPr>
                  </w:pPr>
                  <w:r>
                    <w:rPr>
                      <w:rFonts w:hint="eastAsia" w:eastAsia="仿宋" w:cs="Times New Roman"/>
                      <w:b/>
                      <w:color w:val="auto"/>
                      <w:sz w:val="21"/>
                      <w:szCs w:val="21"/>
                      <w:lang w:val="en-US" w:eastAsia="zh-CN"/>
                    </w:rPr>
                    <w:t>配比后挥发分（VOCs）含量</w:t>
                  </w:r>
                </w:p>
                <w:p w14:paraId="5EB32BB5">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（g/L）</w:t>
                  </w:r>
                </w:p>
              </w:tc>
              <w:tc>
                <w:tcPr>
                  <w:tcW w:w="3490" w:type="pct"/>
                  <w:gridSpan w:val="2"/>
                  <w:noWrap w:val="0"/>
                  <w:vAlign w:val="center"/>
                </w:tcPr>
                <w:p w14:paraId="61AA044E">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eastAsia" w:eastAsia="仿宋" w:cs="Times New Roman"/>
                      <w:b/>
                      <w:color w:val="auto"/>
                      <w:sz w:val="21"/>
                      <w:szCs w:val="21"/>
                      <w:lang w:val="en-US" w:eastAsia="zh-CN"/>
                    </w:rPr>
                    <w:t>VOC限量（g/L）</w:t>
                  </w:r>
                </w:p>
              </w:tc>
            </w:tr>
            <w:tr w14:paraId="3993E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82" w:type="pct"/>
                  <w:vMerge w:val="continue"/>
                  <w:noWrap w:val="0"/>
                  <w:vAlign w:val="center"/>
                </w:tcPr>
                <w:p w14:paraId="330E1521">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p>
              </w:tc>
              <w:tc>
                <w:tcPr>
                  <w:tcW w:w="926" w:type="pct"/>
                  <w:vMerge w:val="continue"/>
                  <w:noWrap w:val="0"/>
                  <w:vAlign w:val="center"/>
                </w:tcPr>
                <w:p w14:paraId="630AA7BB">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p>
              </w:tc>
              <w:tc>
                <w:tcPr>
                  <w:tcW w:w="1536" w:type="pct"/>
                  <w:noWrap w:val="0"/>
                  <w:vAlign w:val="center"/>
                </w:tcPr>
                <w:p w14:paraId="65D2B9D9">
                  <w:pPr>
                    <w:kinsoku w:val="0"/>
                    <w:autoSpaceDE w:val="0"/>
                    <w:autoSpaceDN w:val="0"/>
                    <w:snapToGrid w:val="0"/>
                    <w:jc w:val="center"/>
                    <w:textAlignment w:val="bottom"/>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《车辆涂料中有害物质限量》（GB</w:t>
                  </w:r>
                  <w:r>
                    <w:rPr>
                      <w:rFonts w:hint="eastAsia" w:eastAsia="仿宋" w:cs="Times New Roman"/>
                      <w:b/>
                      <w:color w:val="auto"/>
                      <w:sz w:val="21"/>
                      <w:szCs w:val="21"/>
                      <w:lang w:val="en-US" w:eastAsia="zh-CN"/>
                    </w:rPr>
                    <w:t xml:space="preserve"> </w:t>
                  </w:r>
                  <w:r>
                    <w:rPr>
                      <w:rFonts w:hint="default" w:ascii="Times New Roman" w:hAnsi="Times New Roman" w:eastAsia="仿宋" w:cs="Times New Roman"/>
                      <w:b/>
                      <w:color w:val="auto"/>
                      <w:sz w:val="21"/>
                      <w:szCs w:val="21"/>
                      <w:lang w:val="en-US" w:eastAsia="zh-CN"/>
                    </w:rPr>
                    <w:t>24409-2020）</w:t>
                  </w:r>
                </w:p>
              </w:tc>
              <w:tc>
                <w:tcPr>
                  <w:tcW w:w="1953" w:type="pct"/>
                  <w:noWrap w:val="0"/>
                  <w:vAlign w:val="center"/>
                </w:tcPr>
                <w:p w14:paraId="1F88D653">
                  <w:pPr>
                    <w:kinsoku w:val="0"/>
                    <w:autoSpaceDE w:val="0"/>
                    <w:autoSpaceDN w:val="0"/>
                    <w:snapToGrid w:val="0"/>
                    <w:jc w:val="center"/>
                    <w:textAlignment w:val="bottom"/>
                    <w:rPr>
                      <w:rFonts w:hint="default" w:eastAsia="仿宋" w:cs="Times New Roman"/>
                      <w:b/>
                      <w:color w:val="auto"/>
                      <w:sz w:val="21"/>
                      <w:szCs w:val="21"/>
                      <w:lang w:val="en-US" w:eastAsia="zh-CN"/>
                    </w:rPr>
                  </w:pPr>
                  <w:r>
                    <w:rPr>
                      <w:rFonts w:hint="default" w:eastAsia="仿宋" w:cs="Times New Roman"/>
                      <w:b/>
                      <w:color w:val="auto"/>
                      <w:sz w:val="21"/>
                      <w:szCs w:val="21"/>
                      <w:lang w:val="en-US" w:eastAsia="zh-CN"/>
                    </w:rPr>
                    <w:t>《低挥发性有机化合物含量涂料产品技术要求》（GB/T</w:t>
                  </w:r>
                  <w:r>
                    <w:rPr>
                      <w:rFonts w:hint="eastAsia" w:eastAsia="仿宋" w:cs="Times New Roman"/>
                      <w:b/>
                      <w:color w:val="auto"/>
                      <w:sz w:val="21"/>
                      <w:szCs w:val="21"/>
                      <w:lang w:val="en-US" w:eastAsia="zh-CN"/>
                    </w:rPr>
                    <w:t xml:space="preserve"> </w:t>
                  </w:r>
                  <w:r>
                    <w:rPr>
                      <w:rFonts w:hint="default" w:eastAsia="仿宋" w:cs="Times New Roman"/>
                      <w:b/>
                      <w:color w:val="auto"/>
                      <w:sz w:val="21"/>
                      <w:szCs w:val="21"/>
                      <w:lang w:val="en-US" w:eastAsia="zh-CN"/>
                    </w:rPr>
                    <w:t>38597-2020）</w:t>
                  </w:r>
                </w:p>
              </w:tc>
            </w:tr>
            <w:tr w14:paraId="7262E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 w:type="pct"/>
                  <w:noWrap w:val="0"/>
                  <w:vAlign w:val="center"/>
                </w:tcPr>
                <w:p w14:paraId="1A8ADE12">
                  <w:pPr>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电泳漆底漆</w:t>
                  </w:r>
                </w:p>
              </w:tc>
              <w:tc>
                <w:tcPr>
                  <w:tcW w:w="926" w:type="pct"/>
                  <w:noWrap w:val="0"/>
                  <w:vAlign w:val="center"/>
                </w:tcPr>
                <w:p w14:paraId="5849AB3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highlight w:val="none"/>
                      <w:lang w:val="en-US" w:eastAsia="zh-CN"/>
                    </w:rPr>
                    <w:t>183.5</w:t>
                  </w:r>
                </w:p>
              </w:tc>
              <w:tc>
                <w:tcPr>
                  <w:tcW w:w="1536" w:type="pct"/>
                  <w:noWrap w:val="0"/>
                  <w:vAlign w:val="center"/>
                </w:tcPr>
                <w:p w14:paraId="2E8C3A24">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≤250</w:t>
                  </w:r>
                  <w:r>
                    <w:rPr>
                      <w:rFonts w:hint="eastAsia" w:eastAsia="仿宋" w:cs="Times New Roman"/>
                      <w:color w:val="auto"/>
                      <w:sz w:val="21"/>
                      <w:szCs w:val="21"/>
                      <w:lang w:val="en-US" w:eastAsia="zh-CN"/>
                    </w:rPr>
                    <w:t>（汽车原厂涂料（乘用车、卸载货车）-电泳底漆）</w:t>
                  </w:r>
                </w:p>
              </w:tc>
              <w:tc>
                <w:tcPr>
                  <w:tcW w:w="1953" w:type="pct"/>
                  <w:noWrap w:val="0"/>
                  <w:vAlign w:val="center"/>
                </w:tcPr>
                <w:p w14:paraId="7B9264B5">
                  <w:pPr>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≤200</w:t>
                  </w:r>
                  <w:r>
                    <w:rPr>
                      <w:rFonts w:hint="eastAsia" w:eastAsia="仿宋" w:cs="Times New Roman"/>
                      <w:color w:val="auto"/>
                      <w:sz w:val="21"/>
                      <w:szCs w:val="21"/>
                      <w:lang w:val="en-US" w:eastAsia="zh-CN"/>
                    </w:rPr>
                    <w:t>（车辆涂料-汽车原厂涂料（乘用车、卸载货车）-电泳底漆）</w:t>
                  </w:r>
                </w:p>
              </w:tc>
            </w:tr>
          </w:tbl>
          <w:p w14:paraId="490DA9E9">
            <w:pPr>
              <w:adjustRightInd w:val="0"/>
              <w:snapToGrid w:val="0"/>
              <w:spacing w:line="360" w:lineRule="auto"/>
              <w:ind w:firstLine="480" w:firstLineChars="200"/>
              <w:rPr>
                <w:rFonts w:hint="default" w:cs="Times New Roman"/>
                <w:bCs/>
                <w:color w:val="auto"/>
                <w:sz w:val="24"/>
                <w:szCs w:val="24"/>
                <w:highlight w:val="none"/>
                <w:lang w:val="en-US" w:eastAsia="zh-CN"/>
              </w:rPr>
            </w:pPr>
            <w:r>
              <w:rPr>
                <w:rFonts w:hint="default" w:cs="Times New Roman"/>
                <w:bCs/>
                <w:color w:val="auto"/>
                <w:sz w:val="24"/>
                <w:szCs w:val="24"/>
                <w:highlight w:val="none"/>
                <w:lang w:val="en-US" w:eastAsia="zh-CN"/>
              </w:rPr>
              <w:t>根据上表可知，本项目使用的电泳漆属于低挥发性有机化合物涂料，满足《车辆涂料中有害物质限量》（GB</w:t>
            </w:r>
            <w:r>
              <w:rPr>
                <w:rFonts w:hint="eastAsia" w:cs="Times New Roman"/>
                <w:bCs/>
                <w:color w:val="auto"/>
                <w:sz w:val="24"/>
                <w:szCs w:val="24"/>
                <w:highlight w:val="none"/>
                <w:lang w:val="en-US" w:eastAsia="zh-CN"/>
              </w:rPr>
              <w:t xml:space="preserve"> </w:t>
            </w:r>
            <w:r>
              <w:rPr>
                <w:rFonts w:hint="default" w:cs="Times New Roman"/>
                <w:bCs/>
                <w:color w:val="auto"/>
                <w:sz w:val="24"/>
                <w:szCs w:val="24"/>
                <w:highlight w:val="none"/>
                <w:lang w:val="en-US" w:eastAsia="zh-CN"/>
              </w:rPr>
              <w:t>24409-2020）、《低挥发性有机化合物含量涂料产品技术要求》（GB/T</w:t>
            </w:r>
            <w:r>
              <w:rPr>
                <w:rFonts w:hint="eastAsia" w:cs="Times New Roman"/>
                <w:bCs/>
                <w:color w:val="auto"/>
                <w:sz w:val="24"/>
                <w:szCs w:val="24"/>
                <w:highlight w:val="none"/>
                <w:lang w:val="en-US" w:eastAsia="zh-CN"/>
              </w:rPr>
              <w:t xml:space="preserve"> </w:t>
            </w:r>
            <w:r>
              <w:rPr>
                <w:rFonts w:hint="default" w:cs="Times New Roman"/>
                <w:bCs/>
                <w:color w:val="auto"/>
                <w:sz w:val="24"/>
                <w:szCs w:val="24"/>
                <w:highlight w:val="none"/>
                <w:lang w:val="en-US" w:eastAsia="zh-CN"/>
              </w:rPr>
              <w:t>38597-2020）等相关标准要求。</w:t>
            </w:r>
          </w:p>
          <w:p w14:paraId="70A13B20">
            <w:pPr>
              <w:pStyle w:val="25"/>
              <w:spacing w:before="0" w:beforeAutospacing="0" w:after="0" w:afterAutospacing="0"/>
              <w:ind w:left="0" w:leftChars="0" w:firstLine="0" w:firstLineChars="0"/>
              <w:jc w:val="both"/>
              <w:rPr>
                <w:b/>
                <w:color w:val="auto"/>
                <w:sz w:val="24"/>
                <w:szCs w:val="24"/>
                <w:highlight w:val="none"/>
              </w:rPr>
            </w:pPr>
            <w:r>
              <w:rPr>
                <w:rFonts w:hint="eastAsia" w:ascii="Times New Roman" w:hAnsi="Times New Roman"/>
                <w:b/>
                <w:color w:val="auto"/>
                <w:kern w:val="2"/>
                <w:sz w:val="24"/>
                <w:szCs w:val="24"/>
                <w:highlight w:val="none"/>
                <w:lang w:val="en-US" w:eastAsia="zh-CN"/>
              </w:rPr>
              <w:t>6、</w:t>
            </w:r>
            <w:r>
              <w:rPr>
                <w:rFonts w:ascii="Times New Roman" w:hAnsi="Times New Roman"/>
                <w:b/>
                <w:color w:val="auto"/>
                <w:kern w:val="2"/>
                <w:sz w:val="24"/>
                <w:szCs w:val="24"/>
                <w:highlight w:val="none"/>
              </w:rPr>
              <w:t>生产及公用设备</w:t>
            </w:r>
          </w:p>
          <w:p w14:paraId="22B7B345">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主要生产设备表</w:t>
            </w:r>
          </w:p>
          <w:tbl>
            <w:tblPr>
              <w:tblStyle w:val="20"/>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483"/>
              <w:gridCol w:w="1451"/>
              <w:gridCol w:w="1967"/>
              <w:gridCol w:w="1102"/>
              <w:gridCol w:w="1142"/>
              <w:gridCol w:w="1032"/>
              <w:gridCol w:w="1397"/>
            </w:tblGrid>
            <w:tr w14:paraId="702C60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66" w:type="pct"/>
                  <w:vMerge w:val="restart"/>
                  <w:tcBorders>
                    <w:tl2br w:val="nil"/>
                    <w:tr2bl w:val="nil"/>
                  </w:tcBorders>
                  <w:noWrap w:val="0"/>
                  <w:vAlign w:val="center"/>
                </w:tcPr>
                <w:p w14:paraId="087D6CC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045" w:type="pct"/>
                  <w:gridSpan w:val="2"/>
                  <w:vMerge w:val="restart"/>
                  <w:tcBorders>
                    <w:tl2br w:val="nil"/>
                    <w:tr2bl w:val="nil"/>
                  </w:tcBorders>
                  <w:noWrap w:val="0"/>
                  <w:vAlign w:val="center"/>
                </w:tcPr>
                <w:p w14:paraId="0BE7FE2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设备名称</w:t>
                  </w:r>
                </w:p>
              </w:tc>
              <w:tc>
                <w:tcPr>
                  <w:tcW w:w="1062" w:type="pct"/>
                  <w:vMerge w:val="restart"/>
                  <w:tcBorders>
                    <w:tl2br w:val="nil"/>
                    <w:tr2bl w:val="nil"/>
                  </w:tcBorders>
                  <w:noWrap w:val="0"/>
                  <w:vAlign w:val="center"/>
                </w:tcPr>
                <w:p w14:paraId="008339E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设备规格（型号）/参数</w:t>
                  </w:r>
                </w:p>
              </w:tc>
              <w:tc>
                <w:tcPr>
                  <w:tcW w:w="1770" w:type="pct"/>
                  <w:gridSpan w:val="3"/>
                  <w:tcBorders>
                    <w:tl2br w:val="nil"/>
                    <w:tr2bl w:val="nil"/>
                  </w:tcBorders>
                  <w:noWrap w:val="0"/>
                  <w:vAlign w:val="center"/>
                </w:tcPr>
                <w:p w14:paraId="46AAE99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数量（台）</w:t>
                  </w:r>
                </w:p>
              </w:tc>
              <w:tc>
                <w:tcPr>
                  <w:tcW w:w="754" w:type="pct"/>
                  <w:vMerge w:val="restart"/>
                  <w:tcBorders>
                    <w:tl2br w:val="nil"/>
                    <w:tr2bl w:val="nil"/>
                  </w:tcBorders>
                  <w:noWrap w:val="0"/>
                  <w:vAlign w:val="center"/>
                </w:tcPr>
                <w:p w14:paraId="359D8F4F">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用途</w:t>
                  </w:r>
                </w:p>
              </w:tc>
            </w:tr>
            <w:tr w14:paraId="070302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66" w:type="pct"/>
                  <w:vMerge w:val="continue"/>
                  <w:tcBorders>
                    <w:tl2br w:val="nil"/>
                    <w:tr2bl w:val="nil"/>
                  </w:tcBorders>
                  <w:noWrap w:val="0"/>
                  <w:vAlign w:val="center"/>
                </w:tcPr>
                <w:p w14:paraId="7AA09635">
                  <w:pPr>
                    <w:jc w:val="center"/>
                    <w:rPr>
                      <w:rFonts w:hint="default" w:ascii="Times New Roman" w:hAnsi="Times New Roman" w:eastAsia="仿宋" w:cs="Times New Roman"/>
                      <w:color w:val="auto"/>
                      <w:sz w:val="21"/>
                      <w:szCs w:val="21"/>
                    </w:rPr>
                  </w:pPr>
                </w:p>
              </w:tc>
              <w:tc>
                <w:tcPr>
                  <w:tcW w:w="1045" w:type="pct"/>
                  <w:gridSpan w:val="2"/>
                  <w:vMerge w:val="continue"/>
                  <w:tcBorders>
                    <w:tl2br w:val="nil"/>
                    <w:tr2bl w:val="nil"/>
                  </w:tcBorders>
                  <w:noWrap w:val="0"/>
                  <w:vAlign w:val="center"/>
                </w:tcPr>
                <w:p w14:paraId="28BCB6D0">
                  <w:pPr>
                    <w:jc w:val="center"/>
                    <w:rPr>
                      <w:rFonts w:hint="default" w:ascii="Times New Roman" w:hAnsi="Times New Roman" w:eastAsia="仿宋" w:cs="Times New Roman"/>
                      <w:color w:val="auto"/>
                      <w:sz w:val="21"/>
                      <w:szCs w:val="21"/>
                    </w:rPr>
                  </w:pPr>
                </w:p>
              </w:tc>
              <w:tc>
                <w:tcPr>
                  <w:tcW w:w="1062" w:type="pct"/>
                  <w:vMerge w:val="continue"/>
                  <w:tcBorders>
                    <w:tl2br w:val="nil"/>
                    <w:tr2bl w:val="nil"/>
                  </w:tcBorders>
                  <w:noWrap w:val="0"/>
                  <w:vAlign w:val="center"/>
                </w:tcPr>
                <w:p w14:paraId="40D91F88">
                  <w:pPr>
                    <w:jc w:val="center"/>
                    <w:rPr>
                      <w:rFonts w:hint="default" w:ascii="Times New Roman" w:hAnsi="Times New Roman" w:eastAsia="仿宋" w:cs="Times New Roman"/>
                      <w:color w:val="auto"/>
                      <w:sz w:val="21"/>
                      <w:szCs w:val="21"/>
                    </w:rPr>
                  </w:pPr>
                </w:p>
              </w:tc>
              <w:tc>
                <w:tcPr>
                  <w:tcW w:w="595" w:type="pct"/>
                  <w:tcBorders>
                    <w:tl2br w:val="nil"/>
                    <w:tr2bl w:val="nil"/>
                  </w:tcBorders>
                  <w:noWrap w:val="0"/>
                  <w:vAlign w:val="center"/>
                </w:tcPr>
                <w:p w14:paraId="306C996E">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扩建前</w:t>
                  </w:r>
                </w:p>
              </w:tc>
              <w:tc>
                <w:tcPr>
                  <w:tcW w:w="617" w:type="pct"/>
                  <w:tcBorders>
                    <w:tl2br w:val="nil"/>
                    <w:tr2bl w:val="nil"/>
                  </w:tcBorders>
                  <w:noWrap w:val="0"/>
                  <w:vAlign w:val="center"/>
                </w:tcPr>
                <w:p w14:paraId="3492D963">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扩建后</w:t>
                  </w:r>
                </w:p>
              </w:tc>
              <w:tc>
                <w:tcPr>
                  <w:tcW w:w="557" w:type="pct"/>
                  <w:tcBorders>
                    <w:tl2br w:val="nil"/>
                    <w:tr2bl w:val="nil"/>
                  </w:tcBorders>
                  <w:noWrap w:val="0"/>
                  <w:vAlign w:val="center"/>
                </w:tcPr>
                <w:p w14:paraId="450EF763">
                  <w:pPr>
                    <w:pStyle w:val="31"/>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lang w:val="en-US" w:eastAsia="zh-CN"/>
                    </w:rPr>
                    <w:t>变化量</w:t>
                  </w:r>
                </w:p>
              </w:tc>
              <w:tc>
                <w:tcPr>
                  <w:tcW w:w="754" w:type="pct"/>
                  <w:vMerge w:val="continue"/>
                  <w:tcBorders>
                    <w:tl2br w:val="nil"/>
                    <w:tr2bl w:val="nil"/>
                  </w:tcBorders>
                  <w:noWrap w:val="0"/>
                  <w:vAlign w:val="center"/>
                </w:tcPr>
                <w:p w14:paraId="1A83A4B0">
                  <w:pPr>
                    <w:jc w:val="center"/>
                    <w:rPr>
                      <w:rFonts w:hint="default" w:ascii="Times New Roman" w:hAnsi="Times New Roman" w:eastAsia="仿宋" w:cs="Times New Roman"/>
                      <w:b/>
                      <w:bCs/>
                      <w:color w:val="auto"/>
                      <w:sz w:val="21"/>
                      <w:szCs w:val="21"/>
                    </w:rPr>
                  </w:pPr>
                </w:p>
              </w:tc>
            </w:tr>
            <w:tr w14:paraId="66487B7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noWrap w:val="0"/>
                  <w:vAlign w:val="center"/>
                </w:tcPr>
                <w:p w14:paraId="58DC9F1B">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1</w:t>
                  </w:r>
                </w:p>
              </w:tc>
              <w:tc>
                <w:tcPr>
                  <w:tcW w:w="1045" w:type="pct"/>
                  <w:gridSpan w:val="2"/>
                  <w:tcBorders>
                    <w:tl2br w:val="nil"/>
                    <w:tr2bl w:val="nil"/>
                  </w:tcBorders>
                  <w:shd w:val="clear" w:color="auto" w:fill="auto"/>
                  <w:noWrap w:val="0"/>
                  <w:vAlign w:val="center"/>
                </w:tcPr>
                <w:p w14:paraId="612DDEC9">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剪板机</w:t>
                  </w:r>
                </w:p>
              </w:tc>
              <w:tc>
                <w:tcPr>
                  <w:tcW w:w="1062" w:type="pct"/>
                  <w:tcBorders>
                    <w:tl2br w:val="nil"/>
                    <w:tr2bl w:val="nil"/>
                  </w:tcBorders>
                  <w:shd w:val="clear" w:color="auto" w:fill="auto"/>
                  <w:noWrap w:val="0"/>
                  <w:vAlign w:val="center"/>
                </w:tcPr>
                <w:p w14:paraId="6DFD70A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086091D4">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4588BE9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3DCC0CB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restart"/>
                  <w:tcBorders>
                    <w:tl2br w:val="nil"/>
                    <w:tr2bl w:val="nil"/>
                  </w:tcBorders>
                  <w:noWrap w:val="0"/>
                  <w:vAlign w:val="center"/>
                </w:tcPr>
                <w:p w14:paraId="3A1E576C">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成型</w:t>
                  </w:r>
                </w:p>
              </w:tc>
            </w:tr>
            <w:tr w14:paraId="1498CEA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noWrap w:val="0"/>
                  <w:vAlign w:val="center"/>
                </w:tcPr>
                <w:p w14:paraId="228AE5FE">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kern w:val="0"/>
                      <w:sz w:val="21"/>
                      <w:szCs w:val="21"/>
                      <w:lang w:bidi="ar"/>
                    </w:rPr>
                    <w:t>2</w:t>
                  </w:r>
                </w:p>
              </w:tc>
              <w:tc>
                <w:tcPr>
                  <w:tcW w:w="1045" w:type="pct"/>
                  <w:gridSpan w:val="2"/>
                  <w:tcBorders>
                    <w:tl2br w:val="nil"/>
                    <w:tr2bl w:val="nil"/>
                  </w:tcBorders>
                  <w:shd w:val="clear" w:color="auto" w:fill="auto"/>
                  <w:noWrap w:val="0"/>
                  <w:vAlign w:val="center"/>
                </w:tcPr>
                <w:p w14:paraId="2526A053">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切割机</w:t>
                  </w:r>
                </w:p>
              </w:tc>
              <w:tc>
                <w:tcPr>
                  <w:tcW w:w="1062" w:type="pct"/>
                  <w:tcBorders>
                    <w:tl2br w:val="nil"/>
                    <w:tr2bl w:val="nil"/>
                  </w:tcBorders>
                  <w:shd w:val="clear" w:color="auto" w:fill="auto"/>
                  <w:noWrap w:val="0"/>
                  <w:vAlign w:val="center"/>
                </w:tcPr>
                <w:p w14:paraId="03B4C65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6009F5E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46392F7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w:t>
                  </w:r>
                </w:p>
              </w:tc>
              <w:tc>
                <w:tcPr>
                  <w:tcW w:w="557" w:type="pct"/>
                  <w:tcBorders>
                    <w:tl2br w:val="nil"/>
                    <w:tr2bl w:val="nil"/>
                  </w:tcBorders>
                  <w:noWrap w:val="0"/>
                  <w:vAlign w:val="center"/>
                </w:tcPr>
                <w:p w14:paraId="1FD32252">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754" w:type="pct"/>
                  <w:vMerge w:val="continue"/>
                  <w:tcBorders>
                    <w:tl2br w:val="nil"/>
                    <w:tr2bl w:val="nil"/>
                  </w:tcBorders>
                  <w:noWrap w:val="0"/>
                  <w:vAlign w:val="center"/>
                </w:tcPr>
                <w:p w14:paraId="20380F0F">
                  <w:pPr>
                    <w:jc w:val="center"/>
                    <w:rPr>
                      <w:rFonts w:hint="default" w:ascii="Times New Roman" w:hAnsi="Times New Roman" w:eastAsia="仿宋" w:cs="Times New Roman"/>
                      <w:color w:val="auto"/>
                      <w:sz w:val="21"/>
                      <w:szCs w:val="21"/>
                    </w:rPr>
                  </w:pPr>
                </w:p>
              </w:tc>
            </w:tr>
            <w:tr w14:paraId="4744A8A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shd w:val="clear" w:color="auto" w:fill="auto"/>
                  <w:noWrap w:val="0"/>
                  <w:vAlign w:val="center"/>
                </w:tcPr>
                <w:p w14:paraId="6186436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3</w:t>
                  </w:r>
                </w:p>
              </w:tc>
              <w:tc>
                <w:tcPr>
                  <w:tcW w:w="1045" w:type="pct"/>
                  <w:gridSpan w:val="2"/>
                  <w:tcBorders>
                    <w:tl2br w:val="nil"/>
                    <w:tr2bl w:val="nil"/>
                  </w:tcBorders>
                  <w:shd w:val="clear" w:color="auto" w:fill="auto"/>
                  <w:noWrap w:val="0"/>
                  <w:vAlign w:val="center"/>
                </w:tcPr>
                <w:p w14:paraId="0D618333">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冲压机</w:t>
                  </w:r>
                </w:p>
              </w:tc>
              <w:tc>
                <w:tcPr>
                  <w:tcW w:w="1062" w:type="pct"/>
                  <w:tcBorders>
                    <w:tl2br w:val="nil"/>
                    <w:tr2bl w:val="nil"/>
                  </w:tcBorders>
                  <w:shd w:val="clear" w:color="auto" w:fill="auto"/>
                  <w:noWrap w:val="0"/>
                  <w:vAlign w:val="center"/>
                </w:tcPr>
                <w:p w14:paraId="7AF317C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79C4E530">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650BB31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w:t>
                  </w:r>
                </w:p>
              </w:tc>
              <w:tc>
                <w:tcPr>
                  <w:tcW w:w="557" w:type="pct"/>
                  <w:tcBorders>
                    <w:tl2br w:val="nil"/>
                    <w:tr2bl w:val="nil"/>
                  </w:tcBorders>
                  <w:noWrap w:val="0"/>
                  <w:vAlign w:val="center"/>
                </w:tcPr>
                <w:p w14:paraId="6B57424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754" w:type="pct"/>
                  <w:vMerge w:val="continue"/>
                  <w:tcBorders>
                    <w:tl2br w:val="nil"/>
                    <w:tr2bl w:val="nil"/>
                  </w:tcBorders>
                  <w:noWrap w:val="0"/>
                  <w:vAlign w:val="center"/>
                </w:tcPr>
                <w:p w14:paraId="37591F17">
                  <w:pPr>
                    <w:jc w:val="center"/>
                    <w:rPr>
                      <w:rFonts w:hint="default" w:ascii="Times New Roman" w:hAnsi="Times New Roman" w:eastAsia="仿宋" w:cs="Times New Roman"/>
                      <w:color w:val="auto"/>
                      <w:sz w:val="21"/>
                      <w:szCs w:val="21"/>
                    </w:rPr>
                  </w:pPr>
                </w:p>
              </w:tc>
            </w:tr>
            <w:tr w14:paraId="1E2861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shd w:val="clear" w:color="auto" w:fill="auto"/>
                  <w:noWrap w:val="0"/>
                  <w:vAlign w:val="center"/>
                </w:tcPr>
                <w:p w14:paraId="3DF28820">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4</w:t>
                  </w:r>
                </w:p>
              </w:tc>
              <w:tc>
                <w:tcPr>
                  <w:tcW w:w="260" w:type="pct"/>
                  <w:vMerge w:val="restart"/>
                  <w:tcBorders>
                    <w:tl2br w:val="nil"/>
                    <w:tr2bl w:val="nil"/>
                  </w:tcBorders>
                  <w:shd w:val="clear" w:color="auto" w:fill="auto"/>
                  <w:noWrap w:val="0"/>
                  <w:vAlign w:val="center"/>
                </w:tcPr>
                <w:p w14:paraId="1D68EFE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电泳前处理1线</w:t>
                  </w:r>
                </w:p>
              </w:tc>
              <w:tc>
                <w:tcPr>
                  <w:tcW w:w="784" w:type="pct"/>
                  <w:tcBorders>
                    <w:tl2br w:val="nil"/>
                    <w:tr2bl w:val="nil"/>
                  </w:tcBorders>
                  <w:shd w:val="clear" w:color="auto" w:fill="auto"/>
                  <w:noWrap w:val="0"/>
                  <w:vAlign w:val="center"/>
                </w:tcPr>
                <w:p w14:paraId="4CC083EB">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脱脂槽</w:t>
                  </w:r>
                </w:p>
              </w:tc>
              <w:tc>
                <w:tcPr>
                  <w:tcW w:w="1062" w:type="pct"/>
                  <w:tcBorders>
                    <w:tl2br w:val="nil"/>
                    <w:tr2bl w:val="nil"/>
                  </w:tcBorders>
                  <w:shd w:val="clear" w:color="auto" w:fill="auto"/>
                  <w:noWrap w:val="0"/>
                  <w:vAlign w:val="center"/>
                </w:tcPr>
                <w:p w14:paraId="355F477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37E717C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617" w:type="pct"/>
                  <w:tcBorders>
                    <w:tl2br w:val="nil"/>
                    <w:tr2bl w:val="nil"/>
                  </w:tcBorders>
                  <w:shd w:val="clear" w:color="auto" w:fill="auto"/>
                  <w:noWrap w:val="0"/>
                  <w:vAlign w:val="center"/>
                </w:tcPr>
                <w:p w14:paraId="17B5AB5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574571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restart"/>
                  <w:tcBorders>
                    <w:tl2br w:val="nil"/>
                    <w:tr2bl w:val="nil"/>
                  </w:tcBorders>
                  <w:noWrap w:val="0"/>
                  <w:vAlign w:val="center"/>
                </w:tcPr>
                <w:p w14:paraId="4356715C">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w:t>
                  </w:r>
                </w:p>
              </w:tc>
            </w:tr>
            <w:tr w14:paraId="251FE26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D90AE7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5</w:t>
                  </w:r>
                </w:p>
              </w:tc>
              <w:tc>
                <w:tcPr>
                  <w:tcW w:w="260" w:type="pct"/>
                  <w:vMerge w:val="continue"/>
                  <w:tcBorders>
                    <w:tl2br w:val="nil"/>
                    <w:tr2bl w:val="nil"/>
                  </w:tcBorders>
                  <w:shd w:val="clear" w:color="auto" w:fill="auto"/>
                  <w:noWrap w:val="0"/>
                  <w:vAlign w:val="center"/>
                </w:tcPr>
                <w:p w14:paraId="4905DB7D">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42FFBF7D">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1AE287E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52E85E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60E68E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78B25CC0">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2C856473">
                  <w:pPr>
                    <w:jc w:val="center"/>
                    <w:rPr>
                      <w:rFonts w:hint="default" w:ascii="Times New Roman" w:hAnsi="Times New Roman" w:eastAsia="仿宋" w:cs="Times New Roman"/>
                      <w:color w:val="auto"/>
                      <w:sz w:val="21"/>
                      <w:szCs w:val="21"/>
                    </w:rPr>
                  </w:pPr>
                </w:p>
              </w:tc>
            </w:tr>
            <w:tr w14:paraId="27EB18F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776538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6</w:t>
                  </w:r>
                </w:p>
              </w:tc>
              <w:tc>
                <w:tcPr>
                  <w:tcW w:w="260" w:type="pct"/>
                  <w:vMerge w:val="continue"/>
                  <w:tcBorders>
                    <w:tl2br w:val="nil"/>
                    <w:tr2bl w:val="nil"/>
                  </w:tcBorders>
                  <w:shd w:val="clear" w:color="auto" w:fill="auto"/>
                  <w:noWrap w:val="0"/>
                  <w:vAlign w:val="center"/>
                </w:tcPr>
                <w:p w14:paraId="483B7DFD">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7FC069F3">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4C910D6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002142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AD6599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33FFB53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5DE04E71">
                  <w:pPr>
                    <w:jc w:val="center"/>
                    <w:rPr>
                      <w:rFonts w:hint="default" w:ascii="Times New Roman" w:hAnsi="Times New Roman" w:eastAsia="仿宋" w:cs="Times New Roman"/>
                      <w:color w:val="auto"/>
                      <w:sz w:val="21"/>
                      <w:szCs w:val="21"/>
                    </w:rPr>
                  </w:pPr>
                </w:p>
              </w:tc>
            </w:tr>
            <w:tr w14:paraId="697DDE0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EF8291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7</w:t>
                  </w:r>
                </w:p>
              </w:tc>
              <w:tc>
                <w:tcPr>
                  <w:tcW w:w="260" w:type="pct"/>
                  <w:vMerge w:val="continue"/>
                  <w:tcBorders>
                    <w:tl2br w:val="nil"/>
                    <w:tr2bl w:val="nil"/>
                  </w:tcBorders>
                  <w:shd w:val="clear" w:color="auto" w:fill="auto"/>
                  <w:noWrap w:val="0"/>
                  <w:vAlign w:val="center"/>
                </w:tcPr>
                <w:p w14:paraId="360718BE">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6FDB95C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酸洗槽</w:t>
                  </w:r>
                </w:p>
              </w:tc>
              <w:tc>
                <w:tcPr>
                  <w:tcW w:w="1062" w:type="pct"/>
                  <w:tcBorders>
                    <w:tl2br w:val="nil"/>
                    <w:tr2bl w:val="nil"/>
                  </w:tcBorders>
                  <w:shd w:val="clear" w:color="auto" w:fill="auto"/>
                  <w:noWrap w:val="0"/>
                  <w:vAlign w:val="center"/>
                </w:tcPr>
                <w:p w14:paraId="1322B83C">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33EA956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37DE48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0E0F26B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66E8688E">
                  <w:pPr>
                    <w:jc w:val="center"/>
                    <w:rPr>
                      <w:rFonts w:hint="default" w:ascii="Times New Roman" w:hAnsi="Times New Roman" w:eastAsia="仿宋" w:cs="Times New Roman"/>
                      <w:color w:val="auto"/>
                      <w:sz w:val="21"/>
                      <w:szCs w:val="21"/>
                    </w:rPr>
                  </w:pPr>
                </w:p>
              </w:tc>
            </w:tr>
            <w:tr w14:paraId="70A3DC6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41B52E1">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8</w:t>
                  </w:r>
                </w:p>
              </w:tc>
              <w:tc>
                <w:tcPr>
                  <w:tcW w:w="260" w:type="pct"/>
                  <w:vMerge w:val="continue"/>
                  <w:tcBorders>
                    <w:tl2br w:val="nil"/>
                    <w:tr2bl w:val="nil"/>
                  </w:tcBorders>
                  <w:shd w:val="clear" w:color="auto" w:fill="auto"/>
                  <w:noWrap w:val="0"/>
                  <w:vAlign w:val="center"/>
                </w:tcPr>
                <w:p w14:paraId="247852F0">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5087E793">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46E9A8E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03763163">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6505C16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5D202604">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2387F16B">
                  <w:pPr>
                    <w:jc w:val="center"/>
                    <w:rPr>
                      <w:rFonts w:hint="default" w:ascii="Times New Roman" w:hAnsi="Times New Roman" w:eastAsia="仿宋" w:cs="Times New Roman"/>
                      <w:color w:val="auto"/>
                      <w:sz w:val="21"/>
                      <w:szCs w:val="21"/>
                    </w:rPr>
                  </w:pPr>
                </w:p>
              </w:tc>
            </w:tr>
            <w:tr w14:paraId="49B3870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7F5010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9</w:t>
                  </w:r>
                </w:p>
              </w:tc>
              <w:tc>
                <w:tcPr>
                  <w:tcW w:w="260" w:type="pct"/>
                  <w:vMerge w:val="continue"/>
                  <w:tcBorders>
                    <w:tl2br w:val="nil"/>
                    <w:tr2bl w:val="nil"/>
                  </w:tcBorders>
                  <w:shd w:val="clear" w:color="auto" w:fill="auto"/>
                  <w:noWrap w:val="0"/>
                  <w:vAlign w:val="center"/>
                </w:tcPr>
                <w:p w14:paraId="3F37A4B6">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D123BD8">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09BECC8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3A121DE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585C894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1531B4B1">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42A802F">
                  <w:pPr>
                    <w:jc w:val="center"/>
                    <w:rPr>
                      <w:rFonts w:hint="default" w:ascii="Times New Roman" w:hAnsi="Times New Roman" w:eastAsia="仿宋" w:cs="Times New Roman"/>
                      <w:color w:val="auto"/>
                      <w:sz w:val="21"/>
                      <w:szCs w:val="21"/>
                    </w:rPr>
                  </w:pPr>
                </w:p>
              </w:tc>
            </w:tr>
            <w:tr w14:paraId="62271AD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BDD35B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10</w:t>
                  </w:r>
                </w:p>
              </w:tc>
              <w:tc>
                <w:tcPr>
                  <w:tcW w:w="260" w:type="pct"/>
                  <w:vMerge w:val="continue"/>
                  <w:tcBorders>
                    <w:tl2br w:val="nil"/>
                    <w:tr2bl w:val="nil"/>
                  </w:tcBorders>
                  <w:shd w:val="clear" w:color="auto" w:fill="auto"/>
                  <w:noWrap w:val="0"/>
                  <w:vAlign w:val="center"/>
                </w:tcPr>
                <w:p w14:paraId="0E7C65F8">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7B835F8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中和槽</w:t>
                  </w:r>
                </w:p>
              </w:tc>
              <w:tc>
                <w:tcPr>
                  <w:tcW w:w="1062" w:type="pct"/>
                  <w:tcBorders>
                    <w:tl2br w:val="nil"/>
                    <w:tr2bl w:val="nil"/>
                  </w:tcBorders>
                  <w:shd w:val="clear" w:color="auto" w:fill="auto"/>
                  <w:noWrap w:val="0"/>
                  <w:vAlign w:val="center"/>
                </w:tcPr>
                <w:p w14:paraId="3378D54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3D34FF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59B962E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71A7907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43E0BF0">
                  <w:pPr>
                    <w:jc w:val="center"/>
                    <w:rPr>
                      <w:rFonts w:hint="default" w:ascii="Times New Roman" w:hAnsi="Times New Roman" w:eastAsia="仿宋" w:cs="Times New Roman"/>
                      <w:color w:val="auto"/>
                      <w:sz w:val="21"/>
                      <w:szCs w:val="21"/>
                    </w:rPr>
                  </w:pPr>
                </w:p>
              </w:tc>
            </w:tr>
            <w:tr w14:paraId="4C8469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4887A6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11</w:t>
                  </w:r>
                </w:p>
              </w:tc>
              <w:tc>
                <w:tcPr>
                  <w:tcW w:w="260" w:type="pct"/>
                  <w:vMerge w:val="continue"/>
                  <w:tcBorders>
                    <w:tl2br w:val="nil"/>
                    <w:tr2bl w:val="nil"/>
                  </w:tcBorders>
                  <w:shd w:val="clear" w:color="auto" w:fill="auto"/>
                  <w:noWrap w:val="0"/>
                  <w:vAlign w:val="center"/>
                </w:tcPr>
                <w:p w14:paraId="162F8A3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56F856D">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1942FF0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BCBEF0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652A8AA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6B929AB6">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44978997">
                  <w:pPr>
                    <w:jc w:val="center"/>
                    <w:rPr>
                      <w:rFonts w:hint="default" w:ascii="Times New Roman" w:hAnsi="Times New Roman" w:eastAsia="仿宋" w:cs="Times New Roman"/>
                      <w:color w:val="auto"/>
                      <w:sz w:val="21"/>
                      <w:szCs w:val="21"/>
                    </w:rPr>
                  </w:pPr>
                </w:p>
              </w:tc>
            </w:tr>
            <w:tr w14:paraId="14B013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23885D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12</w:t>
                  </w:r>
                </w:p>
              </w:tc>
              <w:tc>
                <w:tcPr>
                  <w:tcW w:w="260" w:type="pct"/>
                  <w:vMerge w:val="continue"/>
                  <w:tcBorders>
                    <w:tl2br w:val="nil"/>
                    <w:tr2bl w:val="nil"/>
                  </w:tcBorders>
                  <w:shd w:val="clear" w:color="auto" w:fill="auto"/>
                  <w:noWrap w:val="0"/>
                  <w:vAlign w:val="center"/>
                </w:tcPr>
                <w:p w14:paraId="225B49D2">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6D6108E7">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391093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949AF6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1120BBE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01C5CAD1">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A6B1F45">
                  <w:pPr>
                    <w:jc w:val="center"/>
                    <w:rPr>
                      <w:rFonts w:hint="default" w:ascii="Times New Roman" w:hAnsi="Times New Roman" w:eastAsia="仿宋" w:cs="Times New Roman"/>
                      <w:color w:val="auto"/>
                      <w:sz w:val="21"/>
                      <w:szCs w:val="21"/>
                    </w:rPr>
                  </w:pPr>
                </w:p>
              </w:tc>
            </w:tr>
            <w:tr w14:paraId="629636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63B659B">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13</w:t>
                  </w:r>
                </w:p>
              </w:tc>
              <w:tc>
                <w:tcPr>
                  <w:tcW w:w="260" w:type="pct"/>
                  <w:vMerge w:val="continue"/>
                  <w:tcBorders>
                    <w:tl2br w:val="nil"/>
                    <w:tr2bl w:val="nil"/>
                  </w:tcBorders>
                  <w:shd w:val="clear" w:color="auto" w:fill="auto"/>
                  <w:noWrap w:val="0"/>
                  <w:vAlign w:val="center"/>
                </w:tcPr>
                <w:p w14:paraId="3EF650E0">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1DA9655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硅烷处理槽</w:t>
                  </w:r>
                </w:p>
              </w:tc>
              <w:tc>
                <w:tcPr>
                  <w:tcW w:w="1062" w:type="pct"/>
                  <w:tcBorders>
                    <w:tl2br w:val="nil"/>
                    <w:tr2bl w:val="nil"/>
                  </w:tcBorders>
                  <w:shd w:val="clear" w:color="auto" w:fill="auto"/>
                  <w:noWrap w:val="0"/>
                  <w:vAlign w:val="center"/>
                </w:tcPr>
                <w:p w14:paraId="339C380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D915C8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A04DF4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070760DF">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1BDBF330">
                  <w:pPr>
                    <w:jc w:val="center"/>
                    <w:rPr>
                      <w:rFonts w:hint="default" w:ascii="Times New Roman" w:hAnsi="Times New Roman" w:eastAsia="仿宋" w:cs="Times New Roman"/>
                      <w:color w:val="auto"/>
                      <w:sz w:val="21"/>
                      <w:szCs w:val="21"/>
                    </w:rPr>
                  </w:pPr>
                </w:p>
              </w:tc>
            </w:tr>
            <w:tr w14:paraId="2A36FC2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3635616">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14</w:t>
                  </w:r>
                </w:p>
              </w:tc>
              <w:tc>
                <w:tcPr>
                  <w:tcW w:w="260" w:type="pct"/>
                  <w:vMerge w:val="continue"/>
                  <w:tcBorders>
                    <w:tl2br w:val="nil"/>
                    <w:tr2bl w:val="nil"/>
                  </w:tcBorders>
                  <w:shd w:val="clear" w:color="auto" w:fill="auto"/>
                  <w:noWrap w:val="0"/>
                  <w:vAlign w:val="center"/>
                </w:tcPr>
                <w:p w14:paraId="72F2203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649896C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0A39AF7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D57896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8AFED4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242CA36C">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38D9F002">
                  <w:pPr>
                    <w:jc w:val="center"/>
                    <w:rPr>
                      <w:rFonts w:hint="default" w:ascii="Times New Roman" w:hAnsi="Times New Roman" w:eastAsia="仿宋" w:cs="Times New Roman"/>
                      <w:color w:val="auto"/>
                      <w:sz w:val="21"/>
                      <w:szCs w:val="21"/>
                    </w:rPr>
                  </w:pPr>
                </w:p>
              </w:tc>
            </w:tr>
            <w:tr w14:paraId="0F63C72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EEA5F8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15</w:t>
                  </w:r>
                </w:p>
              </w:tc>
              <w:tc>
                <w:tcPr>
                  <w:tcW w:w="260" w:type="pct"/>
                  <w:vMerge w:val="continue"/>
                  <w:tcBorders>
                    <w:tl2br w:val="nil"/>
                    <w:tr2bl w:val="nil"/>
                  </w:tcBorders>
                  <w:shd w:val="clear" w:color="auto" w:fill="auto"/>
                  <w:noWrap w:val="0"/>
                  <w:vAlign w:val="center"/>
                </w:tcPr>
                <w:p w14:paraId="703B418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1027CB8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5ED57F7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92BA94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7299FF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3D935EC7">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2464434F">
                  <w:pPr>
                    <w:jc w:val="center"/>
                    <w:rPr>
                      <w:rFonts w:hint="default" w:ascii="Times New Roman" w:hAnsi="Times New Roman" w:eastAsia="仿宋" w:cs="Times New Roman"/>
                      <w:color w:val="auto"/>
                      <w:sz w:val="21"/>
                      <w:szCs w:val="21"/>
                    </w:rPr>
                  </w:pPr>
                </w:p>
              </w:tc>
            </w:tr>
            <w:tr w14:paraId="4FC3DF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152D10B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16</w:t>
                  </w:r>
                </w:p>
              </w:tc>
              <w:tc>
                <w:tcPr>
                  <w:tcW w:w="260" w:type="pct"/>
                  <w:vMerge w:val="restart"/>
                  <w:tcBorders>
                    <w:tl2br w:val="nil"/>
                    <w:tr2bl w:val="nil"/>
                  </w:tcBorders>
                  <w:shd w:val="clear" w:color="auto" w:fill="auto"/>
                  <w:noWrap w:val="0"/>
                  <w:vAlign w:val="center"/>
                </w:tcPr>
                <w:p w14:paraId="066AF48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电泳1线</w:t>
                  </w:r>
                </w:p>
              </w:tc>
              <w:tc>
                <w:tcPr>
                  <w:tcW w:w="784" w:type="pct"/>
                  <w:tcBorders>
                    <w:tl2br w:val="nil"/>
                    <w:tr2bl w:val="nil"/>
                  </w:tcBorders>
                  <w:shd w:val="clear" w:color="auto" w:fill="auto"/>
                  <w:noWrap w:val="0"/>
                  <w:vAlign w:val="center"/>
                </w:tcPr>
                <w:p w14:paraId="7421CC6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电泳调漆机</w:t>
                  </w:r>
                </w:p>
              </w:tc>
              <w:tc>
                <w:tcPr>
                  <w:tcW w:w="1062" w:type="pct"/>
                  <w:tcBorders>
                    <w:tl2br w:val="nil"/>
                    <w:tr2bl w:val="nil"/>
                  </w:tcBorders>
                  <w:shd w:val="clear" w:color="auto" w:fill="auto"/>
                  <w:noWrap w:val="0"/>
                  <w:vAlign w:val="center"/>
                </w:tcPr>
                <w:p w14:paraId="55E99D75">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5B6F761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6A1EAA3">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28DDF61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46F7CB09">
                  <w:pPr>
                    <w:jc w:val="center"/>
                    <w:rPr>
                      <w:rFonts w:hint="default" w:ascii="Times New Roman" w:hAnsi="Times New Roman" w:eastAsia="仿宋" w:cs="Times New Roman"/>
                      <w:color w:val="auto"/>
                      <w:sz w:val="21"/>
                      <w:szCs w:val="21"/>
                    </w:rPr>
                  </w:pPr>
                </w:p>
              </w:tc>
            </w:tr>
            <w:tr w14:paraId="70C6642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0C2CCB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17</w:t>
                  </w:r>
                </w:p>
              </w:tc>
              <w:tc>
                <w:tcPr>
                  <w:tcW w:w="260" w:type="pct"/>
                  <w:vMerge w:val="continue"/>
                  <w:tcBorders>
                    <w:tl2br w:val="nil"/>
                    <w:tr2bl w:val="nil"/>
                  </w:tcBorders>
                  <w:shd w:val="clear" w:color="auto" w:fill="auto"/>
                  <w:noWrap w:val="0"/>
                  <w:vAlign w:val="center"/>
                </w:tcPr>
                <w:p w14:paraId="7603062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CAB6FE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电泳槽</w:t>
                  </w:r>
                </w:p>
              </w:tc>
              <w:tc>
                <w:tcPr>
                  <w:tcW w:w="1062" w:type="pct"/>
                  <w:tcBorders>
                    <w:tl2br w:val="nil"/>
                    <w:tr2bl w:val="nil"/>
                  </w:tcBorders>
                  <w:shd w:val="clear" w:color="auto" w:fill="auto"/>
                  <w:noWrap w:val="0"/>
                  <w:vAlign w:val="center"/>
                </w:tcPr>
                <w:p w14:paraId="33DDCA1F">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DD9DDA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4994BC4">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5F38D1F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706A5A67">
                  <w:pPr>
                    <w:jc w:val="center"/>
                    <w:rPr>
                      <w:rFonts w:hint="default" w:ascii="Times New Roman" w:hAnsi="Times New Roman" w:eastAsia="仿宋" w:cs="Times New Roman"/>
                      <w:color w:val="auto"/>
                      <w:sz w:val="21"/>
                      <w:szCs w:val="21"/>
                    </w:rPr>
                  </w:pPr>
                </w:p>
              </w:tc>
            </w:tr>
            <w:tr w14:paraId="7C295D1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9CD195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18</w:t>
                  </w:r>
                </w:p>
              </w:tc>
              <w:tc>
                <w:tcPr>
                  <w:tcW w:w="260" w:type="pct"/>
                  <w:vMerge w:val="continue"/>
                  <w:tcBorders>
                    <w:tl2br w:val="nil"/>
                    <w:tr2bl w:val="nil"/>
                  </w:tcBorders>
                  <w:shd w:val="clear" w:color="auto" w:fill="auto"/>
                  <w:noWrap w:val="0"/>
                  <w:vAlign w:val="center"/>
                </w:tcPr>
                <w:p w14:paraId="63041BEE">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7B526FB5">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回收槽</w:t>
                  </w:r>
                </w:p>
              </w:tc>
              <w:tc>
                <w:tcPr>
                  <w:tcW w:w="1062" w:type="pct"/>
                  <w:tcBorders>
                    <w:tl2br w:val="nil"/>
                    <w:tr2bl w:val="nil"/>
                  </w:tcBorders>
                  <w:shd w:val="clear" w:color="auto" w:fill="auto"/>
                  <w:noWrap w:val="0"/>
                  <w:vAlign w:val="center"/>
                </w:tcPr>
                <w:p w14:paraId="0CB01FE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752C5B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62652F4">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04AFDDBC">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6F01A769">
                  <w:pPr>
                    <w:jc w:val="center"/>
                    <w:rPr>
                      <w:rFonts w:hint="default" w:ascii="Times New Roman" w:hAnsi="Times New Roman" w:eastAsia="仿宋" w:cs="Times New Roman"/>
                      <w:color w:val="auto"/>
                      <w:sz w:val="21"/>
                      <w:szCs w:val="21"/>
                    </w:rPr>
                  </w:pPr>
                </w:p>
              </w:tc>
            </w:tr>
            <w:tr w14:paraId="291323F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9B9B30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19</w:t>
                  </w:r>
                </w:p>
              </w:tc>
              <w:tc>
                <w:tcPr>
                  <w:tcW w:w="260" w:type="pct"/>
                  <w:vMerge w:val="continue"/>
                  <w:tcBorders>
                    <w:tl2br w:val="nil"/>
                    <w:tr2bl w:val="nil"/>
                  </w:tcBorders>
                  <w:shd w:val="clear" w:color="auto" w:fill="auto"/>
                  <w:noWrap w:val="0"/>
                  <w:vAlign w:val="center"/>
                </w:tcPr>
                <w:p w14:paraId="678FF361">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C9167CF">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回收槽</w:t>
                  </w:r>
                </w:p>
              </w:tc>
              <w:tc>
                <w:tcPr>
                  <w:tcW w:w="1062" w:type="pct"/>
                  <w:tcBorders>
                    <w:tl2br w:val="nil"/>
                    <w:tr2bl w:val="nil"/>
                  </w:tcBorders>
                  <w:shd w:val="clear" w:color="auto" w:fill="auto"/>
                  <w:noWrap w:val="0"/>
                  <w:vAlign w:val="center"/>
                </w:tcPr>
                <w:p w14:paraId="057F67B6">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06AD159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0B0BD6F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37475C01">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0AE3B7A3">
                  <w:pPr>
                    <w:jc w:val="center"/>
                    <w:rPr>
                      <w:rFonts w:hint="default" w:ascii="Times New Roman" w:hAnsi="Times New Roman" w:eastAsia="仿宋" w:cs="Times New Roman"/>
                      <w:color w:val="auto"/>
                      <w:sz w:val="21"/>
                      <w:szCs w:val="21"/>
                    </w:rPr>
                  </w:pPr>
                </w:p>
              </w:tc>
            </w:tr>
            <w:tr w14:paraId="25E457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E7B4BB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20</w:t>
                  </w:r>
                </w:p>
              </w:tc>
              <w:tc>
                <w:tcPr>
                  <w:tcW w:w="260" w:type="pct"/>
                  <w:vMerge w:val="continue"/>
                  <w:tcBorders>
                    <w:tl2br w:val="nil"/>
                    <w:tr2bl w:val="nil"/>
                  </w:tcBorders>
                  <w:shd w:val="clear" w:color="auto" w:fill="auto"/>
                  <w:noWrap w:val="0"/>
                  <w:vAlign w:val="center"/>
                </w:tcPr>
                <w:p w14:paraId="6E5D461B">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19708D75">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4D4EE957">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1224B73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70F6CA56">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4DD55F35">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0AFDFB31">
                  <w:pPr>
                    <w:jc w:val="center"/>
                    <w:rPr>
                      <w:rFonts w:hint="default" w:ascii="Times New Roman" w:hAnsi="Times New Roman" w:eastAsia="仿宋" w:cs="Times New Roman"/>
                      <w:color w:val="auto"/>
                      <w:sz w:val="21"/>
                      <w:szCs w:val="21"/>
                    </w:rPr>
                  </w:pPr>
                </w:p>
              </w:tc>
            </w:tr>
            <w:tr w14:paraId="40F941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42616F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21</w:t>
                  </w:r>
                </w:p>
              </w:tc>
              <w:tc>
                <w:tcPr>
                  <w:tcW w:w="260" w:type="pct"/>
                  <w:vMerge w:val="continue"/>
                  <w:tcBorders>
                    <w:tl2br w:val="nil"/>
                    <w:tr2bl w:val="nil"/>
                  </w:tcBorders>
                  <w:shd w:val="clear" w:color="auto" w:fill="auto"/>
                  <w:noWrap w:val="0"/>
                  <w:vAlign w:val="center"/>
                </w:tcPr>
                <w:p w14:paraId="75E1C2C0">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7142D87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2485B8AD">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037A8B0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542B364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557" w:type="pct"/>
                  <w:tcBorders>
                    <w:tl2br w:val="nil"/>
                    <w:tr2bl w:val="nil"/>
                  </w:tcBorders>
                  <w:noWrap w:val="0"/>
                  <w:vAlign w:val="center"/>
                </w:tcPr>
                <w:p w14:paraId="6621A6C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05B5EAE">
                  <w:pPr>
                    <w:jc w:val="center"/>
                    <w:rPr>
                      <w:rFonts w:hint="default" w:ascii="Times New Roman" w:hAnsi="Times New Roman" w:eastAsia="仿宋" w:cs="Times New Roman"/>
                      <w:color w:val="auto"/>
                      <w:sz w:val="21"/>
                      <w:szCs w:val="21"/>
                    </w:rPr>
                  </w:pPr>
                </w:p>
              </w:tc>
            </w:tr>
            <w:tr w14:paraId="78FCCA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43B6CE7">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22</w:t>
                  </w:r>
                </w:p>
              </w:tc>
              <w:tc>
                <w:tcPr>
                  <w:tcW w:w="260" w:type="pct"/>
                  <w:vMerge w:val="continue"/>
                  <w:tcBorders>
                    <w:tl2br w:val="nil"/>
                    <w:tr2bl w:val="nil"/>
                  </w:tcBorders>
                  <w:shd w:val="clear" w:color="auto" w:fill="auto"/>
                  <w:noWrap w:val="0"/>
                  <w:vAlign w:val="center"/>
                </w:tcPr>
                <w:p w14:paraId="5F1DA5B2">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E62C3E9">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切水槽</w:t>
                  </w:r>
                </w:p>
              </w:tc>
              <w:tc>
                <w:tcPr>
                  <w:tcW w:w="1062" w:type="pct"/>
                  <w:tcBorders>
                    <w:tl2br w:val="nil"/>
                    <w:tr2bl w:val="nil"/>
                  </w:tcBorders>
                  <w:shd w:val="clear" w:color="auto" w:fill="auto"/>
                  <w:noWrap w:val="0"/>
                  <w:vAlign w:val="center"/>
                </w:tcPr>
                <w:p w14:paraId="2CF618AA">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943328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63AB202A">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noWrap w:val="0"/>
                  <w:vAlign w:val="center"/>
                </w:tcPr>
                <w:p w14:paraId="311D1C3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24C973E0">
                  <w:pPr>
                    <w:jc w:val="center"/>
                    <w:rPr>
                      <w:rFonts w:hint="default" w:ascii="Times New Roman" w:hAnsi="Times New Roman" w:eastAsia="仿宋" w:cs="Times New Roman"/>
                      <w:color w:val="auto"/>
                      <w:sz w:val="21"/>
                      <w:szCs w:val="21"/>
                    </w:rPr>
                  </w:pPr>
                </w:p>
              </w:tc>
            </w:tr>
            <w:tr w14:paraId="331A251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17E5B24F">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23</w:t>
                  </w:r>
                </w:p>
              </w:tc>
              <w:tc>
                <w:tcPr>
                  <w:tcW w:w="260" w:type="pct"/>
                  <w:vMerge w:val="restart"/>
                  <w:tcBorders>
                    <w:tl2br w:val="nil"/>
                    <w:tr2bl w:val="nil"/>
                  </w:tcBorders>
                  <w:shd w:val="clear" w:color="auto" w:fill="auto"/>
                  <w:noWrap w:val="0"/>
                  <w:vAlign w:val="center"/>
                </w:tcPr>
                <w:p w14:paraId="2A2676A3">
                  <w:pPr>
                    <w:jc w:val="center"/>
                    <w:rPr>
                      <w:rFonts w:hint="default" w:ascii="Times New Roman" w:hAnsi="Times New Roman" w:eastAsia="仿宋" w:cs="Times New Roman"/>
                      <w:color w:val="auto"/>
                      <w:sz w:val="21"/>
                      <w:szCs w:val="21"/>
                      <w:lang w:val="en-US" w:eastAsia="en-US"/>
                    </w:rPr>
                  </w:pPr>
                  <w:r>
                    <w:rPr>
                      <w:rFonts w:hint="eastAsia" w:eastAsia="仿宋" w:cs="Times New Roman"/>
                      <w:color w:val="auto"/>
                      <w:sz w:val="21"/>
                      <w:szCs w:val="21"/>
                      <w:lang w:val="en-US" w:eastAsia="zh-CN"/>
                    </w:rPr>
                    <w:t>电泳前处理2线</w:t>
                  </w:r>
                </w:p>
              </w:tc>
              <w:tc>
                <w:tcPr>
                  <w:tcW w:w="784" w:type="pct"/>
                  <w:tcBorders>
                    <w:tl2br w:val="nil"/>
                    <w:tr2bl w:val="nil"/>
                  </w:tcBorders>
                  <w:shd w:val="clear" w:color="auto" w:fill="auto"/>
                  <w:noWrap w:val="0"/>
                  <w:vAlign w:val="center"/>
                </w:tcPr>
                <w:p w14:paraId="4ABF483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脱脂槽</w:t>
                  </w:r>
                </w:p>
              </w:tc>
              <w:tc>
                <w:tcPr>
                  <w:tcW w:w="1062" w:type="pct"/>
                  <w:tcBorders>
                    <w:tl2br w:val="nil"/>
                    <w:tr2bl w:val="nil"/>
                  </w:tcBorders>
                  <w:shd w:val="clear" w:color="auto" w:fill="auto"/>
                  <w:noWrap w:val="0"/>
                  <w:vAlign w:val="center"/>
                </w:tcPr>
                <w:p w14:paraId="08D9825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2DF461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w:t>
                  </w:r>
                </w:p>
              </w:tc>
              <w:tc>
                <w:tcPr>
                  <w:tcW w:w="617" w:type="pct"/>
                  <w:tcBorders>
                    <w:tl2br w:val="nil"/>
                    <w:tr2bl w:val="nil"/>
                  </w:tcBorders>
                  <w:shd w:val="clear" w:color="auto" w:fill="auto"/>
                  <w:noWrap w:val="0"/>
                  <w:vAlign w:val="center"/>
                </w:tcPr>
                <w:p w14:paraId="00CF275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333C914F">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68111E55">
                  <w:pPr>
                    <w:jc w:val="center"/>
                    <w:rPr>
                      <w:rFonts w:hint="default" w:ascii="Times New Roman" w:hAnsi="Times New Roman" w:eastAsia="仿宋" w:cs="Times New Roman"/>
                      <w:color w:val="auto"/>
                      <w:sz w:val="21"/>
                      <w:szCs w:val="21"/>
                    </w:rPr>
                  </w:pPr>
                </w:p>
              </w:tc>
            </w:tr>
            <w:tr w14:paraId="1E52DF8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5186E2D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24</w:t>
                  </w:r>
                </w:p>
              </w:tc>
              <w:tc>
                <w:tcPr>
                  <w:tcW w:w="260" w:type="pct"/>
                  <w:vMerge w:val="continue"/>
                  <w:tcBorders>
                    <w:tl2br w:val="nil"/>
                    <w:tr2bl w:val="nil"/>
                  </w:tcBorders>
                  <w:shd w:val="clear" w:color="auto" w:fill="auto"/>
                  <w:noWrap w:val="0"/>
                  <w:vAlign w:val="center"/>
                </w:tcPr>
                <w:p w14:paraId="51E541D8">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508AFD3C">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37011BE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6F3D4B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7C03D2A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3468874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1728148F">
                  <w:pPr>
                    <w:jc w:val="center"/>
                    <w:rPr>
                      <w:rFonts w:hint="default" w:ascii="Times New Roman" w:hAnsi="Times New Roman" w:eastAsia="仿宋" w:cs="Times New Roman"/>
                      <w:color w:val="auto"/>
                      <w:sz w:val="21"/>
                      <w:szCs w:val="21"/>
                    </w:rPr>
                  </w:pPr>
                </w:p>
              </w:tc>
            </w:tr>
            <w:tr w14:paraId="5ADB10D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A1029C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bidi="ar"/>
                    </w:rPr>
                    <w:t>25</w:t>
                  </w:r>
                </w:p>
              </w:tc>
              <w:tc>
                <w:tcPr>
                  <w:tcW w:w="260" w:type="pct"/>
                  <w:vMerge w:val="continue"/>
                  <w:tcBorders>
                    <w:tl2br w:val="nil"/>
                    <w:tr2bl w:val="nil"/>
                  </w:tcBorders>
                  <w:shd w:val="clear" w:color="auto" w:fill="auto"/>
                  <w:noWrap w:val="0"/>
                  <w:vAlign w:val="center"/>
                </w:tcPr>
                <w:p w14:paraId="2F471F2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489799A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89456B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EF776A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416DE07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621550B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1BA61107">
                  <w:pPr>
                    <w:jc w:val="center"/>
                    <w:rPr>
                      <w:rFonts w:hint="default" w:ascii="Times New Roman" w:hAnsi="Times New Roman" w:eastAsia="仿宋" w:cs="Times New Roman"/>
                      <w:color w:val="auto"/>
                      <w:sz w:val="21"/>
                      <w:szCs w:val="21"/>
                    </w:rPr>
                  </w:pPr>
                </w:p>
              </w:tc>
            </w:tr>
            <w:tr w14:paraId="4D4814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7BC2E5F">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26</w:t>
                  </w:r>
                </w:p>
              </w:tc>
              <w:tc>
                <w:tcPr>
                  <w:tcW w:w="260" w:type="pct"/>
                  <w:vMerge w:val="continue"/>
                  <w:tcBorders>
                    <w:tl2br w:val="nil"/>
                    <w:tr2bl w:val="nil"/>
                  </w:tcBorders>
                  <w:shd w:val="clear" w:color="auto" w:fill="auto"/>
                  <w:noWrap w:val="0"/>
                  <w:vAlign w:val="center"/>
                </w:tcPr>
                <w:p w14:paraId="0033EF2B">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1765FA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酸洗槽</w:t>
                  </w:r>
                </w:p>
              </w:tc>
              <w:tc>
                <w:tcPr>
                  <w:tcW w:w="1062" w:type="pct"/>
                  <w:tcBorders>
                    <w:tl2br w:val="nil"/>
                    <w:tr2bl w:val="nil"/>
                  </w:tcBorders>
                  <w:shd w:val="clear" w:color="auto" w:fill="auto"/>
                  <w:noWrap w:val="0"/>
                  <w:vAlign w:val="center"/>
                </w:tcPr>
                <w:p w14:paraId="12B1EEF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796E46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612E4F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7321D8C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411B154">
                  <w:pPr>
                    <w:jc w:val="center"/>
                    <w:rPr>
                      <w:rFonts w:hint="default" w:ascii="Times New Roman" w:hAnsi="Times New Roman" w:eastAsia="仿宋" w:cs="Times New Roman"/>
                      <w:color w:val="auto"/>
                      <w:sz w:val="21"/>
                      <w:szCs w:val="21"/>
                    </w:rPr>
                  </w:pPr>
                </w:p>
              </w:tc>
            </w:tr>
            <w:tr w14:paraId="0D38CCA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5056A855">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28</w:t>
                  </w:r>
                </w:p>
              </w:tc>
              <w:tc>
                <w:tcPr>
                  <w:tcW w:w="260" w:type="pct"/>
                  <w:vMerge w:val="continue"/>
                  <w:tcBorders>
                    <w:tl2br w:val="nil"/>
                    <w:tr2bl w:val="nil"/>
                  </w:tcBorders>
                  <w:shd w:val="clear" w:color="auto" w:fill="auto"/>
                  <w:noWrap w:val="0"/>
                  <w:vAlign w:val="center"/>
                </w:tcPr>
                <w:p w14:paraId="1CD4FC95">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1AF8E63D">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17D9F2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22EA80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5C384FF">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49C5D4A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3ED440B3">
                  <w:pPr>
                    <w:jc w:val="center"/>
                    <w:rPr>
                      <w:rFonts w:hint="default" w:ascii="Times New Roman" w:hAnsi="Times New Roman" w:eastAsia="仿宋" w:cs="Times New Roman"/>
                      <w:color w:val="auto"/>
                      <w:sz w:val="21"/>
                      <w:szCs w:val="21"/>
                    </w:rPr>
                  </w:pPr>
                </w:p>
              </w:tc>
            </w:tr>
            <w:tr w14:paraId="66E8011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C3F3DC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29</w:t>
                  </w:r>
                </w:p>
              </w:tc>
              <w:tc>
                <w:tcPr>
                  <w:tcW w:w="260" w:type="pct"/>
                  <w:vMerge w:val="continue"/>
                  <w:tcBorders>
                    <w:tl2br w:val="nil"/>
                    <w:tr2bl w:val="nil"/>
                  </w:tcBorders>
                  <w:shd w:val="clear" w:color="auto" w:fill="auto"/>
                  <w:noWrap w:val="0"/>
                  <w:vAlign w:val="center"/>
                </w:tcPr>
                <w:p w14:paraId="4DE0F1A9">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860EE9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3695079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0341912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59556F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7DB3130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A4DB56A">
                  <w:pPr>
                    <w:jc w:val="center"/>
                    <w:rPr>
                      <w:rFonts w:hint="default" w:ascii="Times New Roman" w:hAnsi="Times New Roman" w:eastAsia="仿宋" w:cs="Times New Roman"/>
                      <w:color w:val="auto"/>
                      <w:sz w:val="21"/>
                      <w:szCs w:val="21"/>
                    </w:rPr>
                  </w:pPr>
                </w:p>
              </w:tc>
            </w:tr>
            <w:tr w14:paraId="4B137A2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173BB6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30</w:t>
                  </w:r>
                </w:p>
              </w:tc>
              <w:tc>
                <w:tcPr>
                  <w:tcW w:w="260" w:type="pct"/>
                  <w:vMerge w:val="continue"/>
                  <w:tcBorders>
                    <w:tl2br w:val="nil"/>
                    <w:tr2bl w:val="nil"/>
                  </w:tcBorders>
                  <w:shd w:val="clear" w:color="auto" w:fill="auto"/>
                  <w:noWrap w:val="0"/>
                  <w:vAlign w:val="center"/>
                </w:tcPr>
                <w:p w14:paraId="01651147">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5002668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中和槽</w:t>
                  </w:r>
                </w:p>
              </w:tc>
              <w:tc>
                <w:tcPr>
                  <w:tcW w:w="1062" w:type="pct"/>
                  <w:tcBorders>
                    <w:tl2br w:val="nil"/>
                    <w:tr2bl w:val="nil"/>
                  </w:tcBorders>
                  <w:shd w:val="clear" w:color="auto" w:fill="auto"/>
                  <w:noWrap w:val="0"/>
                  <w:vAlign w:val="center"/>
                </w:tcPr>
                <w:p w14:paraId="7D84DDF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F67641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7E996EF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46835ED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072EA86">
                  <w:pPr>
                    <w:jc w:val="center"/>
                    <w:rPr>
                      <w:rFonts w:hint="default" w:ascii="Times New Roman" w:hAnsi="Times New Roman" w:eastAsia="仿宋" w:cs="Times New Roman"/>
                      <w:color w:val="auto"/>
                      <w:sz w:val="21"/>
                      <w:szCs w:val="21"/>
                    </w:rPr>
                  </w:pPr>
                </w:p>
              </w:tc>
            </w:tr>
            <w:tr w14:paraId="7E6B372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B91331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31</w:t>
                  </w:r>
                </w:p>
              </w:tc>
              <w:tc>
                <w:tcPr>
                  <w:tcW w:w="260" w:type="pct"/>
                  <w:vMerge w:val="continue"/>
                  <w:tcBorders>
                    <w:tl2br w:val="nil"/>
                    <w:tr2bl w:val="nil"/>
                  </w:tcBorders>
                  <w:shd w:val="clear" w:color="auto" w:fill="auto"/>
                  <w:noWrap w:val="0"/>
                  <w:vAlign w:val="center"/>
                </w:tcPr>
                <w:p w14:paraId="62072531">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6B9B736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74ADABA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045595D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0831A02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5DF550E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6B5898BA">
                  <w:pPr>
                    <w:jc w:val="center"/>
                    <w:rPr>
                      <w:rFonts w:hint="default" w:ascii="Times New Roman" w:hAnsi="Times New Roman" w:eastAsia="仿宋" w:cs="Times New Roman"/>
                      <w:color w:val="auto"/>
                      <w:sz w:val="21"/>
                      <w:szCs w:val="21"/>
                    </w:rPr>
                  </w:pPr>
                </w:p>
              </w:tc>
            </w:tr>
            <w:tr w14:paraId="5C1E61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B3F5A0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32</w:t>
                  </w:r>
                </w:p>
              </w:tc>
              <w:tc>
                <w:tcPr>
                  <w:tcW w:w="260" w:type="pct"/>
                  <w:vMerge w:val="continue"/>
                  <w:tcBorders>
                    <w:tl2br w:val="nil"/>
                    <w:tr2bl w:val="nil"/>
                  </w:tcBorders>
                  <w:shd w:val="clear" w:color="auto" w:fill="auto"/>
                  <w:noWrap w:val="0"/>
                  <w:vAlign w:val="center"/>
                </w:tcPr>
                <w:p w14:paraId="6697A8D4">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EDA39DC">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洗槽</w:t>
                  </w:r>
                </w:p>
              </w:tc>
              <w:tc>
                <w:tcPr>
                  <w:tcW w:w="1062" w:type="pct"/>
                  <w:tcBorders>
                    <w:tl2br w:val="nil"/>
                    <w:tr2bl w:val="nil"/>
                  </w:tcBorders>
                  <w:shd w:val="clear" w:color="auto" w:fill="auto"/>
                  <w:noWrap w:val="0"/>
                  <w:vAlign w:val="center"/>
                </w:tcPr>
                <w:p w14:paraId="7646C50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EA1801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5177C3A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596E958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715BC742">
                  <w:pPr>
                    <w:jc w:val="center"/>
                    <w:rPr>
                      <w:rFonts w:hint="default" w:ascii="Times New Roman" w:hAnsi="Times New Roman" w:eastAsia="仿宋" w:cs="Times New Roman"/>
                      <w:color w:val="auto"/>
                      <w:sz w:val="21"/>
                      <w:szCs w:val="21"/>
                    </w:rPr>
                  </w:pPr>
                </w:p>
              </w:tc>
            </w:tr>
            <w:tr w14:paraId="2E9E41D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9429D6D">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33</w:t>
                  </w:r>
                </w:p>
              </w:tc>
              <w:tc>
                <w:tcPr>
                  <w:tcW w:w="260" w:type="pct"/>
                  <w:vMerge w:val="continue"/>
                  <w:tcBorders>
                    <w:tl2br w:val="nil"/>
                    <w:tr2bl w:val="nil"/>
                  </w:tcBorders>
                  <w:shd w:val="clear" w:color="auto" w:fill="auto"/>
                  <w:noWrap w:val="0"/>
                  <w:vAlign w:val="center"/>
                </w:tcPr>
                <w:p w14:paraId="1229EA40">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5B503646">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硅烷处理槽</w:t>
                  </w:r>
                </w:p>
              </w:tc>
              <w:tc>
                <w:tcPr>
                  <w:tcW w:w="1062" w:type="pct"/>
                  <w:tcBorders>
                    <w:tl2br w:val="nil"/>
                    <w:tr2bl w:val="nil"/>
                  </w:tcBorders>
                  <w:shd w:val="clear" w:color="auto" w:fill="auto"/>
                  <w:noWrap w:val="0"/>
                  <w:vAlign w:val="center"/>
                </w:tcPr>
                <w:p w14:paraId="3F32CA5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56A4EC6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BA2970F">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27768CE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D585BEE">
                  <w:pPr>
                    <w:jc w:val="center"/>
                    <w:rPr>
                      <w:rFonts w:hint="default" w:ascii="Times New Roman" w:hAnsi="Times New Roman" w:eastAsia="仿宋" w:cs="Times New Roman"/>
                      <w:color w:val="auto"/>
                      <w:sz w:val="21"/>
                      <w:szCs w:val="21"/>
                    </w:rPr>
                  </w:pPr>
                </w:p>
              </w:tc>
            </w:tr>
            <w:tr w14:paraId="445B61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A208E0A">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34</w:t>
                  </w:r>
                </w:p>
              </w:tc>
              <w:tc>
                <w:tcPr>
                  <w:tcW w:w="260" w:type="pct"/>
                  <w:vMerge w:val="continue"/>
                  <w:tcBorders>
                    <w:tl2br w:val="nil"/>
                    <w:tr2bl w:val="nil"/>
                  </w:tcBorders>
                  <w:shd w:val="clear" w:color="auto" w:fill="auto"/>
                  <w:noWrap w:val="0"/>
                  <w:vAlign w:val="center"/>
                </w:tcPr>
                <w:p w14:paraId="65C9DF0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EB1112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F5146A3">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2ADC66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5265D2E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100F2DD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6D9D3A14">
                  <w:pPr>
                    <w:jc w:val="center"/>
                    <w:rPr>
                      <w:rFonts w:hint="default" w:ascii="Times New Roman" w:hAnsi="Times New Roman" w:eastAsia="仿宋" w:cs="Times New Roman"/>
                      <w:color w:val="auto"/>
                      <w:sz w:val="21"/>
                      <w:szCs w:val="21"/>
                    </w:rPr>
                  </w:pPr>
                </w:p>
              </w:tc>
            </w:tr>
            <w:tr w14:paraId="6B9F86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C44A02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35</w:t>
                  </w:r>
                </w:p>
              </w:tc>
              <w:tc>
                <w:tcPr>
                  <w:tcW w:w="260" w:type="pct"/>
                  <w:vMerge w:val="continue"/>
                  <w:tcBorders>
                    <w:tl2br w:val="nil"/>
                    <w:tr2bl w:val="nil"/>
                  </w:tcBorders>
                  <w:shd w:val="clear" w:color="auto" w:fill="auto"/>
                  <w:noWrap w:val="0"/>
                  <w:vAlign w:val="center"/>
                </w:tcPr>
                <w:p w14:paraId="6BAF8A58">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FFDF698">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0E168D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EA1DEF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396A742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13BDF2A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199BB0AB">
                  <w:pPr>
                    <w:jc w:val="center"/>
                    <w:rPr>
                      <w:rFonts w:hint="default" w:ascii="Times New Roman" w:hAnsi="Times New Roman" w:eastAsia="仿宋" w:cs="Times New Roman"/>
                      <w:color w:val="auto"/>
                      <w:sz w:val="21"/>
                      <w:szCs w:val="21"/>
                    </w:rPr>
                  </w:pPr>
                </w:p>
              </w:tc>
            </w:tr>
            <w:tr w14:paraId="7F7B8C6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66B9360">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36</w:t>
                  </w:r>
                </w:p>
              </w:tc>
              <w:tc>
                <w:tcPr>
                  <w:tcW w:w="260" w:type="pct"/>
                  <w:vMerge w:val="restart"/>
                  <w:tcBorders>
                    <w:tl2br w:val="nil"/>
                    <w:tr2bl w:val="nil"/>
                  </w:tcBorders>
                  <w:shd w:val="clear" w:color="auto" w:fill="auto"/>
                  <w:noWrap w:val="0"/>
                  <w:vAlign w:val="center"/>
                </w:tcPr>
                <w:p w14:paraId="0371C81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电泳2线</w:t>
                  </w:r>
                </w:p>
              </w:tc>
              <w:tc>
                <w:tcPr>
                  <w:tcW w:w="784" w:type="pct"/>
                  <w:tcBorders>
                    <w:tl2br w:val="nil"/>
                    <w:tr2bl w:val="nil"/>
                  </w:tcBorders>
                  <w:shd w:val="clear" w:color="auto" w:fill="auto"/>
                  <w:noWrap w:val="0"/>
                  <w:vAlign w:val="center"/>
                </w:tcPr>
                <w:p w14:paraId="31C9748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电泳调漆机</w:t>
                  </w:r>
                </w:p>
              </w:tc>
              <w:tc>
                <w:tcPr>
                  <w:tcW w:w="1062" w:type="pct"/>
                  <w:tcBorders>
                    <w:tl2br w:val="nil"/>
                    <w:tr2bl w:val="nil"/>
                  </w:tcBorders>
                  <w:shd w:val="clear" w:color="auto" w:fill="auto"/>
                  <w:noWrap w:val="0"/>
                  <w:vAlign w:val="center"/>
                </w:tcPr>
                <w:p w14:paraId="3F56364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536668B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CF7A0A4">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shd w:val="clear" w:color="auto" w:fill="auto"/>
                  <w:noWrap w:val="0"/>
                  <w:vAlign w:val="center"/>
                </w:tcPr>
                <w:p w14:paraId="1C2011B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6E82B165">
                  <w:pPr>
                    <w:jc w:val="center"/>
                    <w:rPr>
                      <w:rFonts w:hint="default" w:ascii="Times New Roman" w:hAnsi="Times New Roman" w:eastAsia="仿宋" w:cs="Times New Roman"/>
                      <w:color w:val="auto"/>
                      <w:sz w:val="21"/>
                      <w:szCs w:val="21"/>
                    </w:rPr>
                  </w:pPr>
                </w:p>
              </w:tc>
            </w:tr>
            <w:tr w14:paraId="4AEA706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3425582">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37</w:t>
                  </w:r>
                </w:p>
              </w:tc>
              <w:tc>
                <w:tcPr>
                  <w:tcW w:w="260" w:type="pct"/>
                  <w:vMerge w:val="continue"/>
                  <w:tcBorders>
                    <w:tl2br w:val="nil"/>
                    <w:tr2bl w:val="nil"/>
                  </w:tcBorders>
                  <w:shd w:val="clear" w:color="auto" w:fill="auto"/>
                  <w:noWrap w:val="0"/>
                  <w:vAlign w:val="center"/>
                </w:tcPr>
                <w:p w14:paraId="1719DA25">
                  <w:pPr>
                    <w:jc w:val="center"/>
                    <w:rPr>
                      <w:rFonts w:hint="default" w:ascii="Times New Roman" w:hAnsi="Times New Roman" w:eastAsia="仿宋" w:cs="Times New Roman"/>
                      <w:color w:val="auto"/>
                      <w:sz w:val="21"/>
                      <w:szCs w:val="21"/>
                      <w:lang w:val="en-US" w:eastAsia="zh-CN"/>
                    </w:rPr>
                  </w:pPr>
                </w:p>
              </w:tc>
              <w:tc>
                <w:tcPr>
                  <w:tcW w:w="784" w:type="pct"/>
                  <w:tcBorders>
                    <w:tl2br w:val="nil"/>
                    <w:tr2bl w:val="nil"/>
                  </w:tcBorders>
                  <w:shd w:val="clear" w:color="auto" w:fill="auto"/>
                  <w:noWrap w:val="0"/>
                  <w:vAlign w:val="center"/>
                </w:tcPr>
                <w:p w14:paraId="65FB4BE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电泳槽</w:t>
                  </w:r>
                </w:p>
              </w:tc>
              <w:tc>
                <w:tcPr>
                  <w:tcW w:w="1062" w:type="pct"/>
                  <w:tcBorders>
                    <w:tl2br w:val="nil"/>
                    <w:tr2bl w:val="nil"/>
                  </w:tcBorders>
                  <w:shd w:val="clear" w:color="auto" w:fill="auto"/>
                  <w:noWrap w:val="0"/>
                  <w:vAlign w:val="center"/>
                </w:tcPr>
                <w:p w14:paraId="72F7E38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C134B2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4CA3C79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shd w:val="clear" w:color="auto" w:fill="auto"/>
                  <w:noWrap w:val="0"/>
                  <w:vAlign w:val="center"/>
                </w:tcPr>
                <w:p w14:paraId="5A42F08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61787196">
                  <w:pPr>
                    <w:jc w:val="center"/>
                    <w:rPr>
                      <w:rFonts w:hint="default" w:ascii="Times New Roman" w:hAnsi="Times New Roman" w:eastAsia="仿宋" w:cs="Times New Roman"/>
                      <w:color w:val="auto"/>
                      <w:sz w:val="21"/>
                      <w:szCs w:val="21"/>
                    </w:rPr>
                  </w:pPr>
                </w:p>
              </w:tc>
            </w:tr>
            <w:tr w14:paraId="07A68D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1B388A4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38</w:t>
                  </w:r>
                </w:p>
              </w:tc>
              <w:tc>
                <w:tcPr>
                  <w:tcW w:w="260" w:type="pct"/>
                  <w:vMerge w:val="continue"/>
                  <w:tcBorders>
                    <w:tl2br w:val="nil"/>
                    <w:tr2bl w:val="nil"/>
                  </w:tcBorders>
                  <w:shd w:val="clear" w:color="auto" w:fill="auto"/>
                  <w:noWrap w:val="0"/>
                  <w:vAlign w:val="center"/>
                </w:tcPr>
                <w:p w14:paraId="14CA877F">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1E4CA87">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回收槽</w:t>
                  </w:r>
                </w:p>
              </w:tc>
              <w:tc>
                <w:tcPr>
                  <w:tcW w:w="1062" w:type="pct"/>
                  <w:tcBorders>
                    <w:tl2br w:val="nil"/>
                    <w:tr2bl w:val="nil"/>
                  </w:tcBorders>
                  <w:shd w:val="clear" w:color="auto" w:fill="auto"/>
                  <w:noWrap w:val="0"/>
                  <w:vAlign w:val="center"/>
                </w:tcPr>
                <w:p w14:paraId="5D44970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23FD656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7E04F5E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shd w:val="clear" w:color="auto" w:fill="auto"/>
                  <w:noWrap w:val="0"/>
                  <w:vAlign w:val="center"/>
                </w:tcPr>
                <w:p w14:paraId="043E083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5B2BCEA7">
                  <w:pPr>
                    <w:jc w:val="center"/>
                    <w:rPr>
                      <w:rFonts w:hint="default" w:ascii="Times New Roman" w:hAnsi="Times New Roman" w:eastAsia="仿宋" w:cs="Times New Roman"/>
                      <w:color w:val="auto"/>
                      <w:sz w:val="21"/>
                      <w:szCs w:val="21"/>
                    </w:rPr>
                  </w:pPr>
                </w:p>
              </w:tc>
            </w:tr>
            <w:tr w14:paraId="2606862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35FA3A4">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40</w:t>
                  </w:r>
                </w:p>
              </w:tc>
              <w:tc>
                <w:tcPr>
                  <w:tcW w:w="260" w:type="pct"/>
                  <w:vMerge w:val="continue"/>
                  <w:tcBorders>
                    <w:tl2br w:val="nil"/>
                    <w:tr2bl w:val="nil"/>
                  </w:tcBorders>
                  <w:shd w:val="clear" w:color="auto" w:fill="auto"/>
                  <w:noWrap w:val="0"/>
                  <w:vAlign w:val="center"/>
                </w:tcPr>
                <w:p w14:paraId="3D07197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5589B072">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回收槽</w:t>
                  </w:r>
                </w:p>
              </w:tc>
              <w:tc>
                <w:tcPr>
                  <w:tcW w:w="1062" w:type="pct"/>
                  <w:tcBorders>
                    <w:tl2br w:val="nil"/>
                    <w:tr2bl w:val="nil"/>
                  </w:tcBorders>
                  <w:shd w:val="clear" w:color="auto" w:fill="auto"/>
                  <w:noWrap w:val="0"/>
                  <w:vAlign w:val="center"/>
                </w:tcPr>
                <w:p w14:paraId="752730F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56B0B7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7E1B3A7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shd w:val="clear" w:color="auto" w:fill="auto"/>
                  <w:noWrap w:val="0"/>
                  <w:vAlign w:val="center"/>
                </w:tcPr>
                <w:p w14:paraId="13ED5BF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53F4A2C8">
                  <w:pPr>
                    <w:jc w:val="center"/>
                    <w:rPr>
                      <w:rFonts w:hint="default" w:ascii="Times New Roman" w:hAnsi="Times New Roman" w:eastAsia="仿宋" w:cs="Times New Roman"/>
                      <w:color w:val="auto"/>
                      <w:sz w:val="21"/>
                      <w:szCs w:val="21"/>
                    </w:rPr>
                  </w:pPr>
                </w:p>
              </w:tc>
            </w:tr>
            <w:tr w14:paraId="1E6AC0D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E9B70BF">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41</w:t>
                  </w:r>
                </w:p>
              </w:tc>
              <w:tc>
                <w:tcPr>
                  <w:tcW w:w="260" w:type="pct"/>
                  <w:vMerge w:val="continue"/>
                  <w:tcBorders>
                    <w:tl2br w:val="nil"/>
                    <w:tr2bl w:val="nil"/>
                  </w:tcBorders>
                  <w:shd w:val="clear" w:color="auto" w:fill="auto"/>
                  <w:noWrap w:val="0"/>
                  <w:vAlign w:val="center"/>
                </w:tcPr>
                <w:p w14:paraId="12C51F60">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0CE8D987">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0862F97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4A7F346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51703FD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shd w:val="clear" w:color="auto" w:fill="auto"/>
                  <w:noWrap w:val="0"/>
                  <w:vAlign w:val="center"/>
                </w:tcPr>
                <w:p w14:paraId="235B268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0A88F00B">
                  <w:pPr>
                    <w:jc w:val="center"/>
                    <w:rPr>
                      <w:rFonts w:hint="default" w:ascii="Times New Roman" w:hAnsi="Times New Roman" w:eastAsia="仿宋" w:cs="Times New Roman"/>
                      <w:color w:val="auto"/>
                      <w:sz w:val="21"/>
                      <w:szCs w:val="21"/>
                    </w:rPr>
                  </w:pPr>
                </w:p>
              </w:tc>
            </w:tr>
            <w:tr w14:paraId="352C84F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66" w:type="pct"/>
                  <w:tcBorders>
                    <w:tl2br w:val="nil"/>
                    <w:tr2bl w:val="nil"/>
                  </w:tcBorders>
                  <w:shd w:val="clear" w:color="auto" w:fill="auto"/>
                  <w:noWrap w:val="0"/>
                  <w:vAlign w:val="center"/>
                </w:tcPr>
                <w:p w14:paraId="13684E1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42</w:t>
                  </w:r>
                </w:p>
              </w:tc>
              <w:tc>
                <w:tcPr>
                  <w:tcW w:w="260" w:type="pct"/>
                  <w:vMerge w:val="continue"/>
                  <w:tcBorders>
                    <w:tl2br w:val="nil"/>
                    <w:tr2bl w:val="nil"/>
                  </w:tcBorders>
                  <w:shd w:val="clear" w:color="auto" w:fill="auto"/>
                  <w:noWrap w:val="0"/>
                  <w:vAlign w:val="center"/>
                </w:tcPr>
                <w:p w14:paraId="3297BAB7">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670A8B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5D1C15E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70BD876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61EC55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557" w:type="pct"/>
                  <w:tcBorders>
                    <w:tl2br w:val="nil"/>
                    <w:tr2bl w:val="nil"/>
                  </w:tcBorders>
                  <w:shd w:val="clear" w:color="auto" w:fill="auto"/>
                  <w:noWrap w:val="0"/>
                  <w:vAlign w:val="center"/>
                </w:tcPr>
                <w:p w14:paraId="61CE25B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DD0289E">
                  <w:pPr>
                    <w:jc w:val="center"/>
                    <w:rPr>
                      <w:rFonts w:hint="default" w:ascii="Times New Roman" w:hAnsi="Times New Roman" w:eastAsia="仿宋" w:cs="Times New Roman"/>
                      <w:color w:val="auto"/>
                      <w:sz w:val="21"/>
                      <w:szCs w:val="21"/>
                    </w:rPr>
                  </w:pPr>
                </w:p>
              </w:tc>
            </w:tr>
            <w:tr w14:paraId="59A7C70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1FFCDE6F">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43</w:t>
                  </w:r>
                </w:p>
              </w:tc>
              <w:tc>
                <w:tcPr>
                  <w:tcW w:w="260" w:type="pct"/>
                  <w:vMerge w:val="continue"/>
                  <w:tcBorders>
                    <w:tl2br w:val="nil"/>
                    <w:tr2bl w:val="nil"/>
                  </w:tcBorders>
                  <w:shd w:val="clear" w:color="auto" w:fill="auto"/>
                  <w:noWrap w:val="0"/>
                  <w:vAlign w:val="center"/>
                </w:tcPr>
                <w:p w14:paraId="49D6AF47">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47A3F44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切水槽</w:t>
                  </w:r>
                </w:p>
              </w:tc>
              <w:tc>
                <w:tcPr>
                  <w:tcW w:w="1062" w:type="pct"/>
                  <w:tcBorders>
                    <w:tl2br w:val="nil"/>
                    <w:tr2bl w:val="nil"/>
                  </w:tcBorders>
                  <w:shd w:val="clear" w:color="auto" w:fill="auto"/>
                  <w:noWrap w:val="0"/>
                  <w:vAlign w:val="center"/>
                </w:tcPr>
                <w:p w14:paraId="70C7FE9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1.4m*0.8m*1.15m</w:t>
                  </w:r>
                </w:p>
              </w:tc>
              <w:tc>
                <w:tcPr>
                  <w:tcW w:w="595" w:type="pct"/>
                  <w:tcBorders>
                    <w:tl2br w:val="nil"/>
                    <w:tr2bl w:val="nil"/>
                  </w:tcBorders>
                  <w:shd w:val="clear" w:color="auto" w:fill="auto"/>
                  <w:noWrap w:val="0"/>
                  <w:vAlign w:val="center"/>
                </w:tcPr>
                <w:p w14:paraId="625F9D8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76796DD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1</w:t>
                  </w:r>
                </w:p>
              </w:tc>
              <w:tc>
                <w:tcPr>
                  <w:tcW w:w="557" w:type="pct"/>
                  <w:tcBorders>
                    <w:tl2br w:val="nil"/>
                    <w:tr2bl w:val="nil"/>
                  </w:tcBorders>
                  <w:shd w:val="clear" w:color="auto" w:fill="auto"/>
                  <w:noWrap w:val="0"/>
                  <w:vAlign w:val="center"/>
                </w:tcPr>
                <w:p w14:paraId="182633C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66CC6E06">
                  <w:pPr>
                    <w:jc w:val="center"/>
                    <w:rPr>
                      <w:rFonts w:hint="default" w:ascii="Times New Roman" w:hAnsi="Times New Roman" w:eastAsia="仿宋" w:cs="Times New Roman"/>
                      <w:color w:val="auto"/>
                      <w:sz w:val="21"/>
                      <w:szCs w:val="21"/>
                      <w:lang w:val="en-US" w:eastAsia="zh-CN"/>
                    </w:rPr>
                  </w:pPr>
                </w:p>
              </w:tc>
            </w:tr>
            <w:tr w14:paraId="07E1CB5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157D3800">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44</w:t>
                  </w:r>
                </w:p>
              </w:tc>
              <w:tc>
                <w:tcPr>
                  <w:tcW w:w="260" w:type="pct"/>
                  <w:vMerge w:val="restart"/>
                  <w:tcBorders>
                    <w:tl2br w:val="nil"/>
                    <w:tr2bl w:val="nil"/>
                  </w:tcBorders>
                  <w:shd w:val="clear" w:color="auto" w:fill="auto"/>
                  <w:noWrap w:val="0"/>
                  <w:vAlign w:val="center"/>
                </w:tcPr>
                <w:p w14:paraId="30054AD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喷粉前处理线</w:t>
                  </w:r>
                </w:p>
              </w:tc>
              <w:tc>
                <w:tcPr>
                  <w:tcW w:w="784" w:type="pct"/>
                  <w:tcBorders>
                    <w:tl2br w:val="nil"/>
                    <w:tr2bl w:val="nil"/>
                  </w:tcBorders>
                  <w:shd w:val="clear" w:color="auto" w:fill="auto"/>
                  <w:noWrap w:val="0"/>
                  <w:vAlign w:val="center"/>
                </w:tcPr>
                <w:p w14:paraId="025FB6A2">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脱脂槽</w:t>
                  </w:r>
                </w:p>
              </w:tc>
              <w:tc>
                <w:tcPr>
                  <w:tcW w:w="1062" w:type="pct"/>
                  <w:tcBorders>
                    <w:tl2br w:val="nil"/>
                    <w:tr2bl w:val="nil"/>
                  </w:tcBorders>
                  <w:shd w:val="clear" w:color="auto" w:fill="auto"/>
                  <w:noWrap w:val="0"/>
                  <w:vAlign w:val="center"/>
                </w:tcPr>
                <w:p w14:paraId="2EC7F5E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61F23E5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w:t>
                  </w:r>
                </w:p>
              </w:tc>
              <w:tc>
                <w:tcPr>
                  <w:tcW w:w="617" w:type="pct"/>
                  <w:tcBorders>
                    <w:tl2br w:val="nil"/>
                    <w:tr2bl w:val="nil"/>
                  </w:tcBorders>
                  <w:shd w:val="clear" w:color="auto" w:fill="auto"/>
                  <w:noWrap w:val="0"/>
                  <w:vAlign w:val="center"/>
                </w:tcPr>
                <w:p w14:paraId="09C554B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A3D3564">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754" w:type="pct"/>
                  <w:vMerge w:val="restart"/>
                  <w:tcBorders>
                    <w:tl2br w:val="nil"/>
                    <w:tr2bl w:val="nil"/>
                  </w:tcBorders>
                  <w:noWrap w:val="0"/>
                  <w:vAlign w:val="center"/>
                </w:tcPr>
                <w:p w14:paraId="1B68CF33">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喷粉前处理</w:t>
                  </w:r>
                </w:p>
              </w:tc>
            </w:tr>
            <w:tr w14:paraId="2F49233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87FB88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45</w:t>
                  </w:r>
                </w:p>
              </w:tc>
              <w:tc>
                <w:tcPr>
                  <w:tcW w:w="260" w:type="pct"/>
                  <w:vMerge w:val="continue"/>
                  <w:tcBorders>
                    <w:tl2br w:val="nil"/>
                    <w:tr2bl w:val="nil"/>
                  </w:tcBorders>
                  <w:shd w:val="clear" w:color="auto" w:fill="auto"/>
                  <w:noWrap w:val="0"/>
                  <w:vAlign w:val="center"/>
                </w:tcPr>
                <w:p w14:paraId="7110D973">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74CE253">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5981BBC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6931A3E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617" w:type="pct"/>
                  <w:tcBorders>
                    <w:tl2br w:val="nil"/>
                    <w:tr2bl w:val="nil"/>
                  </w:tcBorders>
                  <w:shd w:val="clear" w:color="auto" w:fill="auto"/>
                  <w:noWrap w:val="0"/>
                  <w:vAlign w:val="center"/>
                </w:tcPr>
                <w:p w14:paraId="4C5552D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6CA2BBB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78C4DAB1">
                  <w:pPr>
                    <w:jc w:val="center"/>
                    <w:rPr>
                      <w:rFonts w:hint="default" w:ascii="Times New Roman" w:hAnsi="Times New Roman" w:eastAsia="仿宋" w:cs="Times New Roman"/>
                      <w:color w:val="auto"/>
                      <w:sz w:val="21"/>
                      <w:szCs w:val="21"/>
                    </w:rPr>
                  </w:pPr>
                </w:p>
              </w:tc>
            </w:tr>
            <w:tr w14:paraId="3E722AC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12EDAF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46</w:t>
                  </w:r>
                </w:p>
              </w:tc>
              <w:tc>
                <w:tcPr>
                  <w:tcW w:w="260" w:type="pct"/>
                  <w:vMerge w:val="continue"/>
                  <w:tcBorders>
                    <w:tl2br w:val="nil"/>
                    <w:tr2bl w:val="nil"/>
                  </w:tcBorders>
                  <w:shd w:val="clear" w:color="auto" w:fill="auto"/>
                  <w:noWrap w:val="0"/>
                  <w:vAlign w:val="center"/>
                </w:tcPr>
                <w:p w14:paraId="6D9DE453">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05356141">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酸洗槽</w:t>
                  </w:r>
                </w:p>
              </w:tc>
              <w:tc>
                <w:tcPr>
                  <w:tcW w:w="1062" w:type="pct"/>
                  <w:tcBorders>
                    <w:tl2br w:val="nil"/>
                    <w:tr2bl w:val="nil"/>
                  </w:tcBorders>
                  <w:shd w:val="clear" w:color="auto" w:fill="auto"/>
                  <w:noWrap w:val="0"/>
                  <w:vAlign w:val="center"/>
                </w:tcPr>
                <w:p w14:paraId="230053C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46A23A9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88A8BB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E1ED74A">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2FF803C">
                  <w:pPr>
                    <w:jc w:val="center"/>
                    <w:rPr>
                      <w:rFonts w:hint="default" w:ascii="Times New Roman" w:hAnsi="Times New Roman" w:eastAsia="仿宋" w:cs="Times New Roman"/>
                      <w:color w:val="auto"/>
                      <w:sz w:val="21"/>
                      <w:szCs w:val="21"/>
                    </w:rPr>
                  </w:pPr>
                </w:p>
              </w:tc>
            </w:tr>
            <w:tr w14:paraId="07EFBD6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3AA481C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47</w:t>
                  </w:r>
                </w:p>
              </w:tc>
              <w:tc>
                <w:tcPr>
                  <w:tcW w:w="260" w:type="pct"/>
                  <w:vMerge w:val="continue"/>
                  <w:tcBorders>
                    <w:tl2br w:val="nil"/>
                    <w:tr2bl w:val="nil"/>
                  </w:tcBorders>
                  <w:shd w:val="clear" w:color="auto" w:fill="auto"/>
                  <w:noWrap w:val="0"/>
                  <w:vAlign w:val="center"/>
                </w:tcPr>
                <w:p w14:paraId="14E2176D">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CACF8B5">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0C87394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0F92FBF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085ECB3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635BD118">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01E1018">
                  <w:pPr>
                    <w:jc w:val="center"/>
                    <w:rPr>
                      <w:rFonts w:hint="default" w:ascii="Times New Roman" w:hAnsi="Times New Roman" w:eastAsia="仿宋" w:cs="Times New Roman"/>
                      <w:color w:val="auto"/>
                      <w:sz w:val="21"/>
                      <w:szCs w:val="21"/>
                    </w:rPr>
                  </w:pPr>
                </w:p>
              </w:tc>
            </w:tr>
            <w:tr w14:paraId="1F4791C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56527961">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48</w:t>
                  </w:r>
                </w:p>
              </w:tc>
              <w:tc>
                <w:tcPr>
                  <w:tcW w:w="260" w:type="pct"/>
                  <w:vMerge w:val="continue"/>
                  <w:tcBorders>
                    <w:tl2br w:val="nil"/>
                    <w:tr2bl w:val="nil"/>
                  </w:tcBorders>
                  <w:shd w:val="clear" w:color="auto" w:fill="auto"/>
                  <w:noWrap w:val="0"/>
                  <w:vAlign w:val="center"/>
                </w:tcPr>
                <w:p w14:paraId="64B4B12D">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31B49EF9">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表调槽</w:t>
                  </w:r>
                </w:p>
              </w:tc>
              <w:tc>
                <w:tcPr>
                  <w:tcW w:w="1062" w:type="pct"/>
                  <w:tcBorders>
                    <w:tl2br w:val="nil"/>
                    <w:tr2bl w:val="nil"/>
                  </w:tcBorders>
                  <w:shd w:val="clear" w:color="auto" w:fill="auto"/>
                  <w:noWrap w:val="0"/>
                  <w:vAlign w:val="center"/>
                </w:tcPr>
                <w:p w14:paraId="57DA161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5DBC172C">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6E0EF19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78F69D8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513BFB74">
                  <w:pPr>
                    <w:jc w:val="center"/>
                    <w:rPr>
                      <w:rFonts w:hint="default" w:ascii="Times New Roman" w:hAnsi="Times New Roman" w:eastAsia="仿宋" w:cs="Times New Roman"/>
                      <w:color w:val="auto"/>
                      <w:sz w:val="21"/>
                      <w:szCs w:val="21"/>
                    </w:rPr>
                  </w:pPr>
                </w:p>
              </w:tc>
            </w:tr>
            <w:tr w14:paraId="4B84966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AB7418F">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49</w:t>
                  </w:r>
                </w:p>
              </w:tc>
              <w:tc>
                <w:tcPr>
                  <w:tcW w:w="260" w:type="pct"/>
                  <w:vMerge w:val="continue"/>
                  <w:tcBorders>
                    <w:tl2br w:val="nil"/>
                    <w:tr2bl w:val="nil"/>
                  </w:tcBorders>
                  <w:shd w:val="clear" w:color="auto" w:fill="auto"/>
                  <w:noWrap w:val="0"/>
                  <w:vAlign w:val="center"/>
                </w:tcPr>
                <w:p w14:paraId="7436BD48">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02519951">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310EB17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3B720D0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42D07AE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4E9857F">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030EF13B">
                  <w:pPr>
                    <w:jc w:val="center"/>
                    <w:rPr>
                      <w:rFonts w:hint="default" w:ascii="Times New Roman" w:hAnsi="Times New Roman" w:eastAsia="仿宋" w:cs="Times New Roman"/>
                      <w:color w:val="auto"/>
                      <w:sz w:val="21"/>
                      <w:szCs w:val="21"/>
                    </w:rPr>
                  </w:pPr>
                </w:p>
              </w:tc>
            </w:tr>
            <w:tr w14:paraId="02F5A6C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07F1B08">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50</w:t>
                  </w:r>
                </w:p>
              </w:tc>
              <w:tc>
                <w:tcPr>
                  <w:tcW w:w="260" w:type="pct"/>
                  <w:vMerge w:val="continue"/>
                  <w:tcBorders>
                    <w:tl2br w:val="nil"/>
                    <w:tr2bl w:val="nil"/>
                  </w:tcBorders>
                  <w:shd w:val="clear" w:color="auto" w:fill="auto"/>
                  <w:noWrap w:val="0"/>
                  <w:vAlign w:val="center"/>
                </w:tcPr>
                <w:p w14:paraId="321BCB9F">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2411D66B">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60A241C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7C40BBB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296332A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723BE7D5">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754" w:type="pct"/>
                  <w:vMerge w:val="continue"/>
                  <w:tcBorders>
                    <w:tl2br w:val="nil"/>
                    <w:tr2bl w:val="nil"/>
                  </w:tcBorders>
                  <w:noWrap w:val="0"/>
                  <w:vAlign w:val="center"/>
                </w:tcPr>
                <w:p w14:paraId="34FB8F6A">
                  <w:pPr>
                    <w:jc w:val="center"/>
                    <w:rPr>
                      <w:rFonts w:hint="default" w:ascii="Times New Roman" w:hAnsi="Times New Roman" w:eastAsia="仿宋" w:cs="Times New Roman"/>
                      <w:color w:val="auto"/>
                      <w:sz w:val="21"/>
                      <w:szCs w:val="21"/>
                    </w:rPr>
                  </w:pPr>
                </w:p>
              </w:tc>
            </w:tr>
            <w:tr w14:paraId="454309D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67354C1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51</w:t>
                  </w:r>
                </w:p>
              </w:tc>
              <w:tc>
                <w:tcPr>
                  <w:tcW w:w="260" w:type="pct"/>
                  <w:vMerge w:val="continue"/>
                  <w:tcBorders>
                    <w:tl2br w:val="nil"/>
                    <w:tr2bl w:val="nil"/>
                  </w:tcBorders>
                  <w:shd w:val="clear" w:color="auto" w:fill="auto"/>
                  <w:noWrap w:val="0"/>
                  <w:vAlign w:val="center"/>
                </w:tcPr>
                <w:p w14:paraId="5BBCE375">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44D106BB">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硅烷处理槽</w:t>
                  </w:r>
                </w:p>
              </w:tc>
              <w:tc>
                <w:tcPr>
                  <w:tcW w:w="1062" w:type="pct"/>
                  <w:tcBorders>
                    <w:tl2br w:val="nil"/>
                    <w:tr2bl w:val="nil"/>
                  </w:tcBorders>
                  <w:shd w:val="clear" w:color="auto" w:fill="auto"/>
                  <w:noWrap w:val="0"/>
                  <w:vAlign w:val="center"/>
                </w:tcPr>
                <w:p w14:paraId="6CBC842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1B4E1F7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072665C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7331D6C1">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BD5416C">
                  <w:pPr>
                    <w:jc w:val="center"/>
                    <w:rPr>
                      <w:rFonts w:hint="default" w:ascii="Times New Roman" w:hAnsi="Times New Roman" w:eastAsia="仿宋" w:cs="Times New Roman"/>
                      <w:color w:val="auto"/>
                      <w:sz w:val="21"/>
                      <w:szCs w:val="21"/>
                    </w:rPr>
                  </w:pPr>
                </w:p>
              </w:tc>
            </w:tr>
            <w:tr w14:paraId="12955B0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EA9A370">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52</w:t>
                  </w:r>
                </w:p>
              </w:tc>
              <w:tc>
                <w:tcPr>
                  <w:tcW w:w="260" w:type="pct"/>
                  <w:vMerge w:val="continue"/>
                  <w:tcBorders>
                    <w:tl2br w:val="nil"/>
                    <w:tr2bl w:val="nil"/>
                  </w:tcBorders>
                  <w:shd w:val="clear" w:color="auto" w:fill="auto"/>
                  <w:noWrap w:val="0"/>
                  <w:vAlign w:val="center"/>
                </w:tcPr>
                <w:p w14:paraId="40F563FA">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7982BE8F">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7186DC5C">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335FEA8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0A3B526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95FDFA5">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E1A93D9">
                  <w:pPr>
                    <w:jc w:val="center"/>
                    <w:rPr>
                      <w:rFonts w:hint="default" w:ascii="Times New Roman" w:hAnsi="Times New Roman" w:eastAsia="仿宋" w:cs="Times New Roman"/>
                      <w:color w:val="auto"/>
                      <w:sz w:val="21"/>
                      <w:szCs w:val="21"/>
                    </w:rPr>
                  </w:pPr>
                </w:p>
              </w:tc>
            </w:tr>
            <w:tr w14:paraId="525485B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2BD99AD9">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53</w:t>
                  </w:r>
                </w:p>
              </w:tc>
              <w:tc>
                <w:tcPr>
                  <w:tcW w:w="260" w:type="pct"/>
                  <w:vMerge w:val="continue"/>
                  <w:tcBorders>
                    <w:tl2br w:val="nil"/>
                    <w:tr2bl w:val="nil"/>
                  </w:tcBorders>
                  <w:shd w:val="clear" w:color="auto" w:fill="auto"/>
                  <w:noWrap w:val="0"/>
                  <w:vAlign w:val="center"/>
                </w:tcPr>
                <w:p w14:paraId="344A92EE">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051F0C2A">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10D32C5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0A4D348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FE4069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6192A9F5">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502C906A">
                  <w:pPr>
                    <w:jc w:val="center"/>
                    <w:rPr>
                      <w:rFonts w:hint="default" w:ascii="Times New Roman" w:hAnsi="Times New Roman" w:eastAsia="仿宋" w:cs="Times New Roman"/>
                      <w:color w:val="auto"/>
                      <w:sz w:val="21"/>
                      <w:szCs w:val="21"/>
                    </w:rPr>
                  </w:pPr>
                </w:p>
              </w:tc>
            </w:tr>
            <w:tr w14:paraId="7B1FD52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47CEA52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54</w:t>
                  </w:r>
                </w:p>
              </w:tc>
              <w:tc>
                <w:tcPr>
                  <w:tcW w:w="260" w:type="pct"/>
                  <w:vMerge w:val="continue"/>
                  <w:tcBorders>
                    <w:tl2br w:val="nil"/>
                    <w:tr2bl w:val="nil"/>
                  </w:tcBorders>
                  <w:shd w:val="clear" w:color="auto" w:fill="auto"/>
                  <w:noWrap w:val="0"/>
                  <w:vAlign w:val="center"/>
                </w:tcPr>
                <w:p w14:paraId="7DD667BB">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6495D929">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37A1E89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40E5AE9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1F2CEAC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6CE920EA">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7869C2F5">
                  <w:pPr>
                    <w:jc w:val="center"/>
                    <w:rPr>
                      <w:rFonts w:hint="default" w:ascii="Times New Roman" w:hAnsi="Times New Roman" w:eastAsia="仿宋" w:cs="Times New Roman"/>
                      <w:color w:val="auto"/>
                      <w:sz w:val="21"/>
                      <w:szCs w:val="21"/>
                    </w:rPr>
                  </w:pPr>
                </w:p>
              </w:tc>
            </w:tr>
            <w:tr w14:paraId="29EEC09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E4973DD">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55</w:t>
                  </w:r>
                </w:p>
              </w:tc>
              <w:tc>
                <w:tcPr>
                  <w:tcW w:w="260" w:type="pct"/>
                  <w:vMerge w:val="continue"/>
                  <w:tcBorders>
                    <w:tl2br w:val="nil"/>
                    <w:tr2bl w:val="nil"/>
                  </w:tcBorders>
                  <w:shd w:val="clear" w:color="auto" w:fill="auto"/>
                  <w:noWrap w:val="0"/>
                  <w:vAlign w:val="center"/>
                </w:tcPr>
                <w:p w14:paraId="7881C0B6">
                  <w:pPr>
                    <w:jc w:val="center"/>
                    <w:rPr>
                      <w:rFonts w:hint="default" w:ascii="Times New Roman" w:hAnsi="Times New Roman" w:eastAsia="仿宋" w:cs="Times New Roman"/>
                      <w:color w:val="auto"/>
                      <w:sz w:val="21"/>
                      <w:szCs w:val="21"/>
                      <w:lang w:val="en-US" w:eastAsia="en-US"/>
                    </w:rPr>
                  </w:pPr>
                </w:p>
              </w:tc>
              <w:tc>
                <w:tcPr>
                  <w:tcW w:w="784" w:type="pct"/>
                  <w:tcBorders>
                    <w:tl2br w:val="nil"/>
                    <w:tr2bl w:val="nil"/>
                  </w:tcBorders>
                  <w:shd w:val="clear" w:color="auto" w:fill="auto"/>
                  <w:noWrap w:val="0"/>
                  <w:vAlign w:val="center"/>
                </w:tcPr>
                <w:p w14:paraId="4856316D">
                  <w:pPr>
                    <w:jc w:val="center"/>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水洗槽</w:t>
                  </w:r>
                </w:p>
              </w:tc>
              <w:tc>
                <w:tcPr>
                  <w:tcW w:w="1062" w:type="pct"/>
                  <w:tcBorders>
                    <w:tl2br w:val="nil"/>
                    <w:tr2bl w:val="nil"/>
                  </w:tcBorders>
                  <w:shd w:val="clear" w:color="auto" w:fill="auto"/>
                  <w:noWrap w:val="0"/>
                  <w:vAlign w:val="center"/>
                </w:tcPr>
                <w:p w14:paraId="24A82C9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1.5m*1m*1.2m</w:t>
                  </w:r>
                </w:p>
              </w:tc>
              <w:tc>
                <w:tcPr>
                  <w:tcW w:w="595" w:type="pct"/>
                  <w:tcBorders>
                    <w:tl2br w:val="nil"/>
                    <w:tr2bl w:val="nil"/>
                  </w:tcBorders>
                  <w:shd w:val="clear" w:color="auto" w:fill="auto"/>
                  <w:noWrap w:val="0"/>
                  <w:vAlign w:val="center"/>
                </w:tcPr>
                <w:p w14:paraId="7ACACCC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617" w:type="pct"/>
                  <w:tcBorders>
                    <w:tl2br w:val="nil"/>
                    <w:tr2bl w:val="nil"/>
                  </w:tcBorders>
                  <w:shd w:val="clear" w:color="auto" w:fill="auto"/>
                  <w:noWrap w:val="0"/>
                  <w:vAlign w:val="center"/>
                </w:tcPr>
                <w:p w14:paraId="04BBC2F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402B09C2">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vMerge w:val="continue"/>
                  <w:tcBorders>
                    <w:tl2br w:val="nil"/>
                    <w:tr2bl w:val="nil"/>
                  </w:tcBorders>
                  <w:noWrap w:val="0"/>
                  <w:vAlign w:val="center"/>
                </w:tcPr>
                <w:p w14:paraId="4AC5EB54">
                  <w:pPr>
                    <w:jc w:val="center"/>
                    <w:rPr>
                      <w:rFonts w:hint="default" w:ascii="Times New Roman" w:hAnsi="Times New Roman" w:eastAsia="仿宋" w:cs="Times New Roman"/>
                      <w:color w:val="auto"/>
                      <w:sz w:val="21"/>
                      <w:szCs w:val="21"/>
                    </w:rPr>
                  </w:pPr>
                </w:p>
              </w:tc>
            </w:tr>
            <w:tr w14:paraId="4B83F8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6" w:type="pct"/>
                  <w:tcBorders>
                    <w:tl2br w:val="nil"/>
                    <w:tr2bl w:val="nil"/>
                  </w:tcBorders>
                  <w:shd w:val="clear" w:color="auto" w:fill="auto"/>
                  <w:noWrap w:val="0"/>
                  <w:vAlign w:val="center"/>
                </w:tcPr>
                <w:p w14:paraId="08C19C03">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56</w:t>
                  </w:r>
                </w:p>
              </w:tc>
              <w:tc>
                <w:tcPr>
                  <w:tcW w:w="1045" w:type="pct"/>
                  <w:gridSpan w:val="2"/>
                  <w:tcBorders>
                    <w:tl2br w:val="nil"/>
                    <w:tr2bl w:val="nil"/>
                  </w:tcBorders>
                  <w:shd w:val="clear" w:color="auto" w:fill="auto"/>
                  <w:noWrap w:val="0"/>
                  <w:vAlign w:val="center"/>
                </w:tcPr>
                <w:p w14:paraId="301BE384">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喷粉房</w:t>
                  </w:r>
                </w:p>
              </w:tc>
              <w:tc>
                <w:tcPr>
                  <w:tcW w:w="1062" w:type="pct"/>
                  <w:tcBorders>
                    <w:tl2br w:val="nil"/>
                    <w:tr2bl w:val="nil"/>
                  </w:tcBorders>
                  <w:shd w:val="clear" w:color="auto" w:fill="auto"/>
                  <w:noWrap w:val="0"/>
                  <w:vAlign w:val="center"/>
                </w:tcPr>
                <w:p w14:paraId="4F8F475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3m*3m*6m</w:t>
                  </w:r>
                </w:p>
              </w:tc>
              <w:tc>
                <w:tcPr>
                  <w:tcW w:w="595" w:type="pct"/>
                  <w:tcBorders>
                    <w:tl2br w:val="nil"/>
                    <w:tr2bl w:val="nil"/>
                  </w:tcBorders>
                  <w:shd w:val="clear" w:color="auto" w:fill="auto"/>
                  <w:noWrap w:val="0"/>
                  <w:vAlign w:val="center"/>
                </w:tcPr>
                <w:p w14:paraId="0D48FB1C">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30E7DD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2D24008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17D668BC">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喷粉</w:t>
                  </w:r>
                </w:p>
              </w:tc>
            </w:tr>
            <w:tr w14:paraId="590D4C1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513AF8CE">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57</w:t>
                  </w:r>
                </w:p>
              </w:tc>
              <w:tc>
                <w:tcPr>
                  <w:tcW w:w="1045" w:type="pct"/>
                  <w:gridSpan w:val="2"/>
                  <w:tcBorders>
                    <w:tl2br w:val="nil"/>
                    <w:tr2bl w:val="nil"/>
                  </w:tcBorders>
                  <w:shd w:val="clear" w:color="auto" w:fill="auto"/>
                  <w:noWrap w:val="0"/>
                  <w:vAlign w:val="center"/>
                </w:tcPr>
                <w:p w14:paraId="56EEAB29">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烘干房</w:t>
                  </w:r>
                </w:p>
              </w:tc>
              <w:tc>
                <w:tcPr>
                  <w:tcW w:w="1062" w:type="pct"/>
                  <w:tcBorders>
                    <w:tl2br w:val="nil"/>
                    <w:tr2bl w:val="nil"/>
                  </w:tcBorders>
                  <w:shd w:val="clear" w:color="auto" w:fill="auto"/>
                  <w:noWrap w:val="0"/>
                  <w:vAlign w:val="center"/>
                </w:tcPr>
                <w:p w14:paraId="0023953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3m*3m*6m</w:t>
                  </w:r>
                </w:p>
              </w:tc>
              <w:tc>
                <w:tcPr>
                  <w:tcW w:w="595" w:type="pct"/>
                  <w:tcBorders>
                    <w:tl2br w:val="nil"/>
                    <w:tr2bl w:val="nil"/>
                  </w:tcBorders>
                  <w:shd w:val="clear" w:color="auto" w:fill="auto"/>
                  <w:noWrap w:val="0"/>
                  <w:vAlign w:val="center"/>
                </w:tcPr>
                <w:p w14:paraId="1DD14B6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253E6D9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1895A0BB">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5D788EC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喷粉后烘干</w:t>
                  </w:r>
                </w:p>
              </w:tc>
            </w:tr>
            <w:tr w14:paraId="49D7963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5B6F4C24">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58</w:t>
                  </w:r>
                </w:p>
              </w:tc>
              <w:tc>
                <w:tcPr>
                  <w:tcW w:w="1045" w:type="pct"/>
                  <w:gridSpan w:val="2"/>
                  <w:tcBorders>
                    <w:tl2br w:val="nil"/>
                    <w:tr2bl w:val="nil"/>
                  </w:tcBorders>
                  <w:shd w:val="clear" w:color="auto" w:fill="auto"/>
                  <w:noWrap w:val="0"/>
                  <w:vAlign w:val="center"/>
                </w:tcPr>
                <w:p w14:paraId="53870B3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烘道</w:t>
                  </w:r>
                </w:p>
              </w:tc>
              <w:tc>
                <w:tcPr>
                  <w:tcW w:w="1062" w:type="pct"/>
                  <w:tcBorders>
                    <w:tl2br w:val="nil"/>
                    <w:tr2bl w:val="nil"/>
                  </w:tcBorders>
                  <w:shd w:val="clear" w:color="auto" w:fill="auto"/>
                  <w:noWrap w:val="0"/>
                  <w:vAlign w:val="center"/>
                </w:tcPr>
                <w:p w14:paraId="7131BD2B">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0.8m*2m*20m</w:t>
                  </w:r>
                </w:p>
              </w:tc>
              <w:tc>
                <w:tcPr>
                  <w:tcW w:w="595" w:type="pct"/>
                  <w:tcBorders>
                    <w:tl2br w:val="nil"/>
                    <w:tr2bl w:val="nil"/>
                  </w:tcBorders>
                  <w:shd w:val="clear" w:color="auto" w:fill="auto"/>
                  <w:noWrap w:val="0"/>
                  <w:vAlign w:val="center"/>
                </w:tcPr>
                <w:p w14:paraId="4F29EBEC">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52D4DB5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2EABB70F">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0B02FEA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电泳后烘干</w:t>
                  </w:r>
                </w:p>
              </w:tc>
            </w:tr>
            <w:tr w14:paraId="7E01760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ADC731A">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59</w:t>
                  </w:r>
                </w:p>
              </w:tc>
              <w:tc>
                <w:tcPr>
                  <w:tcW w:w="1045" w:type="pct"/>
                  <w:gridSpan w:val="2"/>
                  <w:tcBorders>
                    <w:tl2br w:val="nil"/>
                    <w:tr2bl w:val="nil"/>
                  </w:tcBorders>
                  <w:shd w:val="clear" w:color="auto" w:fill="auto"/>
                  <w:noWrap w:val="0"/>
                  <w:vAlign w:val="center"/>
                </w:tcPr>
                <w:p w14:paraId="48E9EAA7">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烘道</w:t>
                  </w:r>
                </w:p>
              </w:tc>
              <w:tc>
                <w:tcPr>
                  <w:tcW w:w="1062" w:type="pct"/>
                  <w:tcBorders>
                    <w:tl2br w:val="nil"/>
                    <w:tr2bl w:val="nil"/>
                  </w:tcBorders>
                  <w:shd w:val="clear" w:color="auto" w:fill="auto"/>
                  <w:noWrap w:val="0"/>
                  <w:vAlign w:val="center"/>
                </w:tcPr>
                <w:p w14:paraId="379D15E4">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1.8m*2m*22m</w:t>
                  </w:r>
                </w:p>
              </w:tc>
              <w:tc>
                <w:tcPr>
                  <w:tcW w:w="595" w:type="pct"/>
                  <w:tcBorders>
                    <w:tl2br w:val="nil"/>
                    <w:tr2bl w:val="nil"/>
                  </w:tcBorders>
                  <w:shd w:val="clear" w:color="auto" w:fill="auto"/>
                  <w:noWrap w:val="0"/>
                  <w:vAlign w:val="center"/>
                </w:tcPr>
                <w:p w14:paraId="14A3B76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617" w:type="pct"/>
                  <w:tcBorders>
                    <w:tl2br w:val="nil"/>
                    <w:tr2bl w:val="nil"/>
                  </w:tcBorders>
                  <w:shd w:val="clear" w:color="auto" w:fill="auto"/>
                  <w:noWrap w:val="0"/>
                  <w:vAlign w:val="center"/>
                </w:tcPr>
                <w:p w14:paraId="0EEA1FB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w:t>
                  </w:r>
                </w:p>
              </w:tc>
              <w:tc>
                <w:tcPr>
                  <w:tcW w:w="557" w:type="pct"/>
                  <w:tcBorders>
                    <w:tl2br w:val="nil"/>
                    <w:tr2bl w:val="nil"/>
                  </w:tcBorders>
                  <w:noWrap w:val="0"/>
                  <w:vAlign w:val="center"/>
                </w:tcPr>
                <w:p w14:paraId="2C76D74C">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394B3DE0">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电泳后烘干</w:t>
                  </w:r>
                </w:p>
              </w:tc>
            </w:tr>
            <w:tr w14:paraId="1CF0190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0C3C882C">
                  <w:pPr>
                    <w:widowControl/>
                    <w:jc w:val="center"/>
                    <w:textAlignment w:val="center"/>
                    <w:rPr>
                      <w:rFonts w:hint="default" w:ascii="Times New Roman" w:hAnsi="Times New Roman"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60</w:t>
                  </w:r>
                </w:p>
              </w:tc>
              <w:tc>
                <w:tcPr>
                  <w:tcW w:w="1045" w:type="pct"/>
                  <w:gridSpan w:val="2"/>
                  <w:tcBorders>
                    <w:tl2br w:val="nil"/>
                    <w:tr2bl w:val="nil"/>
                  </w:tcBorders>
                  <w:shd w:val="clear" w:color="auto" w:fill="auto"/>
                  <w:noWrap w:val="0"/>
                  <w:vAlign w:val="center"/>
                </w:tcPr>
                <w:p w14:paraId="681AF85F">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纯水制备机</w:t>
                  </w:r>
                </w:p>
              </w:tc>
              <w:tc>
                <w:tcPr>
                  <w:tcW w:w="1062" w:type="pct"/>
                  <w:tcBorders>
                    <w:tl2br w:val="nil"/>
                    <w:tr2bl w:val="nil"/>
                  </w:tcBorders>
                  <w:shd w:val="clear" w:color="auto" w:fill="auto"/>
                  <w:noWrap w:val="0"/>
                  <w:vAlign w:val="center"/>
                </w:tcPr>
                <w:p w14:paraId="449C3B8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5t/h</w:t>
                  </w:r>
                </w:p>
              </w:tc>
              <w:tc>
                <w:tcPr>
                  <w:tcW w:w="595" w:type="pct"/>
                  <w:tcBorders>
                    <w:tl2br w:val="nil"/>
                    <w:tr2bl w:val="nil"/>
                  </w:tcBorders>
                  <w:shd w:val="clear" w:color="auto" w:fill="auto"/>
                  <w:noWrap w:val="0"/>
                  <w:vAlign w:val="center"/>
                </w:tcPr>
                <w:p w14:paraId="4A9C5CE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617" w:type="pct"/>
                  <w:tcBorders>
                    <w:tl2br w:val="nil"/>
                    <w:tr2bl w:val="nil"/>
                  </w:tcBorders>
                  <w:shd w:val="clear" w:color="auto" w:fill="auto"/>
                  <w:noWrap w:val="0"/>
                  <w:vAlign w:val="center"/>
                </w:tcPr>
                <w:p w14:paraId="614F9D3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w:t>
                  </w:r>
                </w:p>
              </w:tc>
              <w:tc>
                <w:tcPr>
                  <w:tcW w:w="557" w:type="pct"/>
                  <w:tcBorders>
                    <w:tl2br w:val="nil"/>
                    <w:tr2bl w:val="nil"/>
                  </w:tcBorders>
                  <w:noWrap w:val="0"/>
                  <w:vAlign w:val="center"/>
                </w:tcPr>
                <w:p w14:paraId="4AC0A2E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5F638DE8">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纯水制备</w:t>
                  </w:r>
                </w:p>
              </w:tc>
            </w:tr>
            <w:tr w14:paraId="4CE1424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shd w:val="clear" w:color="auto" w:fill="auto"/>
                  <w:noWrap w:val="0"/>
                  <w:vAlign w:val="center"/>
                </w:tcPr>
                <w:p w14:paraId="7425AEFF">
                  <w:pPr>
                    <w:widowControl/>
                    <w:jc w:val="center"/>
                    <w:textAlignment w:val="center"/>
                    <w:rPr>
                      <w:rFonts w:hint="default" w:eastAsia="仿宋" w:cs="Times New Roman"/>
                      <w:color w:val="auto"/>
                      <w:kern w:val="0"/>
                      <w:sz w:val="21"/>
                      <w:szCs w:val="21"/>
                      <w:lang w:val="en-US" w:eastAsia="zh-CN" w:bidi="ar"/>
                    </w:rPr>
                  </w:pPr>
                  <w:r>
                    <w:rPr>
                      <w:rFonts w:hint="eastAsia" w:eastAsia="仿宋" w:cs="Times New Roman"/>
                      <w:color w:val="auto"/>
                      <w:kern w:val="0"/>
                      <w:sz w:val="21"/>
                      <w:szCs w:val="21"/>
                      <w:lang w:val="en-US" w:eastAsia="zh-CN" w:bidi="ar"/>
                    </w:rPr>
                    <w:t>61</w:t>
                  </w:r>
                </w:p>
              </w:tc>
              <w:tc>
                <w:tcPr>
                  <w:tcW w:w="1045" w:type="pct"/>
                  <w:gridSpan w:val="2"/>
                  <w:tcBorders>
                    <w:tl2br w:val="nil"/>
                    <w:tr2bl w:val="nil"/>
                  </w:tcBorders>
                  <w:shd w:val="clear" w:color="auto" w:fill="auto"/>
                  <w:noWrap w:val="0"/>
                  <w:vAlign w:val="center"/>
                </w:tcPr>
                <w:p w14:paraId="0D038A80">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空压机</w:t>
                  </w:r>
                </w:p>
              </w:tc>
              <w:tc>
                <w:tcPr>
                  <w:tcW w:w="1062" w:type="pct"/>
                  <w:tcBorders>
                    <w:tl2br w:val="nil"/>
                    <w:tr2bl w:val="nil"/>
                  </w:tcBorders>
                  <w:shd w:val="clear" w:color="auto" w:fill="auto"/>
                  <w:noWrap w:val="0"/>
                  <w:vAlign w:val="center"/>
                </w:tcPr>
                <w:p w14:paraId="4E88C1EE">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595" w:type="pct"/>
                  <w:tcBorders>
                    <w:tl2br w:val="nil"/>
                    <w:tr2bl w:val="nil"/>
                  </w:tcBorders>
                  <w:shd w:val="clear" w:color="auto" w:fill="auto"/>
                  <w:noWrap w:val="0"/>
                  <w:vAlign w:val="center"/>
                </w:tcPr>
                <w:p w14:paraId="24D87760">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3</w:t>
                  </w:r>
                </w:p>
              </w:tc>
              <w:tc>
                <w:tcPr>
                  <w:tcW w:w="617" w:type="pct"/>
                  <w:tcBorders>
                    <w:tl2br w:val="nil"/>
                    <w:tr2bl w:val="nil"/>
                  </w:tcBorders>
                  <w:shd w:val="clear" w:color="auto" w:fill="auto"/>
                  <w:noWrap w:val="0"/>
                  <w:vAlign w:val="center"/>
                </w:tcPr>
                <w:p w14:paraId="72AABBB1">
                  <w:pPr>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w:t>
                  </w:r>
                </w:p>
              </w:tc>
              <w:tc>
                <w:tcPr>
                  <w:tcW w:w="557" w:type="pct"/>
                  <w:tcBorders>
                    <w:tl2br w:val="nil"/>
                    <w:tr2bl w:val="nil"/>
                  </w:tcBorders>
                  <w:noWrap w:val="0"/>
                  <w:vAlign w:val="center"/>
                </w:tcPr>
                <w:p w14:paraId="3E08490A">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754" w:type="pct"/>
                  <w:tcBorders>
                    <w:tl2br w:val="nil"/>
                    <w:tr2bl w:val="nil"/>
                  </w:tcBorders>
                  <w:noWrap w:val="0"/>
                  <w:vAlign w:val="center"/>
                </w:tcPr>
                <w:p w14:paraId="4BCDBC88">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辅助设备</w:t>
                  </w:r>
                </w:p>
              </w:tc>
            </w:tr>
          </w:tbl>
          <w:p w14:paraId="6E15A058">
            <w:pPr>
              <w:adjustRightInd w:val="0"/>
              <w:snapToGrid w:val="0"/>
              <w:spacing w:line="360" w:lineRule="auto"/>
              <w:rPr>
                <w:rFonts w:hint="eastAsia"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lang w:val="en-US" w:eastAsia="zh-CN"/>
              </w:rPr>
              <w:t>、</w:t>
            </w:r>
            <w:r>
              <w:rPr>
                <w:rFonts w:hint="eastAsia" w:cs="Times New Roman"/>
                <w:b/>
                <w:color w:val="auto"/>
                <w:sz w:val="24"/>
                <w:szCs w:val="24"/>
                <w:highlight w:val="none"/>
                <w:lang w:val="en-US" w:eastAsia="zh-CN"/>
              </w:rPr>
              <w:t>水平衡图</w:t>
            </w:r>
          </w:p>
          <w:p w14:paraId="41BEE047">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本项目用水主要是电泳线用水、喷粉前处理用水、喷淋塔用水、纯水制备用水、喷淋塔补水用水。</w:t>
            </w:r>
          </w:p>
          <w:p w14:paraId="49986F92">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（1）电泳1线和2线用水：根据建设单位提供信息，电泳线用水均为纯水，纯水用量为8298.68t/a，损耗量为422.504t/a，作为危废处理的量为41.2t/a</w:t>
            </w:r>
            <w:r>
              <w:rPr>
                <w:rFonts w:hint="eastAsia" w:cs="Times New Roman"/>
                <w:color w:val="auto"/>
                <w:sz w:val="24"/>
                <w:szCs w:val="24"/>
                <w:highlight w:val="none"/>
                <w:lang w:val="en-US" w:eastAsia="zh-CN"/>
              </w:rPr>
              <w:t>（计算过程详见第四章废水表4-18）</w:t>
            </w:r>
            <w:r>
              <w:rPr>
                <w:rFonts w:hint="eastAsia" w:cs="Times New Roman"/>
                <w:color w:val="auto"/>
                <w:sz w:val="24"/>
                <w:szCs w:val="24"/>
                <w:highlight w:val="none"/>
                <w:lang w:val="en-US" w:eastAsia="zh-CN"/>
              </w:rPr>
              <w:t>，排入厂区污水处理站的排放量为7834.976/a。</w:t>
            </w:r>
          </w:p>
          <w:p w14:paraId="3FAFED6F">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（2）喷粉前处理用水：根据建设单位提供信息，喷粉前处理用水为自来水，自来水用量为3600t/a，损耗量为190.94t/a，作为危废处理的量为28.8t/a</w:t>
            </w:r>
            <w:r>
              <w:rPr>
                <w:rFonts w:hint="eastAsia" w:cs="Times New Roman"/>
                <w:color w:val="auto"/>
                <w:sz w:val="24"/>
                <w:szCs w:val="24"/>
                <w:highlight w:val="none"/>
                <w:lang w:val="en-US" w:eastAsia="zh-CN"/>
              </w:rPr>
              <w:t>（计算过程详见第四章废水表4-18）</w:t>
            </w:r>
            <w:r>
              <w:rPr>
                <w:rFonts w:hint="eastAsia" w:cs="Times New Roman"/>
                <w:color w:val="auto"/>
                <w:sz w:val="24"/>
                <w:szCs w:val="24"/>
                <w:highlight w:val="none"/>
                <w:lang w:val="en-US" w:eastAsia="zh-CN"/>
              </w:rPr>
              <w:t>，排入厂区污水处理站的排放量为3380.26t/a。</w:t>
            </w:r>
          </w:p>
          <w:p w14:paraId="5A64723C">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（3）喷淋塔用水：本项目废气处理设置喷淋塔一台，喷淋塔液气比值为1.5L/m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~2.5L/m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，本项目取2L/m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，风量为22500m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/h，则喷淋塔循环量为45m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/h，企业年工作3000h，则企业年循环量为135000m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，参考《工业循环冷却水处理设计规范》（GB/T 50050-2017）中“5 补充水处理 5.0.8 闭式系统的补充水系统设计流量宜为循环水量的0.5%~1.0%”，项目损失水量按照循环水量的0.5%计，则全年损失量为675t，即补水量为675t/a，喷淋塔水每年更换1次，需补水1t/a。</w:t>
            </w:r>
          </w:p>
          <w:p w14:paraId="44BF9D7C">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highlight w:val="none"/>
                <w:lang w:val="en-US" w:eastAsia="zh-CN"/>
              </w:rPr>
              <w:t>（4）纯水制备用水：</w:t>
            </w:r>
            <w:r>
              <w:rPr>
                <w:rFonts w:hint="eastAsia" w:ascii="Times New Roman" w:hAnsi="Times New Roman" w:eastAsia="宋体" w:cs="Times New Roman"/>
                <w:color w:val="auto"/>
                <w:sz w:val="24"/>
                <w:szCs w:val="24"/>
                <w:lang w:eastAsia="zh-CN"/>
              </w:rPr>
              <w:t>自来水→纯化水制水设备（石英砂过滤→活性炭滤芯→精密滤芯→RO反渗透膜→水箱储存）→纯化水。</w:t>
            </w:r>
          </w:p>
          <w:p w14:paraId="40EE1753">
            <w:pPr>
              <w:spacing w:line="360" w:lineRule="auto"/>
              <w:ind w:firstLine="482"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工艺说明：</w:t>
            </w:r>
            <w:r>
              <w:rPr>
                <w:rFonts w:hint="eastAsia" w:ascii="Times New Roman" w:hAnsi="Times New Roman" w:eastAsia="宋体" w:cs="Times New Roman"/>
                <w:color w:val="auto"/>
                <w:sz w:val="24"/>
                <w:szCs w:val="24"/>
                <w:lang w:eastAsia="zh-CN"/>
              </w:rPr>
              <w:t>自来水进入石英砂过滤器用来去除自来水中大分子物质，然后进入活性炭过滤器，可以吸附自来水中的余氯，去除自来水异味，还可吸附颜色物质，还原自来水的透彻；接着进入精密过滤器过滤，用于过滤自来水中的细菌、病毒等小分子物质；最后进入RO膜系统，在半透膜的作用下，进一步去除水中的无机盐、有机物、胶体等物质，从而制备纯化水</w:t>
            </w:r>
            <w:r>
              <w:rPr>
                <w:rFonts w:hint="eastAsia" w:cs="Times New Roman"/>
                <w:color w:val="auto"/>
                <w:sz w:val="24"/>
                <w:szCs w:val="24"/>
                <w:lang w:eastAsia="zh-CN"/>
              </w:rPr>
              <w:t>。</w:t>
            </w:r>
          </w:p>
          <w:p w14:paraId="5BE96805">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纯水使用量为8298.68t/a，共设置2套纯水制备设备，制备功率各为5t/h，使用反渗透工艺制备纯水，纯水制备率为60%，40%为纯水制备产生的浓水，则本项目纯水制备用自来水量为13831.13t/a，浓水产生量为5532.45t/a。</w:t>
            </w:r>
          </w:p>
          <w:p w14:paraId="0CA4143E">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（5）地面清洗用水：为保持车间内部环境卫生，需定期对地面进行保洁。根据《建筑给水排水设计手册》（中国建筑工业出版社，作者：中国建筑设计研究院），场地清洗水用水量为1.0L/m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·次~1.5L/m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·次，本项目取1.5L/m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·次，</w:t>
            </w:r>
            <w:r>
              <w:rPr>
                <w:rFonts w:hint="eastAsia" w:cs="Times New Roman"/>
                <w:color w:val="auto"/>
                <w:sz w:val="24"/>
                <w:szCs w:val="24"/>
                <w:highlight w:val="none"/>
                <w:lang w:val="en-US" w:eastAsia="zh-CN"/>
              </w:rPr>
              <w:t>本项目仅电泳工序地面和喷粉前处理工序地面需要定期用自来水进行冲洗，根据建设单位提供信息，需冲洗面积按1000m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计，</w:t>
            </w:r>
            <w:r>
              <w:rPr>
                <w:rFonts w:hint="eastAsia" w:cs="Times New Roman"/>
                <w:color w:val="auto"/>
                <w:sz w:val="24"/>
                <w:szCs w:val="24"/>
                <w:highlight w:val="none"/>
                <w:lang w:val="en-US" w:eastAsia="zh-CN"/>
              </w:rPr>
              <w:t>每10天清洗一次，全年清洗30次，则项目地面保洁用水量约为45m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/a，考虑10%的损耗，因此地面清洗废水量为40.5t/a。</w:t>
            </w:r>
          </w:p>
          <w:p w14:paraId="5EC53B97">
            <w:pPr>
              <w:pStyle w:val="2"/>
              <w:rPr>
                <w:color w:val="auto"/>
              </w:rPr>
            </w:pPr>
          </w:p>
        </w:tc>
      </w:tr>
    </w:tbl>
    <w:p w14:paraId="525D36EE">
      <w:pPr>
        <w:rPr>
          <w:color w:val="auto"/>
        </w:rPr>
      </w:pPr>
    </w:p>
    <w:p w14:paraId="64BEC9B6">
      <w:pPr>
        <w:pStyle w:val="2"/>
        <w:rPr>
          <w:color w:val="auto"/>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3683"/>
      </w:tblGrid>
      <w:tr w14:paraId="5A4E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1" w:type="dxa"/>
          </w:tcPr>
          <w:p w14:paraId="2A3EA0E1">
            <w:pPr>
              <w:rPr>
                <w:color w:val="auto"/>
                <w:vertAlign w:val="baseline"/>
              </w:rPr>
            </w:pPr>
          </w:p>
        </w:tc>
        <w:tc>
          <w:tcPr>
            <w:tcW w:w="13683" w:type="dxa"/>
          </w:tcPr>
          <w:p w14:paraId="03F9580D">
            <w:pPr>
              <w:adjustRightInd w:val="0"/>
              <w:snapToGrid w:val="0"/>
              <w:spacing w:line="360" w:lineRule="auto"/>
              <w:ind w:firstLine="482" w:firstLineChars="200"/>
              <w:jc w:val="center"/>
              <w:rPr>
                <w:rFonts w:hint="eastAsia"/>
                <w:b/>
                <w:color w:val="auto"/>
                <w:sz w:val="24"/>
                <w:szCs w:val="24"/>
                <w:highlight w:val="none"/>
                <w:lang w:val="en-US" w:eastAsia="zh-CN"/>
              </w:rPr>
            </w:pPr>
            <w:r>
              <w:rPr>
                <w:rFonts w:hint="eastAsia"/>
                <w:b/>
                <w:color w:val="auto"/>
                <w:sz w:val="24"/>
                <w:szCs w:val="24"/>
                <w:highlight w:val="none"/>
                <w:lang w:val="en-US" w:eastAsia="zh-CN"/>
              </w:rPr>
              <w:object>
                <v:shape id="_x0000_i1025" o:spt="75" type="#_x0000_t75" style="height:438.85pt;width:558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7B7A3265">
            <w:pPr>
              <w:adjustRightInd w:val="0"/>
              <w:snapToGrid w:val="0"/>
              <w:spacing w:line="360" w:lineRule="auto"/>
              <w:ind w:firstLine="482" w:firstLineChars="200"/>
              <w:jc w:val="center"/>
              <w:rPr>
                <w:rFonts w:hint="default"/>
                <w:color w:val="auto"/>
                <w:lang w:val="en-US" w:eastAsia="zh-CN"/>
              </w:rPr>
            </w:pPr>
            <w:r>
              <w:rPr>
                <w:b/>
                <w:color w:val="auto"/>
                <w:sz w:val="24"/>
                <w:szCs w:val="24"/>
                <w:highlight w:val="none"/>
              </w:rPr>
              <w:t>图</w:t>
            </w:r>
            <w:r>
              <w:rPr>
                <w:rFonts w:hint="eastAsia"/>
                <w:b/>
                <w:color w:val="auto"/>
                <w:sz w:val="24"/>
                <w:szCs w:val="24"/>
                <w:highlight w:val="none"/>
              </w:rPr>
              <w:t>2-1  本项目水平衡图</w:t>
            </w:r>
            <w:r>
              <w:rPr>
                <w:rFonts w:hint="eastAsia"/>
                <w:b/>
                <w:color w:val="auto"/>
                <w:sz w:val="24"/>
                <w:szCs w:val="24"/>
                <w:highlight w:val="none"/>
                <w:lang w:eastAsia="zh-CN"/>
              </w:rPr>
              <w:t>（</w:t>
            </w:r>
            <w:r>
              <w:rPr>
                <w:rFonts w:hint="eastAsia"/>
                <w:b/>
                <w:color w:val="auto"/>
                <w:sz w:val="24"/>
                <w:szCs w:val="24"/>
                <w:highlight w:val="none"/>
                <w:lang w:val="en-US" w:eastAsia="zh-CN"/>
              </w:rPr>
              <w:t>t/a</w:t>
            </w:r>
            <w:r>
              <w:rPr>
                <w:rFonts w:hint="eastAsia"/>
                <w:b/>
                <w:color w:val="auto"/>
                <w:sz w:val="24"/>
                <w:szCs w:val="24"/>
                <w:highlight w:val="none"/>
                <w:lang w:eastAsia="zh-CN"/>
              </w:rPr>
              <w:t>）</w:t>
            </w:r>
          </w:p>
        </w:tc>
      </w:tr>
    </w:tbl>
    <w:p w14:paraId="4E26C720">
      <w:pPr>
        <w:pStyle w:val="2"/>
        <w:rPr>
          <w:color w:val="auto"/>
        </w:rPr>
      </w:pPr>
    </w:p>
    <w:p w14:paraId="348FD74A">
      <w:pPr>
        <w:rPr>
          <w:color w:val="auto"/>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9503"/>
      </w:tblGrid>
      <w:tr w14:paraId="0E7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14:paraId="5F9840A1">
            <w:pPr>
              <w:rPr>
                <w:color w:val="auto"/>
                <w:vertAlign w:val="baseline"/>
              </w:rPr>
            </w:pPr>
          </w:p>
        </w:tc>
        <w:tc>
          <w:tcPr>
            <w:tcW w:w="9503" w:type="dxa"/>
          </w:tcPr>
          <w:p w14:paraId="4EA99935">
            <w:pPr>
              <w:pStyle w:val="2"/>
              <w:numPr>
                <w:ilvl w:val="0"/>
                <w:numId w:val="0"/>
              </w:numPr>
              <w:spacing w:before="0" w:after="0" w:line="360" w:lineRule="auto"/>
              <w:ind w:right="0" w:rightChars="0"/>
              <w:rPr>
                <w:rFonts w:hint="eastAsia"/>
                <w:b/>
                <w:bCs/>
                <w:color w:val="auto"/>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8、</w:t>
            </w:r>
            <w:r>
              <w:rPr>
                <w:rFonts w:hint="eastAsia"/>
                <w:b/>
                <w:bCs/>
                <w:color w:val="auto"/>
                <w:sz w:val="24"/>
                <w:szCs w:val="24"/>
                <w:highlight w:val="none"/>
                <w:lang w:val="en-US" w:eastAsia="zh-CN"/>
              </w:rPr>
              <w:t>物料平衡</w:t>
            </w:r>
          </w:p>
          <w:p w14:paraId="7352EA20">
            <w:pPr>
              <w:adjustRightInd w:val="0"/>
              <w:snapToGrid w:val="0"/>
              <w:spacing w:line="360" w:lineRule="auto"/>
              <w:ind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本项目物料平衡见下表</w:t>
            </w:r>
          </w:p>
          <w:p w14:paraId="5ECF26B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主要产污环节和排污特征</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544"/>
              <w:gridCol w:w="898"/>
              <w:gridCol w:w="1518"/>
              <w:gridCol w:w="2100"/>
              <w:gridCol w:w="1894"/>
            </w:tblGrid>
            <w:tr w14:paraId="0874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0A0316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一、涂料</w:t>
                  </w:r>
                  <w:r>
                    <w:rPr>
                      <w:rFonts w:hint="eastAsia" w:eastAsia="仿宋" w:cs="Times New Roman"/>
                      <w:b/>
                      <w:bCs/>
                      <w:color w:val="auto"/>
                      <w:sz w:val="21"/>
                      <w:szCs w:val="21"/>
                      <w:highlight w:val="none"/>
                      <w:vertAlign w:val="baseline"/>
                      <w:lang w:val="en-US" w:eastAsia="zh-CN"/>
                    </w:rPr>
                    <w:t>平衡</w:t>
                  </w:r>
                </w:p>
              </w:tc>
            </w:tr>
            <w:tr w14:paraId="327B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pct"/>
                  <w:gridSpan w:val="2"/>
                  <w:vAlign w:val="center"/>
                </w:tcPr>
                <w:p w14:paraId="69DFD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投入</w:t>
                  </w:r>
                </w:p>
              </w:tc>
              <w:tc>
                <w:tcPr>
                  <w:tcW w:w="3454" w:type="pct"/>
                  <w:gridSpan w:val="4"/>
                  <w:vAlign w:val="center"/>
                </w:tcPr>
                <w:p w14:paraId="4F8FE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产出</w:t>
                  </w:r>
                </w:p>
              </w:tc>
            </w:tr>
            <w:tr w14:paraId="0B91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214B7A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名称</w:t>
                  </w:r>
                </w:p>
              </w:tc>
              <w:tc>
                <w:tcPr>
                  <w:tcW w:w="832" w:type="pct"/>
                  <w:vAlign w:val="center"/>
                </w:tcPr>
                <w:p w14:paraId="7B1CF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数量（t/a）</w:t>
                  </w:r>
                </w:p>
              </w:tc>
              <w:tc>
                <w:tcPr>
                  <w:tcW w:w="2434" w:type="pct"/>
                  <w:gridSpan w:val="3"/>
                  <w:vAlign w:val="center"/>
                </w:tcPr>
                <w:p w14:paraId="59BCC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名称</w:t>
                  </w:r>
                </w:p>
              </w:tc>
              <w:tc>
                <w:tcPr>
                  <w:tcW w:w="1019" w:type="pct"/>
                  <w:vAlign w:val="center"/>
                </w:tcPr>
                <w:p w14:paraId="5A7B4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数量（t/a）</w:t>
                  </w:r>
                </w:p>
              </w:tc>
            </w:tr>
            <w:tr w14:paraId="02E6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vAlign w:val="center"/>
                </w:tcPr>
                <w:p w14:paraId="566E6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塑粉</w:t>
                  </w:r>
                </w:p>
              </w:tc>
              <w:tc>
                <w:tcPr>
                  <w:tcW w:w="832" w:type="pct"/>
                  <w:vMerge w:val="restart"/>
                  <w:vAlign w:val="center"/>
                </w:tcPr>
                <w:p w14:paraId="55873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20</w:t>
                  </w:r>
                </w:p>
              </w:tc>
              <w:tc>
                <w:tcPr>
                  <w:tcW w:w="1302" w:type="pct"/>
                  <w:gridSpan w:val="2"/>
                  <w:vMerge w:val="restart"/>
                  <w:vAlign w:val="center"/>
                </w:tcPr>
                <w:p w14:paraId="6729D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附着</w:t>
                  </w:r>
                </w:p>
              </w:tc>
              <w:tc>
                <w:tcPr>
                  <w:tcW w:w="1132" w:type="pct"/>
                  <w:vAlign w:val="center"/>
                </w:tcPr>
                <w:p w14:paraId="47874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工件附着</w:t>
                  </w:r>
                </w:p>
              </w:tc>
              <w:tc>
                <w:tcPr>
                  <w:tcW w:w="1930" w:type="dxa"/>
                  <w:vAlign w:val="center"/>
                </w:tcPr>
                <w:p w14:paraId="6A1B185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12.78464</w:t>
                  </w:r>
                </w:p>
              </w:tc>
            </w:tr>
            <w:tr w14:paraId="2BAB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140DB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3B91FA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sz w:val="21"/>
                      <w:szCs w:val="21"/>
                      <w:highlight w:val="none"/>
                      <w:vertAlign w:val="baseline"/>
                      <w:lang w:val="en-US" w:eastAsia="zh-CN"/>
                    </w:rPr>
                  </w:pPr>
                </w:p>
              </w:tc>
              <w:tc>
                <w:tcPr>
                  <w:tcW w:w="1302" w:type="pct"/>
                  <w:gridSpan w:val="2"/>
                  <w:vMerge w:val="continue"/>
                  <w:vAlign w:val="center"/>
                </w:tcPr>
                <w:p w14:paraId="517D9F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132" w:type="pct"/>
                  <w:vAlign w:val="center"/>
                </w:tcPr>
                <w:p w14:paraId="5C123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挂具附着</w:t>
                  </w:r>
                </w:p>
              </w:tc>
              <w:tc>
                <w:tcPr>
                  <w:tcW w:w="1930" w:type="dxa"/>
                  <w:vAlign w:val="center"/>
                </w:tcPr>
                <w:p w14:paraId="3132C2E9">
                  <w:pPr>
                    <w:keepNext w:val="0"/>
                    <w:keepLines w:val="0"/>
                    <w:widowControl/>
                    <w:suppressLineNumbers w:val="0"/>
                    <w:jc w:val="center"/>
                    <w:textAlignment w:val="center"/>
                    <w:rPr>
                      <w:rFonts w:hint="default"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0.19976</w:t>
                  </w:r>
                </w:p>
              </w:tc>
            </w:tr>
            <w:tr w14:paraId="2DBE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457FF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449B3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484" w:type="pct"/>
                  <w:vMerge w:val="restart"/>
                  <w:vAlign w:val="center"/>
                </w:tcPr>
                <w:p w14:paraId="31D2D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废气</w:t>
                  </w:r>
                </w:p>
              </w:tc>
              <w:tc>
                <w:tcPr>
                  <w:tcW w:w="818" w:type="pct"/>
                  <w:vMerge w:val="restart"/>
                  <w:vAlign w:val="center"/>
                </w:tcPr>
                <w:p w14:paraId="4574CE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有组织</w:t>
                  </w:r>
                </w:p>
              </w:tc>
              <w:tc>
                <w:tcPr>
                  <w:tcW w:w="1132" w:type="pct"/>
                  <w:vAlign w:val="center"/>
                </w:tcPr>
                <w:p w14:paraId="25AEA8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颗粒物</w:t>
                  </w:r>
                </w:p>
              </w:tc>
              <w:tc>
                <w:tcPr>
                  <w:tcW w:w="1930" w:type="dxa"/>
                  <w:vAlign w:val="center"/>
                </w:tcPr>
                <w:p w14:paraId="36F7598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0.133</w:t>
                  </w:r>
                </w:p>
              </w:tc>
            </w:tr>
            <w:tr w14:paraId="5F4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53564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76801F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484" w:type="pct"/>
                  <w:vMerge w:val="continue"/>
                  <w:vAlign w:val="center"/>
                </w:tcPr>
                <w:p w14:paraId="0145E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18" w:type="pct"/>
                  <w:vMerge w:val="continue"/>
                  <w:vAlign w:val="center"/>
                </w:tcPr>
                <w:p w14:paraId="48D3A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132" w:type="pct"/>
                  <w:vAlign w:val="center"/>
                </w:tcPr>
                <w:p w14:paraId="7A9E1E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930" w:type="dxa"/>
                  <w:vAlign w:val="center"/>
                </w:tcPr>
                <w:p w14:paraId="7B3FE78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w:t>
                  </w:r>
                </w:p>
              </w:tc>
            </w:tr>
            <w:tr w14:paraId="7D5B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617557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123AD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484" w:type="pct"/>
                  <w:vMerge w:val="continue"/>
                  <w:vAlign w:val="center"/>
                </w:tcPr>
                <w:p w14:paraId="484DBB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18" w:type="pct"/>
                  <w:vMerge w:val="restart"/>
                  <w:vAlign w:val="center"/>
                </w:tcPr>
                <w:p w14:paraId="1F93D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无组织</w:t>
                  </w:r>
                </w:p>
              </w:tc>
              <w:tc>
                <w:tcPr>
                  <w:tcW w:w="1132" w:type="pct"/>
                  <w:shd w:val="clear" w:color="auto" w:fill="auto"/>
                  <w:vAlign w:val="center"/>
                </w:tcPr>
                <w:p w14:paraId="49F56C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颗粒物</w:t>
                  </w:r>
                </w:p>
              </w:tc>
              <w:tc>
                <w:tcPr>
                  <w:tcW w:w="1930" w:type="dxa"/>
                  <w:vAlign w:val="center"/>
                </w:tcPr>
                <w:p w14:paraId="6E21E26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0.14</w:t>
                  </w:r>
                </w:p>
              </w:tc>
            </w:tr>
            <w:tr w14:paraId="1A50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4F7DC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2B1BA7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484" w:type="pct"/>
                  <w:vMerge w:val="continue"/>
                  <w:vAlign w:val="center"/>
                </w:tcPr>
                <w:p w14:paraId="5323E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18" w:type="pct"/>
                  <w:vMerge w:val="continue"/>
                  <w:vAlign w:val="center"/>
                </w:tcPr>
                <w:p w14:paraId="5199B4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132" w:type="pct"/>
                  <w:shd w:val="clear" w:color="auto" w:fill="auto"/>
                  <w:vAlign w:val="center"/>
                </w:tcPr>
                <w:p w14:paraId="04E7B8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930" w:type="dxa"/>
                  <w:vAlign w:val="center"/>
                </w:tcPr>
                <w:p w14:paraId="0BEE915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0.0016</w:t>
                  </w:r>
                </w:p>
              </w:tc>
            </w:tr>
            <w:tr w14:paraId="63A9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0243F2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4C7D4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302" w:type="pct"/>
                  <w:gridSpan w:val="2"/>
                  <w:vMerge w:val="restart"/>
                  <w:vAlign w:val="center"/>
                </w:tcPr>
                <w:p w14:paraId="1E6C1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固废</w:t>
                  </w:r>
                </w:p>
              </w:tc>
              <w:tc>
                <w:tcPr>
                  <w:tcW w:w="1132" w:type="pct"/>
                  <w:vAlign w:val="center"/>
                </w:tcPr>
                <w:p w14:paraId="43552C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进活性炭</w:t>
                  </w:r>
                </w:p>
              </w:tc>
              <w:tc>
                <w:tcPr>
                  <w:tcW w:w="1930" w:type="dxa"/>
                  <w:vAlign w:val="center"/>
                </w:tcPr>
                <w:p w14:paraId="5FA0C23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0.0126</w:t>
                  </w:r>
                </w:p>
              </w:tc>
            </w:tr>
            <w:tr w14:paraId="0BB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2EB3B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0EDA4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302" w:type="pct"/>
                  <w:gridSpan w:val="2"/>
                  <w:vMerge w:val="continue"/>
                  <w:vAlign w:val="center"/>
                </w:tcPr>
                <w:p w14:paraId="00FCC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132" w:type="pct"/>
                  <w:vAlign w:val="center"/>
                </w:tcPr>
                <w:p w14:paraId="72DD1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废塑粉</w:t>
                  </w:r>
                </w:p>
              </w:tc>
              <w:tc>
                <w:tcPr>
                  <w:tcW w:w="1930" w:type="dxa"/>
                  <w:vAlign w:val="center"/>
                </w:tcPr>
                <w:p w14:paraId="022EB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w:t>
                  </w:r>
                </w:p>
              </w:tc>
            </w:tr>
            <w:tr w14:paraId="72FF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3ADEF5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3C88F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2434" w:type="pct"/>
                  <w:gridSpan w:val="3"/>
                  <w:vAlign w:val="center"/>
                </w:tcPr>
                <w:p w14:paraId="0F33B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回用</w:t>
                  </w:r>
                  <w:r>
                    <w:rPr>
                      <w:rFonts w:hint="eastAsia" w:eastAsia="仿宋" w:cs="Times New Roman"/>
                      <w:color w:val="auto"/>
                      <w:sz w:val="21"/>
                      <w:szCs w:val="21"/>
                      <w:highlight w:val="none"/>
                      <w:vertAlign w:val="baseline"/>
                      <w:lang w:val="en-US" w:eastAsia="zh-CN"/>
                    </w:rPr>
                    <w:t>粉尘</w:t>
                  </w:r>
                </w:p>
              </w:tc>
              <w:tc>
                <w:tcPr>
                  <w:tcW w:w="1930" w:type="dxa"/>
                  <w:vAlign w:val="center"/>
                </w:tcPr>
                <w:p w14:paraId="10BBD15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6.517</w:t>
                  </w:r>
                </w:p>
              </w:tc>
            </w:tr>
            <w:tr w14:paraId="0D04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2F4E7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ascii="Times New Roman" w:hAnsi="Times New Roman" w:eastAsia="仿宋" w:cs="Times New Roman"/>
                      <w:b/>
                      <w:bCs/>
                      <w:color w:val="auto"/>
                      <w:sz w:val="21"/>
                      <w:szCs w:val="21"/>
                      <w:highlight w:val="none"/>
                      <w:vertAlign w:val="baseline"/>
                      <w:lang w:val="en-US" w:eastAsia="zh-CN"/>
                    </w:rPr>
                    <w:t>合计</w:t>
                  </w:r>
                </w:p>
              </w:tc>
              <w:tc>
                <w:tcPr>
                  <w:tcW w:w="832" w:type="pct"/>
                  <w:vAlign w:val="center"/>
                </w:tcPr>
                <w:p w14:paraId="672D3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20</w:t>
                  </w:r>
                </w:p>
              </w:tc>
              <w:tc>
                <w:tcPr>
                  <w:tcW w:w="2434" w:type="pct"/>
                  <w:gridSpan w:val="3"/>
                  <w:vAlign w:val="center"/>
                </w:tcPr>
                <w:p w14:paraId="37B91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ascii="Times New Roman" w:hAnsi="Times New Roman" w:eastAsia="仿宋" w:cs="Times New Roman"/>
                      <w:b/>
                      <w:bCs/>
                      <w:color w:val="auto"/>
                      <w:sz w:val="21"/>
                      <w:szCs w:val="21"/>
                      <w:highlight w:val="none"/>
                      <w:vertAlign w:val="baseline"/>
                      <w:lang w:val="en-US" w:eastAsia="zh-CN"/>
                    </w:rPr>
                    <w:t>合计</w:t>
                  </w:r>
                </w:p>
              </w:tc>
              <w:tc>
                <w:tcPr>
                  <w:tcW w:w="1019" w:type="pct"/>
                  <w:vAlign w:val="center"/>
                </w:tcPr>
                <w:p w14:paraId="160FB13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20</w:t>
                  </w:r>
                </w:p>
              </w:tc>
            </w:tr>
            <w:tr w14:paraId="5BB6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7B85D8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二、VOCs平衡</w:t>
                  </w:r>
                </w:p>
              </w:tc>
            </w:tr>
            <w:tr w14:paraId="46F9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pct"/>
                  <w:gridSpan w:val="2"/>
                  <w:shd w:val="clear" w:color="auto" w:fill="auto"/>
                  <w:vAlign w:val="center"/>
                </w:tcPr>
                <w:p w14:paraId="47DCDE4F">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VOCs投入</w:t>
                  </w:r>
                </w:p>
              </w:tc>
              <w:tc>
                <w:tcPr>
                  <w:tcW w:w="3454" w:type="pct"/>
                  <w:gridSpan w:val="4"/>
                  <w:vAlign w:val="center"/>
                </w:tcPr>
                <w:p w14:paraId="48BC96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kern w:val="2"/>
                      <w:sz w:val="21"/>
                      <w:szCs w:val="21"/>
                      <w:highlight w:val="none"/>
                      <w:lang w:val="en-US" w:eastAsia="zh-CN" w:bidi="ar-SA"/>
                    </w:rPr>
                    <w:t>VOCs产出</w:t>
                  </w:r>
                </w:p>
              </w:tc>
            </w:tr>
            <w:tr w14:paraId="7DD3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3195F87E">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eastAsia"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物质名称</w:t>
                  </w:r>
                </w:p>
              </w:tc>
              <w:tc>
                <w:tcPr>
                  <w:tcW w:w="832" w:type="pct"/>
                  <w:vAlign w:val="center"/>
                </w:tcPr>
                <w:p w14:paraId="1B2BCAB5">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b w:val="0"/>
                      <w:bCs w:val="0"/>
                      <w:color w:val="auto"/>
                      <w:kern w:val="2"/>
                      <w:sz w:val="21"/>
                      <w:szCs w:val="21"/>
                      <w:highlight w:val="none"/>
                      <w:lang w:val="en-US" w:eastAsia="zh-CN" w:bidi="ar-SA"/>
                    </w:rPr>
                    <w:t>产生</w:t>
                  </w:r>
                  <w:r>
                    <w:rPr>
                      <w:rFonts w:hint="default" w:ascii="Times New Roman" w:hAnsi="Times New Roman" w:eastAsia="仿宋" w:cs="Times New Roman"/>
                      <w:b w:val="0"/>
                      <w:bCs w:val="0"/>
                      <w:color w:val="auto"/>
                      <w:kern w:val="2"/>
                      <w:sz w:val="21"/>
                      <w:szCs w:val="21"/>
                      <w:highlight w:val="none"/>
                      <w:lang w:val="en-US" w:eastAsia="zh-CN" w:bidi="ar-SA"/>
                    </w:rPr>
                    <w:t>量（t/a）</w:t>
                  </w:r>
                </w:p>
              </w:tc>
              <w:tc>
                <w:tcPr>
                  <w:tcW w:w="2434" w:type="pct"/>
                  <w:gridSpan w:val="3"/>
                  <w:vAlign w:val="center"/>
                </w:tcPr>
                <w:p w14:paraId="4917CF0F">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eastAsia"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名称</w:t>
                  </w:r>
                </w:p>
              </w:tc>
              <w:tc>
                <w:tcPr>
                  <w:tcW w:w="1019" w:type="pct"/>
                  <w:vAlign w:val="center"/>
                </w:tcPr>
                <w:p w14:paraId="511F597B">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产生量（t/a）</w:t>
                  </w:r>
                </w:p>
              </w:tc>
            </w:tr>
            <w:tr w14:paraId="6CDD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vAlign w:val="center"/>
                </w:tcPr>
                <w:p w14:paraId="1985B0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kern w:val="2"/>
                      <w:sz w:val="21"/>
                      <w:szCs w:val="21"/>
                      <w:highlight w:val="none"/>
                      <w:lang w:val="en-US" w:eastAsia="zh-CN" w:bidi="ar-SA"/>
                    </w:rPr>
                    <w:t>塑粉</w:t>
                  </w:r>
                </w:p>
              </w:tc>
              <w:tc>
                <w:tcPr>
                  <w:tcW w:w="832" w:type="pct"/>
                  <w:vMerge w:val="restart"/>
                  <w:vAlign w:val="center"/>
                </w:tcPr>
                <w:p w14:paraId="48E46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0.0156</w:t>
                  </w:r>
                </w:p>
              </w:tc>
              <w:tc>
                <w:tcPr>
                  <w:tcW w:w="484" w:type="pct"/>
                  <w:vMerge w:val="restart"/>
                  <w:vAlign w:val="center"/>
                </w:tcPr>
                <w:p w14:paraId="7F3495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废气</w:t>
                  </w:r>
                </w:p>
              </w:tc>
              <w:tc>
                <w:tcPr>
                  <w:tcW w:w="818" w:type="pct"/>
                  <w:shd w:val="clear" w:color="auto" w:fill="auto"/>
                  <w:vAlign w:val="center"/>
                </w:tcPr>
                <w:p w14:paraId="41184F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有组织</w:t>
                  </w:r>
                </w:p>
              </w:tc>
              <w:tc>
                <w:tcPr>
                  <w:tcW w:w="1132" w:type="pct"/>
                  <w:shd w:val="clear" w:color="auto" w:fill="auto"/>
                  <w:vAlign w:val="center"/>
                </w:tcPr>
                <w:p w14:paraId="1978F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019" w:type="pct"/>
                  <w:vAlign w:val="center"/>
                </w:tcPr>
                <w:p w14:paraId="521C5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0.0014</w:t>
                  </w:r>
                </w:p>
              </w:tc>
            </w:tr>
            <w:tr w14:paraId="67ED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61EE39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264CD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484" w:type="pct"/>
                  <w:vMerge w:val="continue"/>
                  <w:vAlign w:val="center"/>
                </w:tcPr>
                <w:p w14:paraId="6360C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vertAlign w:val="baseline"/>
                      <w:lang w:val="en-US" w:eastAsia="zh-CN"/>
                    </w:rPr>
                  </w:pPr>
                </w:p>
              </w:tc>
              <w:tc>
                <w:tcPr>
                  <w:tcW w:w="818" w:type="pct"/>
                  <w:vAlign w:val="center"/>
                </w:tcPr>
                <w:p w14:paraId="38A6F3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无组织</w:t>
                  </w:r>
                </w:p>
              </w:tc>
              <w:tc>
                <w:tcPr>
                  <w:tcW w:w="1132" w:type="pct"/>
                  <w:shd w:val="clear" w:color="auto" w:fill="auto"/>
                  <w:vAlign w:val="center"/>
                </w:tcPr>
                <w:p w14:paraId="61EFC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019" w:type="pct"/>
                  <w:vAlign w:val="center"/>
                </w:tcPr>
                <w:p w14:paraId="41DB9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0.0016</w:t>
                  </w:r>
                </w:p>
              </w:tc>
            </w:tr>
            <w:tr w14:paraId="5C00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65F7D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sz w:val="21"/>
                      <w:szCs w:val="21"/>
                      <w:highlight w:val="none"/>
                      <w:vertAlign w:val="baseline"/>
                      <w:lang w:val="en-US" w:eastAsia="zh-CN"/>
                    </w:rPr>
                  </w:pPr>
                </w:p>
              </w:tc>
              <w:tc>
                <w:tcPr>
                  <w:tcW w:w="832" w:type="pct"/>
                  <w:vMerge w:val="continue"/>
                  <w:vAlign w:val="center"/>
                </w:tcPr>
                <w:p w14:paraId="33221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302" w:type="pct"/>
                  <w:gridSpan w:val="2"/>
                  <w:vAlign w:val="center"/>
                </w:tcPr>
                <w:p w14:paraId="2562DF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固废</w:t>
                  </w:r>
                </w:p>
              </w:tc>
              <w:tc>
                <w:tcPr>
                  <w:tcW w:w="1132" w:type="pct"/>
                  <w:shd w:val="clear" w:color="auto" w:fill="auto"/>
                  <w:vAlign w:val="center"/>
                </w:tcPr>
                <w:p w14:paraId="331F7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进活性炭</w:t>
                  </w:r>
                </w:p>
              </w:tc>
              <w:tc>
                <w:tcPr>
                  <w:tcW w:w="1019" w:type="pct"/>
                  <w:vAlign w:val="center"/>
                </w:tcPr>
                <w:p w14:paraId="65141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0.0126</w:t>
                  </w:r>
                </w:p>
              </w:tc>
            </w:tr>
            <w:tr w14:paraId="09F7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6127DC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合计</w:t>
                  </w:r>
                </w:p>
              </w:tc>
              <w:tc>
                <w:tcPr>
                  <w:tcW w:w="832" w:type="pct"/>
                  <w:vAlign w:val="center"/>
                </w:tcPr>
                <w:p w14:paraId="63D29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0.0156</w:t>
                  </w:r>
                </w:p>
              </w:tc>
              <w:tc>
                <w:tcPr>
                  <w:tcW w:w="2434" w:type="pct"/>
                  <w:gridSpan w:val="3"/>
                  <w:vAlign w:val="center"/>
                </w:tcPr>
                <w:p w14:paraId="60B9EE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kern w:val="2"/>
                      <w:sz w:val="21"/>
                      <w:szCs w:val="21"/>
                      <w:highlight w:val="none"/>
                      <w:vertAlign w:val="baseline"/>
                      <w:lang w:val="en-US" w:eastAsia="zh-CN" w:bidi="ar-SA"/>
                    </w:rPr>
                  </w:pPr>
                  <w:r>
                    <w:rPr>
                      <w:rFonts w:hint="eastAsia" w:eastAsia="仿宋" w:cs="Times New Roman"/>
                      <w:b/>
                      <w:bCs/>
                      <w:color w:val="auto"/>
                      <w:kern w:val="2"/>
                      <w:sz w:val="21"/>
                      <w:szCs w:val="21"/>
                      <w:highlight w:val="none"/>
                      <w:vertAlign w:val="baseline"/>
                      <w:lang w:val="en-US" w:eastAsia="zh-CN" w:bidi="ar-SA"/>
                    </w:rPr>
                    <w:t>合计</w:t>
                  </w:r>
                </w:p>
              </w:tc>
              <w:tc>
                <w:tcPr>
                  <w:tcW w:w="1019" w:type="pct"/>
                  <w:vAlign w:val="center"/>
                </w:tcPr>
                <w:p w14:paraId="721E4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0.0156</w:t>
                  </w:r>
                </w:p>
              </w:tc>
            </w:tr>
            <w:tr w14:paraId="6206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pct"/>
                  <w:gridSpan w:val="2"/>
                  <w:shd w:val="clear" w:color="auto" w:fill="auto"/>
                  <w:vAlign w:val="center"/>
                </w:tcPr>
                <w:p w14:paraId="220FC9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VOCs投入</w:t>
                  </w:r>
                </w:p>
              </w:tc>
              <w:tc>
                <w:tcPr>
                  <w:tcW w:w="3454" w:type="pct"/>
                  <w:gridSpan w:val="4"/>
                  <w:vAlign w:val="center"/>
                </w:tcPr>
                <w:p w14:paraId="27F4F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kern w:val="2"/>
                      <w:sz w:val="21"/>
                      <w:szCs w:val="21"/>
                      <w:highlight w:val="none"/>
                      <w:lang w:val="en-US" w:eastAsia="zh-CN" w:bidi="ar-SA"/>
                    </w:rPr>
                    <w:t>VOCs产出</w:t>
                  </w:r>
                </w:p>
              </w:tc>
            </w:tr>
            <w:tr w14:paraId="0A0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vAlign w:val="center"/>
                </w:tcPr>
                <w:p w14:paraId="7F36B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电泳漆+色浆</w:t>
                  </w:r>
                </w:p>
              </w:tc>
              <w:tc>
                <w:tcPr>
                  <w:tcW w:w="832" w:type="pct"/>
                  <w:vMerge w:val="restart"/>
                  <w:vAlign w:val="center"/>
                </w:tcPr>
                <w:p w14:paraId="126F1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2.0952</w:t>
                  </w:r>
                </w:p>
              </w:tc>
              <w:tc>
                <w:tcPr>
                  <w:tcW w:w="484" w:type="pct"/>
                  <w:vMerge w:val="restart"/>
                  <w:shd w:val="clear" w:color="auto" w:fill="auto"/>
                  <w:vAlign w:val="center"/>
                </w:tcPr>
                <w:p w14:paraId="49AA75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sz w:val="21"/>
                      <w:szCs w:val="21"/>
                      <w:highlight w:val="none"/>
                      <w:vertAlign w:val="baseline"/>
                      <w:lang w:val="en-US" w:eastAsia="zh-CN"/>
                    </w:rPr>
                    <w:t>废气</w:t>
                  </w:r>
                </w:p>
              </w:tc>
              <w:tc>
                <w:tcPr>
                  <w:tcW w:w="818" w:type="pct"/>
                  <w:shd w:val="clear" w:color="auto" w:fill="auto"/>
                  <w:vAlign w:val="center"/>
                </w:tcPr>
                <w:p w14:paraId="2DE1C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有组织</w:t>
                  </w:r>
                </w:p>
              </w:tc>
              <w:tc>
                <w:tcPr>
                  <w:tcW w:w="1132" w:type="pct"/>
                  <w:shd w:val="clear" w:color="auto" w:fill="auto"/>
                  <w:vAlign w:val="center"/>
                </w:tcPr>
                <w:p w14:paraId="268CF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019" w:type="pct"/>
                  <w:shd w:val="clear" w:color="auto" w:fill="auto"/>
                  <w:vAlign w:val="center"/>
                </w:tcPr>
                <w:p w14:paraId="51CFA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0.1886</w:t>
                  </w:r>
                </w:p>
              </w:tc>
            </w:tr>
            <w:tr w14:paraId="58C9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5580F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sz w:val="21"/>
                      <w:szCs w:val="21"/>
                      <w:highlight w:val="none"/>
                      <w:vertAlign w:val="baseline"/>
                      <w:lang w:val="en-US" w:eastAsia="zh-CN"/>
                    </w:rPr>
                  </w:pPr>
                </w:p>
              </w:tc>
              <w:tc>
                <w:tcPr>
                  <w:tcW w:w="832" w:type="pct"/>
                  <w:vMerge w:val="continue"/>
                  <w:vAlign w:val="center"/>
                </w:tcPr>
                <w:p w14:paraId="04B39F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sz w:val="21"/>
                      <w:szCs w:val="21"/>
                      <w:highlight w:val="none"/>
                      <w:vertAlign w:val="baseline"/>
                      <w:lang w:val="en-US" w:eastAsia="zh-CN"/>
                    </w:rPr>
                  </w:pPr>
                </w:p>
              </w:tc>
              <w:tc>
                <w:tcPr>
                  <w:tcW w:w="484" w:type="pct"/>
                  <w:vMerge w:val="continue"/>
                  <w:shd w:val="clear" w:color="auto" w:fill="auto"/>
                  <w:vAlign w:val="center"/>
                </w:tcPr>
                <w:p w14:paraId="4BD51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p>
              </w:tc>
              <w:tc>
                <w:tcPr>
                  <w:tcW w:w="818" w:type="pct"/>
                  <w:shd w:val="clear" w:color="auto" w:fill="auto"/>
                  <w:vAlign w:val="center"/>
                </w:tcPr>
                <w:p w14:paraId="5DF4D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无组织</w:t>
                  </w:r>
                </w:p>
              </w:tc>
              <w:tc>
                <w:tcPr>
                  <w:tcW w:w="1132" w:type="pct"/>
                  <w:shd w:val="clear" w:color="auto" w:fill="auto"/>
                  <w:vAlign w:val="center"/>
                </w:tcPr>
                <w:p w14:paraId="0523B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vertAlign w:val="baseline"/>
                      <w:lang w:val="en-US" w:eastAsia="zh-CN"/>
                    </w:rPr>
                    <w:t>非甲烷总烃</w:t>
                  </w:r>
                </w:p>
              </w:tc>
              <w:tc>
                <w:tcPr>
                  <w:tcW w:w="1019" w:type="pct"/>
                  <w:shd w:val="clear" w:color="auto" w:fill="auto"/>
                  <w:vAlign w:val="center"/>
                </w:tcPr>
                <w:p w14:paraId="59DD84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0.2095</w:t>
                  </w:r>
                </w:p>
              </w:tc>
            </w:tr>
            <w:tr w14:paraId="39B2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153F0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sz w:val="21"/>
                      <w:szCs w:val="21"/>
                      <w:highlight w:val="none"/>
                      <w:vertAlign w:val="baseline"/>
                      <w:lang w:val="en-US" w:eastAsia="zh-CN"/>
                    </w:rPr>
                  </w:pPr>
                </w:p>
              </w:tc>
              <w:tc>
                <w:tcPr>
                  <w:tcW w:w="832" w:type="pct"/>
                  <w:vMerge w:val="continue"/>
                  <w:vAlign w:val="center"/>
                </w:tcPr>
                <w:p w14:paraId="438F4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仿宋" w:cs="Times New Roman"/>
                      <w:color w:val="auto"/>
                      <w:sz w:val="21"/>
                      <w:szCs w:val="21"/>
                      <w:highlight w:val="none"/>
                      <w:vertAlign w:val="baseline"/>
                      <w:lang w:val="en-US" w:eastAsia="zh-CN"/>
                    </w:rPr>
                  </w:pPr>
                </w:p>
              </w:tc>
              <w:tc>
                <w:tcPr>
                  <w:tcW w:w="1302" w:type="pct"/>
                  <w:gridSpan w:val="2"/>
                  <w:shd w:val="clear" w:color="auto" w:fill="auto"/>
                  <w:vAlign w:val="center"/>
                </w:tcPr>
                <w:p w14:paraId="76BA7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固废</w:t>
                  </w:r>
                </w:p>
              </w:tc>
              <w:tc>
                <w:tcPr>
                  <w:tcW w:w="1132" w:type="pct"/>
                  <w:shd w:val="clear" w:color="auto" w:fill="auto"/>
                  <w:vAlign w:val="center"/>
                </w:tcPr>
                <w:p w14:paraId="3565E6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color w:val="auto"/>
                      <w:kern w:val="2"/>
                      <w:sz w:val="21"/>
                      <w:szCs w:val="21"/>
                      <w:highlight w:val="none"/>
                      <w:vertAlign w:val="baseline"/>
                      <w:lang w:val="en-US" w:eastAsia="zh-CN" w:bidi="ar-SA"/>
                    </w:rPr>
                  </w:pPr>
                  <w:r>
                    <w:rPr>
                      <w:rFonts w:hint="eastAsia" w:eastAsia="仿宋" w:cs="Times New Roman"/>
                      <w:color w:val="auto"/>
                      <w:kern w:val="2"/>
                      <w:sz w:val="21"/>
                      <w:szCs w:val="21"/>
                      <w:highlight w:val="none"/>
                      <w:vertAlign w:val="baseline"/>
                      <w:lang w:val="en-US" w:eastAsia="zh-CN" w:bidi="ar-SA"/>
                    </w:rPr>
                    <w:t>进活性炭</w:t>
                  </w:r>
                </w:p>
              </w:tc>
              <w:tc>
                <w:tcPr>
                  <w:tcW w:w="1019" w:type="pct"/>
                  <w:vAlign w:val="center"/>
                </w:tcPr>
                <w:p w14:paraId="7EABA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eastAsia" w:eastAsia="仿宋" w:cs="Times New Roman"/>
                      <w:color w:val="auto"/>
                      <w:sz w:val="21"/>
                      <w:szCs w:val="21"/>
                      <w:highlight w:val="none"/>
                      <w:vertAlign w:val="baseline"/>
                      <w:lang w:val="en-US" w:eastAsia="zh-CN"/>
                    </w:rPr>
                    <w:t>1.6971</w:t>
                  </w:r>
                </w:p>
              </w:tc>
            </w:tr>
            <w:tr w14:paraId="09F3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shd w:val="clear" w:color="auto" w:fill="auto"/>
                  <w:vAlign w:val="center"/>
                </w:tcPr>
                <w:p w14:paraId="291B3F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
                      <w:bCs/>
                      <w:color w:val="auto"/>
                      <w:kern w:val="2"/>
                      <w:sz w:val="21"/>
                      <w:szCs w:val="21"/>
                      <w:highlight w:val="none"/>
                      <w:vertAlign w:val="baseline"/>
                      <w:lang w:val="en-US" w:eastAsia="zh-CN" w:bidi="ar-SA"/>
                    </w:rPr>
                  </w:pPr>
                  <w:r>
                    <w:rPr>
                      <w:rFonts w:hint="eastAsia" w:eastAsia="仿宋" w:cs="Times New Roman"/>
                      <w:b/>
                      <w:bCs/>
                      <w:color w:val="auto"/>
                      <w:sz w:val="21"/>
                      <w:szCs w:val="21"/>
                      <w:highlight w:val="none"/>
                      <w:vertAlign w:val="baseline"/>
                      <w:lang w:val="en-US" w:eastAsia="zh-CN"/>
                    </w:rPr>
                    <w:t>合计</w:t>
                  </w:r>
                </w:p>
              </w:tc>
              <w:tc>
                <w:tcPr>
                  <w:tcW w:w="832" w:type="pct"/>
                  <w:shd w:val="clear" w:color="auto" w:fill="auto"/>
                  <w:vAlign w:val="center"/>
                </w:tcPr>
                <w:p w14:paraId="7594E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kern w:val="2"/>
                      <w:sz w:val="21"/>
                      <w:szCs w:val="21"/>
                      <w:highlight w:val="none"/>
                      <w:vertAlign w:val="baseline"/>
                      <w:lang w:val="en-US" w:eastAsia="zh-CN" w:bidi="ar-SA"/>
                    </w:rPr>
                  </w:pPr>
                  <w:r>
                    <w:rPr>
                      <w:rFonts w:hint="eastAsia" w:eastAsia="仿宋" w:cs="Times New Roman"/>
                      <w:b/>
                      <w:bCs/>
                      <w:color w:val="auto"/>
                      <w:kern w:val="2"/>
                      <w:sz w:val="21"/>
                      <w:szCs w:val="21"/>
                      <w:highlight w:val="none"/>
                      <w:vertAlign w:val="baseline"/>
                      <w:lang w:val="en-US" w:eastAsia="zh-CN" w:bidi="ar-SA"/>
                    </w:rPr>
                    <w:t>2.0952</w:t>
                  </w:r>
                </w:p>
              </w:tc>
              <w:tc>
                <w:tcPr>
                  <w:tcW w:w="2434" w:type="pct"/>
                  <w:gridSpan w:val="3"/>
                  <w:vAlign w:val="center"/>
                </w:tcPr>
                <w:p w14:paraId="41AC8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合计</w:t>
                  </w:r>
                </w:p>
              </w:tc>
              <w:tc>
                <w:tcPr>
                  <w:tcW w:w="1019" w:type="pct"/>
                  <w:vAlign w:val="center"/>
                </w:tcPr>
                <w:p w14:paraId="4EDE5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2.0952</w:t>
                  </w:r>
                </w:p>
              </w:tc>
            </w:tr>
          </w:tbl>
          <w:p w14:paraId="486FA736">
            <w:pPr>
              <w:adjustRightInd w:val="0"/>
              <w:snapToGrid w:val="0"/>
              <w:spacing w:line="360" w:lineRule="auto"/>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object>
                <v:shape id="_x0000_i1026" o:spt="75" type="#_x0000_t75" style="height:112.05pt;width:322.6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14:paraId="5A9A9513">
            <w:pPr>
              <w:adjustRightInd w:val="0"/>
              <w:snapToGrid w:val="0"/>
              <w:spacing w:line="360" w:lineRule="auto"/>
              <w:ind w:firstLine="482" w:firstLineChars="200"/>
              <w:jc w:val="center"/>
              <w:rPr>
                <w:rFonts w:hint="eastAsia"/>
                <w:b/>
                <w:color w:val="auto"/>
                <w:sz w:val="24"/>
                <w:szCs w:val="24"/>
                <w:highlight w:val="none"/>
                <w:lang w:eastAsia="zh-CN"/>
              </w:rPr>
            </w:pPr>
            <w:r>
              <w:rPr>
                <w:b/>
                <w:color w:val="auto"/>
                <w:sz w:val="24"/>
                <w:szCs w:val="24"/>
                <w:highlight w:val="none"/>
              </w:rPr>
              <w:t>图</w:t>
            </w:r>
            <w:r>
              <w:rPr>
                <w:rFonts w:hint="eastAsia"/>
                <w:b/>
                <w:color w:val="auto"/>
                <w:sz w:val="24"/>
                <w:szCs w:val="24"/>
                <w:highlight w:val="none"/>
              </w:rPr>
              <w:t>2-</w:t>
            </w:r>
            <w:r>
              <w:rPr>
                <w:rFonts w:hint="eastAsia"/>
                <w:b/>
                <w:color w:val="auto"/>
                <w:sz w:val="24"/>
                <w:szCs w:val="24"/>
                <w:highlight w:val="none"/>
                <w:lang w:val="en-US" w:eastAsia="zh-CN"/>
              </w:rPr>
              <w:t>2</w:t>
            </w:r>
            <w:r>
              <w:rPr>
                <w:rFonts w:hint="eastAsia"/>
                <w:b/>
                <w:color w:val="auto"/>
                <w:sz w:val="24"/>
                <w:szCs w:val="24"/>
                <w:highlight w:val="none"/>
              </w:rPr>
              <w:t xml:space="preserve">  </w:t>
            </w:r>
            <w:r>
              <w:rPr>
                <w:rFonts w:hint="eastAsia"/>
                <w:b/>
                <w:color w:val="auto"/>
                <w:sz w:val="24"/>
                <w:szCs w:val="24"/>
                <w:highlight w:val="none"/>
                <w:lang w:val="en-US" w:eastAsia="zh-CN"/>
              </w:rPr>
              <w:t>项目塑粉VOC</w:t>
            </w:r>
            <w:r>
              <w:rPr>
                <w:rFonts w:hint="eastAsia"/>
                <w:b/>
                <w:color w:val="auto"/>
                <w:sz w:val="24"/>
                <w:szCs w:val="24"/>
                <w:highlight w:val="none"/>
              </w:rPr>
              <w:t>平衡图</w:t>
            </w:r>
            <w:r>
              <w:rPr>
                <w:rFonts w:hint="eastAsia"/>
                <w:b/>
                <w:color w:val="auto"/>
                <w:sz w:val="24"/>
                <w:szCs w:val="24"/>
                <w:highlight w:val="none"/>
                <w:lang w:eastAsia="zh-CN"/>
              </w:rPr>
              <w:t>（</w:t>
            </w:r>
            <w:r>
              <w:rPr>
                <w:rFonts w:hint="eastAsia"/>
                <w:b/>
                <w:color w:val="auto"/>
                <w:sz w:val="24"/>
                <w:szCs w:val="24"/>
                <w:highlight w:val="none"/>
                <w:lang w:val="en-US" w:eastAsia="zh-CN"/>
              </w:rPr>
              <w:t>t/a</w:t>
            </w:r>
            <w:r>
              <w:rPr>
                <w:rFonts w:hint="eastAsia"/>
                <w:b/>
                <w:color w:val="auto"/>
                <w:sz w:val="24"/>
                <w:szCs w:val="24"/>
                <w:highlight w:val="none"/>
                <w:lang w:eastAsia="zh-CN"/>
              </w:rPr>
              <w:t>）</w:t>
            </w:r>
          </w:p>
          <w:p w14:paraId="092BCB5C">
            <w:pPr>
              <w:pStyle w:val="2"/>
              <w:jc w:val="center"/>
              <w:rPr>
                <w:rFonts w:hint="eastAsia"/>
                <w:b/>
                <w:color w:val="auto"/>
                <w:sz w:val="24"/>
                <w:szCs w:val="24"/>
                <w:highlight w:val="none"/>
                <w:lang w:eastAsia="zh-CN"/>
              </w:rPr>
            </w:pPr>
            <w:r>
              <w:rPr>
                <w:rFonts w:hint="eastAsia"/>
                <w:b/>
                <w:color w:val="auto"/>
                <w:sz w:val="24"/>
                <w:szCs w:val="24"/>
                <w:highlight w:val="none"/>
                <w:lang w:eastAsia="zh-CN"/>
              </w:rPr>
              <w:object>
                <v:shape id="_x0000_i1027" o:spt="75" type="#_x0000_t75" style="height:93pt;width:323.45pt;" o:ole="t" filled="f" o:preferrelative="t" stroked="f" coordsize="21600,21600">
                  <v:path/>
                  <v:fill on="f" focussize="0,0"/>
                  <v:stroke on="f"/>
                  <v:imagedata r:id="rId14" o:title=""/>
                  <o:lock v:ext="edit" aspectratio="f"/>
                  <w10:wrap type="none"/>
                  <w10:anchorlock/>
                </v:shape>
                <o:OLEObject Type="Embed" ProgID="Visio.Drawing.15" ShapeID="_x0000_i1027" DrawAspect="Content" ObjectID="_1468075727" r:id="rId13">
                  <o:LockedField>false</o:LockedField>
                </o:OLEObject>
              </w:object>
            </w:r>
          </w:p>
          <w:p w14:paraId="6A6CBD53">
            <w:pPr>
              <w:pStyle w:val="2"/>
              <w:jc w:val="center"/>
              <w:rPr>
                <w:color w:val="auto"/>
              </w:rPr>
            </w:pPr>
            <w:r>
              <w:rPr>
                <w:rFonts w:hint="eastAsia" w:ascii="Times New Roman" w:hAnsi="Times New Roman" w:eastAsia="宋体" w:cs="Times New Roman"/>
                <w:b/>
                <w:color w:val="auto"/>
                <w:kern w:val="2"/>
                <w:sz w:val="24"/>
                <w:szCs w:val="24"/>
                <w:highlight w:val="none"/>
                <w:lang w:val="en-US" w:eastAsia="zh-CN" w:bidi="ar-SA"/>
              </w:rPr>
              <w:t>图2-</w:t>
            </w:r>
            <w:r>
              <w:rPr>
                <w:rFonts w:hint="eastAsia" w:cs="Times New Roman"/>
                <w:b/>
                <w:color w:val="auto"/>
                <w:kern w:val="2"/>
                <w:sz w:val="24"/>
                <w:szCs w:val="24"/>
                <w:highlight w:val="none"/>
                <w:lang w:val="en-US" w:eastAsia="zh-CN" w:bidi="ar-SA"/>
              </w:rPr>
              <w:t>3</w:t>
            </w:r>
            <w:r>
              <w:rPr>
                <w:rFonts w:hint="eastAsia" w:ascii="Times New Roman" w:hAnsi="Times New Roman" w:eastAsia="宋体" w:cs="Times New Roman"/>
                <w:b/>
                <w:color w:val="auto"/>
                <w:kern w:val="2"/>
                <w:sz w:val="24"/>
                <w:szCs w:val="24"/>
                <w:highlight w:val="none"/>
                <w:lang w:val="en-US" w:eastAsia="zh-CN" w:bidi="ar-SA"/>
              </w:rPr>
              <w:t xml:space="preserve">  项目电泳漆、色浆VOC平衡图（t/a）</w:t>
            </w:r>
          </w:p>
          <w:p w14:paraId="70DC7EAA">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本项目氮平衡分析具体见下表。</w:t>
            </w:r>
          </w:p>
          <w:p w14:paraId="05F1F52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本项目氮平衡表（t/a）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863"/>
              <w:gridCol w:w="750"/>
              <w:gridCol w:w="1078"/>
              <w:gridCol w:w="1112"/>
              <w:gridCol w:w="1514"/>
              <w:gridCol w:w="1700"/>
            </w:tblGrid>
            <w:tr w14:paraId="1976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8" w:type="pct"/>
                  <w:gridSpan w:val="4"/>
                  <w:noWrap w:val="0"/>
                  <w:vAlign w:val="center"/>
                </w:tcPr>
                <w:p w14:paraId="6585EC10">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进入</w:t>
                  </w:r>
                </w:p>
              </w:tc>
              <w:tc>
                <w:tcPr>
                  <w:tcW w:w="2331" w:type="pct"/>
                  <w:gridSpan w:val="3"/>
                  <w:noWrap w:val="0"/>
                  <w:vAlign w:val="center"/>
                </w:tcPr>
                <w:p w14:paraId="127EDD89">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产出</w:t>
                  </w:r>
                </w:p>
              </w:tc>
            </w:tr>
            <w:tr w14:paraId="186A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noWrap w:val="0"/>
                  <w:vAlign w:val="center"/>
                </w:tcPr>
                <w:p w14:paraId="7527568C">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物料名称</w:t>
                  </w:r>
                </w:p>
              </w:tc>
              <w:tc>
                <w:tcPr>
                  <w:tcW w:w="1004" w:type="pct"/>
                  <w:noWrap w:val="0"/>
                  <w:vAlign w:val="center"/>
                </w:tcPr>
                <w:p w14:paraId="4FD23C01">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组分含量</w:t>
                  </w:r>
                </w:p>
              </w:tc>
              <w:tc>
                <w:tcPr>
                  <w:tcW w:w="404" w:type="pct"/>
                  <w:noWrap w:val="0"/>
                  <w:vAlign w:val="center"/>
                </w:tcPr>
                <w:p w14:paraId="5AAB31A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用量</w:t>
                  </w:r>
                </w:p>
              </w:tc>
              <w:tc>
                <w:tcPr>
                  <w:tcW w:w="581" w:type="pct"/>
                  <w:noWrap w:val="0"/>
                  <w:vAlign w:val="center"/>
                </w:tcPr>
                <w:p w14:paraId="6F177079">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折</w:t>
                  </w:r>
                  <w:r>
                    <w:rPr>
                      <w:rFonts w:hint="eastAsia" w:ascii="Times New Roman" w:hAnsi="Times New Roman" w:eastAsia="仿宋" w:cs="Times New Roman"/>
                      <w:b/>
                      <w:bCs/>
                      <w:color w:val="auto"/>
                      <w:kern w:val="2"/>
                      <w:sz w:val="21"/>
                      <w:szCs w:val="21"/>
                      <w:highlight w:val="none"/>
                      <w:lang w:val="en-US" w:eastAsia="zh-CN" w:bidi="ar-SA"/>
                    </w:rPr>
                    <w:t>氮</w:t>
                  </w:r>
                  <w:r>
                    <w:rPr>
                      <w:rFonts w:hint="default" w:ascii="Times New Roman" w:hAnsi="Times New Roman" w:eastAsia="仿宋" w:cs="Times New Roman"/>
                      <w:b/>
                      <w:bCs/>
                      <w:color w:val="auto"/>
                      <w:kern w:val="2"/>
                      <w:sz w:val="21"/>
                      <w:szCs w:val="21"/>
                      <w:highlight w:val="none"/>
                      <w:lang w:val="en-US" w:eastAsia="zh-CN" w:bidi="ar-SA"/>
                    </w:rPr>
                    <w:t>含量</w:t>
                  </w:r>
                </w:p>
              </w:tc>
              <w:tc>
                <w:tcPr>
                  <w:tcW w:w="599" w:type="pct"/>
                  <w:noWrap w:val="0"/>
                  <w:vAlign w:val="center"/>
                </w:tcPr>
                <w:p w14:paraId="5635A38D">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去向</w:t>
                  </w:r>
                </w:p>
              </w:tc>
              <w:tc>
                <w:tcPr>
                  <w:tcW w:w="815" w:type="pct"/>
                  <w:noWrap w:val="0"/>
                  <w:vAlign w:val="center"/>
                </w:tcPr>
                <w:p w14:paraId="00900210">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名称</w:t>
                  </w:r>
                </w:p>
              </w:tc>
              <w:tc>
                <w:tcPr>
                  <w:tcW w:w="916" w:type="pct"/>
                  <w:noWrap w:val="0"/>
                  <w:vAlign w:val="center"/>
                </w:tcPr>
                <w:p w14:paraId="1F81E82A">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金含量</w:t>
                  </w:r>
                </w:p>
              </w:tc>
            </w:tr>
            <w:tr w14:paraId="2DBA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shd w:val="clear" w:color="auto" w:fill="auto"/>
                  <w:noWrap w:val="0"/>
                  <w:vAlign w:val="center"/>
                </w:tcPr>
                <w:p w14:paraId="75C5A871">
                  <w:pPr>
                    <w:keepNext w:val="0"/>
                    <w:keepLines w:val="0"/>
                    <w:widowControl/>
                    <w:suppressLineNumbers w:val="0"/>
                    <w:jc w:val="center"/>
                    <w:textAlignment w:val="center"/>
                    <w:rPr>
                      <w:rFonts w:hint="default" w:ascii="仿宋" w:hAnsi="仿宋" w:eastAsia="仿宋" w:cs="仿宋"/>
                      <w:i w:val="0"/>
                      <w:iCs w:val="0"/>
                      <w:color w:val="auto"/>
                      <w:kern w:val="2"/>
                      <w:sz w:val="20"/>
                      <w:szCs w:val="20"/>
                      <w:u w:val="none"/>
                      <w:lang w:val="en-US" w:eastAsia="zh-CN" w:bidi="ar-SA"/>
                    </w:rPr>
                  </w:pPr>
                  <w:r>
                    <w:rPr>
                      <w:rFonts w:hint="eastAsia" w:ascii="仿宋" w:hAnsi="仿宋" w:eastAsia="仿宋" w:cs="仿宋"/>
                      <w:i w:val="0"/>
                      <w:iCs w:val="0"/>
                      <w:color w:val="auto"/>
                      <w:kern w:val="0"/>
                      <w:sz w:val="20"/>
                      <w:szCs w:val="20"/>
                      <w:u w:val="none"/>
                      <w:lang w:val="en-US" w:eastAsia="zh-CN" w:bidi="ar"/>
                    </w:rPr>
                    <w:t>电泳漆树脂</w:t>
                  </w:r>
                </w:p>
              </w:tc>
              <w:tc>
                <w:tcPr>
                  <w:tcW w:w="1004" w:type="pct"/>
                  <w:noWrap w:val="0"/>
                  <w:vAlign w:val="center"/>
                </w:tcPr>
                <w:p w14:paraId="21FCA697">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烷基三聚氰胺甲醛树脂20%-35%（按照35%考虑）</w:t>
                  </w:r>
                </w:p>
              </w:tc>
              <w:tc>
                <w:tcPr>
                  <w:tcW w:w="404" w:type="pct"/>
                  <w:noWrap w:val="0"/>
                  <w:vAlign w:val="center"/>
                </w:tcPr>
                <w:p w14:paraId="3E9E48AB">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9.6</w:t>
                  </w:r>
                </w:p>
              </w:tc>
              <w:tc>
                <w:tcPr>
                  <w:tcW w:w="581" w:type="pct"/>
                  <w:noWrap w:val="0"/>
                  <w:vAlign w:val="center"/>
                </w:tcPr>
                <w:p w14:paraId="3415B2D4">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0.723</w:t>
                  </w:r>
                </w:p>
              </w:tc>
              <w:tc>
                <w:tcPr>
                  <w:tcW w:w="599" w:type="pct"/>
                  <w:noWrap w:val="0"/>
                  <w:vAlign w:val="center"/>
                </w:tcPr>
                <w:p w14:paraId="53B9278A">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产品</w:t>
                  </w:r>
                </w:p>
              </w:tc>
              <w:tc>
                <w:tcPr>
                  <w:tcW w:w="815" w:type="pct"/>
                  <w:noWrap w:val="0"/>
                  <w:vAlign w:val="center"/>
                </w:tcPr>
                <w:p w14:paraId="342337BE">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工件表面</w:t>
                  </w:r>
                </w:p>
              </w:tc>
              <w:tc>
                <w:tcPr>
                  <w:tcW w:w="916" w:type="pct"/>
                  <w:noWrap w:val="0"/>
                  <w:vAlign w:val="center"/>
                </w:tcPr>
                <w:p w14:paraId="0B385A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0.7085</w:t>
                  </w:r>
                </w:p>
              </w:tc>
            </w:tr>
            <w:tr w14:paraId="0C9D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8" w:type="pct"/>
                  <w:gridSpan w:val="4"/>
                  <w:vMerge w:val="restart"/>
                  <w:noWrap w:val="0"/>
                  <w:vAlign w:val="center"/>
                </w:tcPr>
                <w:p w14:paraId="75CDDF52">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eastAsia"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w:t>
                  </w:r>
                </w:p>
              </w:tc>
              <w:tc>
                <w:tcPr>
                  <w:tcW w:w="599" w:type="pct"/>
                  <w:noWrap w:val="0"/>
                  <w:vAlign w:val="center"/>
                </w:tcPr>
                <w:p w14:paraId="690E7307">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废水外排</w:t>
                  </w:r>
                </w:p>
              </w:tc>
              <w:tc>
                <w:tcPr>
                  <w:tcW w:w="815" w:type="pct"/>
                  <w:noWrap w:val="0"/>
                  <w:vAlign w:val="center"/>
                </w:tcPr>
                <w:p w14:paraId="186CBA7E">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总氮</w:t>
                  </w:r>
                </w:p>
              </w:tc>
              <w:tc>
                <w:tcPr>
                  <w:tcW w:w="916" w:type="pct"/>
                  <w:noWrap w:val="0"/>
                  <w:vAlign w:val="center"/>
                </w:tcPr>
                <w:p w14:paraId="3B7B3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Times New Roman" w:hAnsi="Times New Roman" w:eastAsia="宋体" w:cs="Times New Roman"/>
                      <w:i w:val="0"/>
                      <w:iCs w:val="0"/>
                      <w:color w:val="auto"/>
                      <w:kern w:val="0"/>
                      <w:sz w:val="20"/>
                      <w:szCs w:val="20"/>
                      <w:u w:val="none"/>
                      <w:lang w:val="en-US" w:eastAsia="zh-CN" w:bidi="ar"/>
                    </w:rPr>
                    <w:t>0.00</w:t>
                  </w:r>
                  <w:r>
                    <w:rPr>
                      <w:rFonts w:hint="eastAsia" w:cs="Times New Roman"/>
                      <w:i w:val="0"/>
                      <w:iCs w:val="0"/>
                      <w:color w:val="auto"/>
                      <w:kern w:val="0"/>
                      <w:sz w:val="20"/>
                      <w:szCs w:val="20"/>
                      <w:u w:val="none"/>
                      <w:lang w:val="en-US" w:eastAsia="zh-CN" w:bidi="ar"/>
                    </w:rPr>
                    <w:t>25</w:t>
                  </w:r>
                </w:p>
              </w:tc>
            </w:tr>
            <w:tr w14:paraId="42AB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668" w:type="pct"/>
                  <w:gridSpan w:val="4"/>
                  <w:vMerge w:val="continue"/>
                  <w:noWrap w:val="0"/>
                  <w:vAlign w:val="center"/>
                </w:tcPr>
                <w:p w14:paraId="2FAD3065">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p>
              </w:tc>
              <w:tc>
                <w:tcPr>
                  <w:tcW w:w="1415" w:type="pct"/>
                  <w:gridSpan w:val="2"/>
                  <w:noWrap w:val="0"/>
                  <w:vAlign w:val="center"/>
                </w:tcPr>
                <w:p w14:paraId="1B90CFF8">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固废</w:t>
                  </w:r>
                </w:p>
              </w:tc>
              <w:tc>
                <w:tcPr>
                  <w:tcW w:w="916" w:type="pct"/>
                  <w:noWrap w:val="0"/>
                  <w:vAlign w:val="center"/>
                </w:tcPr>
                <w:p w14:paraId="757FE1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0.012</w:t>
                  </w:r>
                </w:p>
              </w:tc>
            </w:tr>
            <w:tr w14:paraId="7E02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pct"/>
                  <w:gridSpan w:val="3"/>
                  <w:noWrap w:val="0"/>
                  <w:vAlign w:val="center"/>
                </w:tcPr>
                <w:p w14:paraId="0FF4F3AE">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合计</w:t>
                  </w:r>
                </w:p>
              </w:tc>
              <w:tc>
                <w:tcPr>
                  <w:tcW w:w="581" w:type="pct"/>
                  <w:noWrap w:val="0"/>
                  <w:vAlign w:val="center"/>
                </w:tcPr>
                <w:p w14:paraId="4456BB3E">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0.</w:t>
                  </w:r>
                  <w:r>
                    <w:rPr>
                      <w:rFonts w:hint="eastAsia" w:ascii="Times New Roman" w:hAnsi="Times New Roman" w:eastAsia="仿宋" w:cs="Times New Roman"/>
                      <w:b/>
                      <w:bCs/>
                      <w:color w:val="auto"/>
                      <w:kern w:val="2"/>
                      <w:sz w:val="21"/>
                      <w:szCs w:val="21"/>
                      <w:highlight w:val="none"/>
                      <w:lang w:val="en-US" w:eastAsia="zh-CN" w:bidi="ar-SA"/>
                    </w:rPr>
                    <w:t>723</w:t>
                  </w:r>
                </w:p>
              </w:tc>
              <w:tc>
                <w:tcPr>
                  <w:tcW w:w="1415" w:type="pct"/>
                  <w:gridSpan w:val="2"/>
                  <w:noWrap w:val="0"/>
                  <w:vAlign w:val="center"/>
                </w:tcPr>
                <w:p w14:paraId="5736627C">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合计</w:t>
                  </w:r>
                </w:p>
              </w:tc>
              <w:tc>
                <w:tcPr>
                  <w:tcW w:w="916" w:type="pct"/>
                  <w:noWrap w:val="0"/>
                  <w:vAlign w:val="center"/>
                </w:tcPr>
                <w:p w14:paraId="2724B623">
                  <w:pPr>
                    <w:keepNext w:val="0"/>
                    <w:keepLines w:val="0"/>
                    <w:widowControl/>
                    <w:suppressLineNumbers w:val="0"/>
                    <w:jc w:val="center"/>
                    <w:textAlignment w:val="center"/>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0"/>
                      <w:sz w:val="20"/>
                      <w:szCs w:val="20"/>
                      <w:u w:val="none"/>
                      <w:lang w:val="en-US" w:eastAsia="zh-CN" w:bidi="ar"/>
                    </w:rPr>
                    <w:t>0.723</w:t>
                  </w:r>
                </w:p>
              </w:tc>
            </w:tr>
          </w:tbl>
          <w:p w14:paraId="5AEE5853">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本项目磷平衡分析具体见下表。</w:t>
            </w:r>
          </w:p>
          <w:p w14:paraId="5305AE9D">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本项目磷平衡表（t/a）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863"/>
              <w:gridCol w:w="750"/>
              <w:gridCol w:w="1078"/>
              <w:gridCol w:w="1112"/>
              <w:gridCol w:w="1514"/>
              <w:gridCol w:w="1700"/>
            </w:tblGrid>
            <w:tr w14:paraId="52C3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8" w:type="pct"/>
                  <w:gridSpan w:val="4"/>
                  <w:noWrap w:val="0"/>
                  <w:vAlign w:val="center"/>
                </w:tcPr>
                <w:p w14:paraId="27F8166D">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进入</w:t>
                  </w:r>
                </w:p>
              </w:tc>
              <w:tc>
                <w:tcPr>
                  <w:tcW w:w="2331" w:type="pct"/>
                  <w:gridSpan w:val="3"/>
                  <w:noWrap w:val="0"/>
                  <w:vAlign w:val="center"/>
                </w:tcPr>
                <w:p w14:paraId="4F91F0CD">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产出</w:t>
                  </w:r>
                </w:p>
              </w:tc>
            </w:tr>
            <w:tr w14:paraId="3D7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noWrap w:val="0"/>
                  <w:vAlign w:val="center"/>
                </w:tcPr>
                <w:p w14:paraId="6585D3F6">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物料名称</w:t>
                  </w:r>
                </w:p>
              </w:tc>
              <w:tc>
                <w:tcPr>
                  <w:tcW w:w="1004" w:type="pct"/>
                  <w:noWrap w:val="0"/>
                  <w:vAlign w:val="center"/>
                </w:tcPr>
                <w:p w14:paraId="5F56D9B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组分含量</w:t>
                  </w:r>
                </w:p>
              </w:tc>
              <w:tc>
                <w:tcPr>
                  <w:tcW w:w="404" w:type="pct"/>
                  <w:noWrap w:val="0"/>
                  <w:vAlign w:val="center"/>
                </w:tcPr>
                <w:p w14:paraId="781A6455">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用量</w:t>
                  </w:r>
                </w:p>
              </w:tc>
              <w:tc>
                <w:tcPr>
                  <w:tcW w:w="581" w:type="pct"/>
                  <w:noWrap w:val="0"/>
                  <w:vAlign w:val="center"/>
                </w:tcPr>
                <w:p w14:paraId="46FD676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折</w:t>
                  </w:r>
                  <w:r>
                    <w:rPr>
                      <w:rFonts w:hint="eastAsia" w:ascii="Times New Roman" w:hAnsi="Times New Roman" w:eastAsia="仿宋" w:cs="Times New Roman"/>
                      <w:b/>
                      <w:bCs/>
                      <w:color w:val="auto"/>
                      <w:kern w:val="2"/>
                      <w:sz w:val="21"/>
                      <w:szCs w:val="21"/>
                      <w:highlight w:val="none"/>
                      <w:lang w:val="en-US" w:eastAsia="zh-CN" w:bidi="ar-SA"/>
                    </w:rPr>
                    <w:t>磷</w:t>
                  </w:r>
                  <w:r>
                    <w:rPr>
                      <w:rFonts w:hint="default" w:ascii="Times New Roman" w:hAnsi="Times New Roman" w:eastAsia="仿宋" w:cs="Times New Roman"/>
                      <w:b/>
                      <w:bCs/>
                      <w:color w:val="auto"/>
                      <w:kern w:val="2"/>
                      <w:sz w:val="21"/>
                      <w:szCs w:val="21"/>
                      <w:highlight w:val="none"/>
                      <w:lang w:val="en-US" w:eastAsia="zh-CN" w:bidi="ar-SA"/>
                    </w:rPr>
                    <w:t>含量</w:t>
                  </w:r>
                </w:p>
              </w:tc>
              <w:tc>
                <w:tcPr>
                  <w:tcW w:w="599" w:type="pct"/>
                  <w:noWrap w:val="0"/>
                  <w:vAlign w:val="center"/>
                </w:tcPr>
                <w:p w14:paraId="261901A6">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去向</w:t>
                  </w:r>
                </w:p>
              </w:tc>
              <w:tc>
                <w:tcPr>
                  <w:tcW w:w="815" w:type="pct"/>
                  <w:noWrap w:val="0"/>
                  <w:vAlign w:val="center"/>
                </w:tcPr>
                <w:p w14:paraId="43A5AA3A">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名称</w:t>
                  </w:r>
                </w:p>
              </w:tc>
              <w:tc>
                <w:tcPr>
                  <w:tcW w:w="916" w:type="pct"/>
                  <w:noWrap w:val="0"/>
                  <w:vAlign w:val="center"/>
                </w:tcPr>
                <w:p w14:paraId="176136B6">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金含量</w:t>
                  </w:r>
                </w:p>
              </w:tc>
            </w:tr>
            <w:tr w14:paraId="5BD2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pct"/>
                  <w:shd w:val="clear" w:color="auto" w:fill="auto"/>
                  <w:noWrap w:val="0"/>
                  <w:vAlign w:val="center"/>
                </w:tcPr>
                <w:p w14:paraId="23FD61A2">
                  <w:pPr>
                    <w:keepNext w:val="0"/>
                    <w:keepLines w:val="0"/>
                    <w:widowControl/>
                    <w:suppressLineNumbers w:val="0"/>
                    <w:jc w:val="center"/>
                    <w:textAlignment w:val="center"/>
                    <w:rPr>
                      <w:rFonts w:hint="default" w:ascii="仿宋" w:hAnsi="仿宋" w:eastAsia="仿宋" w:cs="仿宋"/>
                      <w:i w:val="0"/>
                      <w:iCs w:val="0"/>
                      <w:color w:val="auto"/>
                      <w:kern w:val="2"/>
                      <w:sz w:val="20"/>
                      <w:szCs w:val="20"/>
                      <w:u w:val="none"/>
                      <w:lang w:val="en-US" w:eastAsia="zh-CN" w:bidi="ar-SA"/>
                    </w:rPr>
                  </w:pPr>
                  <w:r>
                    <w:rPr>
                      <w:rFonts w:hint="eastAsia" w:ascii="仿宋" w:hAnsi="仿宋" w:eastAsia="仿宋" w:cs="仿宋"/>
                      <w:i w:val="0"/>
                      <w:iCs w:val="0"/>
                      <w:color w:val="auto"/>
                      <w:kern w:val="0"/>
                      <w:sz w:val="20"/>
                      <w:szCs w:val="20"/>
                      <w:u w:val="none"/>
                      <w:lang w:val="en-US" w:eastAsia="zh-CN" w:bidi="ar"/>
                    </w:rPr>
                    <w:t>电泳漆树脂</w:t>
                  </w:r>
                </w:p>
              </w:tc>
              <w:tc>
                <w:tcPr>
                  <w:tcW w:w="1004" w:type="pct"/>
                  <w:noWrap w:val="0"/>
                  <w:vAlign w:val="center"/>
                </w:tcPr>
                <w:p w14:paraId="66DDFEA4">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三聚磷酸钠3%</w:t>
                  </w:r>
                </w:p>
              </w:tc>
              <w:tc>
                <w:tcPr>
                  <w:tcW w:w="404" w:type="pct"/>
                  <w:noWrap w:val="0"/>
                  <w:vAlign w:val="center"/>
                </w:tcPr>
                <w:p w14:paraId="7ED18518">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2.4</w:t>
                  </w:r>
                </w:p>
              </w:tc>
              <w:tc>
                <w:tcPr>
                  <w:tcW w:w="581" w:type="pct"/>
                  <w:noWrap w:val="0"/>
                  <w:vAlign w:val="center"/>
                </w:tcPr>
                <w:p w14:paraId="795D6A54">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0.018</w:t>
                  </w:r>
                </w:p>
              </w:tc>
              <w:tc>
                <w:tcPr>
                  <w:tcW w:w="599" w:type="pct"/>
                  <w:noWrap w:val="0"/>
                  <w:vAlign w:val="center"/>
                </w:tcPr>
                <w:p w14:paraId="6D1C89CB">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产品</w:t>
                  </w:r>
                </w:p>
              </w:tc>
              <w:tc>
                <w:tcPr>
                  <w:tcW w:w="815" w:type="pct"/>
                  <w:noWrap w:val="0"/>
                  <w:vAlign w:val="center"/>
                </w:tcPr>
                <w:p w14:paraId="549BD950">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工件表面</w:t>
                  </w:r>
                </w:p>
              </w:tc>
              <w:tc>
                <w:tcPr>
                  <w:tcW w:w="916" w:type="pct"/>
                  <w:noWrap w:val="0"/>
                  <w:vAlign w:val="center"/>
                </w:tcPr>
                <w:p w14:paraId="21E32C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0.0176</w:t>
                  </w:r>
                </w:p>
              </w:tc>
            </w:tr>
            <w:tr w14:paraId="1FA9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8" w:type="pct"/>
                  <w:gridSpan w:val="4"/>
                  <w:vMerge w:val="restart"/>
                  <w:noWrap w:val="0"/>
                  <w:vAlign w:val="center"/>
                </w:tcPr>
                <w:p w14:paraId="3942CCDA">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eastAsia"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w:t>
                  </w:r>
                </w:p>
              </w:tc>
              <w:tc>
                <w:tcPr>
                  <w:tcW w:w="599" w:type="pct"/>
                  <w:noWrap w:val="0"/>
                  <w:vAlign w:val="center"/>
                </w:tcPr>
                <w:p w14:paraId="089CA28F">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废水外排</w:t>
                  </w:r>
                </w:p>
              </w:tc>
              <w:tc>
                <w:tcPr>
                  <w:tcW w:w="815" w:type="pct"/>
                  <w:noWrap w:val="0"/>
                  <w:vAlign w:val="center"/>
                </w:tcPr>
                <w:p w14:paraId="2FE5F05C">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eastAsia" w:ascii="Times New Roman" w:hAnsi="Times New Roman" w:eastAsia="仿宋" w:cs="Times New Roman"/>
                      <w:b w:val="0"/>
                      <w:bCs w:val="0"/>
                      <w:color w:val="auto"/>
                      <w:kern w:val="2"/>
                      <w:sz w:val="21"/>
                      <w:szCs w:val="21"/>
                      <w:highlight w:val="none"/>
                      <w:lang w:val="en-US" w:eastAsia="zh-CN" w:bidi="ar-SA"/>
                    </w:rPr>
                    <w:t>总磷</w:t>
                  </w:r>
                </w:p>
              </w:tc>
              <w:tc>
                <w:tcPr>
                  <w:tcW w:w="916" w:type="pct"/>
                  <w:noWrap w:val="0"/>
                  <w:vAlign w:val="center"/>
                </w:tcPr>
                <w:p w14:paraId="7CF96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0.00021</w:t>
                  </w:r>
                </w:p>
              </w:tc>
            </w:tr>
            <w:tr w14:paraId="3E8C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8" w:type="pct"/>
                  <w:gridSpan w:val="4"/>
                  <w:vMerge w:val="continue"/>
                  <w:noWrap w:val="0"/>
                  <w:vAlign w:val="center"/>
                </w:tcPr>
                <w:p w14:paraId="1CC21F1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p>
              </w:tc>
              <w:tc>
                <w:tcPr>
                  <w:tcW w:w="1415" w:type="pct"/>
                  <w:gridSpan w:val="2"/>
                  <w:noWrap w:val="0"/>
                  <w:vAlign w:val="center"/>
                </w:tcPr>
                <w:p w14:paraId="15D67175">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val="0"/>
                      <w:bCs w:val="0"/>
                      <w:color w:val="auto"/>
                      <w:kern w:val="2"/>
                      <w:sz w:val="21"/>
                      <w:szCs w:val="21"/>
                      <w:highlight w:val="none"/>
                      <w:lang w:val="en-US" w:eastAsia="zh-CN" w:bidi="ar-SA"/>
                    </w:rPr>
                  </w:pPr>
                  <w:r>
                    <w:rPr>
                      <w:rFonts w:hint="default" w:ascii="Times New Roman" w:hAnsi="Times New Roman" w:eastAsia="仿宋" w:cs="Times New Roman"/>
                      <w:b w:val="0"/>
                      <w:bCs w:val="0"/>
                      <w:color w:val="auto"/>
                      <w:kern w:val="2"/>
                      <w:sz w:val="21"/>
                      <w:szCs w:val="21"/>
                      <w:highlight w:val="none"/>
                      <w:lang w:val="en-US" w:eastAsia="zh-CN" w:bidi="ar-SA"/>
                    </w:rPr>
                    <w:t>固废</w:t>
                  </w:r>
                </w:p>
              </w:tc>
              <w:tc>
                <w:tcPr>
                  <w:tcW w:w="916" w:type="pct"/>
                  <w:noWrap w:val="0"/>
                  <w:vAlign w:val="center"/>
                </w:tcPr>
                <w:p w14:paraId="0A06BC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cs="Times New Roman"/>
                      <w:i w:val="0"/>
                      <w:iCs w:val="0"/>
                      <w:color w:val="auto"/>
                      <w:kern w:val="0"/>
                      <w:sz w:val="20"/>
                      <w:szCs w:val="20"/>
                      <w:u w:val="none"/>
                      <w:lang w:val="en-US" w:eastAsia="zh-CN" w:bidi="ar"/>
                    </w:rPr>
                    <w:t>0.00019</w:t>
                  </w:r>
                </w:p>
              </w:tc>
            </w:tr>
            <w:tr w14:paraId="0E8D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7" w:type="pct"/>
                  <w:gridSpan w:val="3"/>
                  <w:noWrap w:val="0"/>
                  <w:vAlign w:val="center"/>
                </w:tcPr>
                <w:p w14:paraId="7A777EC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合计</w:t>
                  </w:r>
                </w:p>
              </w:tc>
              <w:tc>
                <w:tcPr>
                  <w:tcW w:w="581" w:type="pct"/>
                  <w:noWrap w:val="0"/>
                  <w:vAlign w:val="center"/>
                </w:tcPr>
                <w:p w14:paraId="2A4821BC">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0.</w:t>
                  </w:r>
                  <w:r>
                    <w:rPr>
                      <w:rFonts w:hint="eastAsia" w:ascii="Times New Roman" w:hAnsi="Times New Roman" w:eastAsia="仿宋" w:cs="Times New Roman"/>
                      <w:b/>
                      <w:bCs/>
                      <w:color w:val="auto"/>
                      <w:kern w:val="2"/>
                      <w:sz w:val="21"/>
                      <w:szCs w:val="21"/>
                      <w:highlight w:val="none"/>
                      <w:lang w:val="en-US" w:eastAsia="zh-CN" w:bidi="ar-SA"/>
                    </w:rPr>
                    <w:t>018</w:t>
                  </w:r>
                </w:p>
              </w:tc>
              <w:tc>
                <w:tcPr>
                  <w:tcW w:w="1415" w:type="pct"/>
                  <w:gridSpan w:val="2"/>
                  <w:noWrap w:val="0"/>
                  <w:vAlign w:val="center"/>
                </w:tcPr>
                <w:p w14:paraId="142CD1B3">
                  <w:pPr>
                    <w:keepNext w:val="0"/>
                    <w:keepLines w:val="0"/>
                    <w:pageBreakBefore w:val="0"/>
                    <w:widowControl/>
                    <w:suppressLineNumbers w:val="0"/>
                    <w:kinsoku/>
                    <w:wordWrap/>
                    <w:overflowPunct/>
                    <w:topLinePunct w:val="0"/>
                    <w:autoSpaceDE/>
                    <w:autoSpaceDN/>
                    <w:bidi w:val="0"/>
                    <w:snapToGrid w:val="0"/>
                    <w:spacing w:line="240" w:lineRule="atLeast"/>
                    <w:jc w:val="center"/>
                    <w:textAlignment w:val="auto"/>
                    <w:outlineLvl w:val="1"/>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kern w:val="2"/>
                      <w:sz w:val="21"/>
                      <w:szCs w:val="21"/>
                      <w:highlight w:val="none"/>
                      <w:lang w:val="en-US" w:eastAsia="zh-CN" w:bidi="ar-SA"/>
                    </w:rPr>
                    <w:t>合计</w:t>
                  </w:r>
                </w:p>
              </w:tc>
              <w:tc>
                <w:tcPr>
                  <w:tcW w:w="916" w:type="pct"/>
                  <w:noWrap w:val="0"/>
                  <w:vAlign w:val="center"/>
                </w:tcPr>
                <w:p w14:paraId="46990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Times New Roman" w:hAnsi="Times New Roman" w:eastAsia="宋体" w:cs="Times New Roman"/>
                      <w:b/>
                      <w:bCs/>
                      <w:i w:val="0"/>
                      <w:iCs w:val="0"/>
                      <w:color w:val="auto"/>
                      <w:kern w:val="0"/>
                      <w:sz w:val="20"/>
                      <w:szCs w:val="20"/>
                      <w:u w:val="none"/>
                      <w:lang w:val="en-US" w:eastAsia="zh-CN" w:bidi="ar"/>
                    </w:rPr>
                    <w:t>0.018</w:t>
                  </w:r>
                </w:p>
              </w:tc>
            </w:tr>
          </w:tbl>
          <w:p w14:paraId="5B4CCAC2">
            <w:pPr>
              <w:pStyle w:val="2"/>
              <w:spacing w:before="0" w:after="0" w:line="360" w:lineRule="auto"/>
              <w:ind w:right="0"/>
              <w:rPr>
                <w:rFonts w:hint="eastAsia" w:ascii="Times New Roman" w:hAnsi="Times New Roman" w:eastAsia="宋体" w:cs="Times New Roman"/>
                <w:color w:val="auto"/>
                <w:sz w:val="24"/>
                <w:szCs w:val="24"/>
                <w:highlight w:val="none"/>
              </w:rPr>
            </w:pPr>
            <w:r>
              <w:rPr>
                <w:rFonts w:hint="eastAsia"/>
                <w:b/>
                <w:bCs/>
                <w:color w:val="auto"/>
                <w:sz w:val="24"/>
                <w:szCs w:val="24"/>
                <w:highlight w:val="none"/>
                <w:lang w:val="en-US" w:eastAsia="zh-CN"/>
              </w:rPr>
              <w:t>9、</w:t>
            </w:r>
            <w:r>
              <w:rPr>
                <w:rFonts w:hint="eastAsia"/>
                <w:b/>
                <w:bCs/>
                <w:color w:val="auto"/>
                <w:sz w:val="24"/>
                <w:szCs w:val="24"/>
                <w:highlight w:val="none"/>
              </w:rPr>
              <w:t>厂区平面布置</w:t>
            </w:r>
          </w:p>
          <w:p w14:paraId="18560625">
            <w:pPr>
              <w:pStyle w:val="2"/>
              <w:spacing w:before="0" w:after="0" w:line="360" w:lineRule="auto"/>
              <w:ind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eastAsia="zh-CN"/>
              </w:rPr>
              <w:t>江苏省苏州市相城区元春路353号</w:t>
            </w:r>
            <w:r>
              <w:rPr>
                <w:rFonts w:hint="eastAsia"/>
                <w:color w:val="auto"/>
                <w:sz w:val="24"/>
                <w:szCs w:val="24"/>
                <w:highlight w:val="none"/>
              </w:rPr>
              <w:t>。本项目车间</w:t>
            </w:r>
            <w:r>
              <w:rPr>
                <w:rFonts w:hint="eastAsia"/>
                <w:color w:val="auto"/>
                <w:sz w:val="24"/>
                <w:szCs w:val="24"/>
                <w:highlight w:val="none"/>
                <w:lang w:val="en-US" w:eastAsia="zh-CN"/>
              </w:rPr>
              <w:t>主</w:t>
            </w:r>
            <w:r>
              <w:rPr>
                <w:rFonts w:hint="eastAsia"/>
                <w:color w:val="auto"/>
                <w:sz w:val="24"/>
                <w:szCs w:val="24"/>
                <w:highlight w:val="none"/>
              </w:rPr>
              <w:t>出入口位于车间</w:t>
            </w:r>
            <w:r>
              <w:rPr>
                <w:rFonts w:hint="eastAsia"/>
                <w:color w:val="auto"/>
                <w:sz w:val="24"/>
                <w:szCs w:val="24"/>
                <w:highlight w:val="none"/>
                <w:lang w:val="en-US" w:eastAsia="zh-CN"/>
              </w:rPr>
              <w:t>东</w:t>
            </w:r>
            <w:r>
              <w:rPr>
                <w:rFonts w:hint="eastAsia"/>
                <w:color w:val="auto"/>
                <w:sz w:val="24"/>
                <w:szCs w:val="24"/>
                <w:highlight w:val="none"/>
              </w:rPr>
              <w:t>侧</w:t>
            </w:r>
            <w:r>
              <w:rPr>
                <w:rFonts w:hint="eastAsia"/>
                <w:color w:val="auto"/>
                <w:sz w:val="24"/>
                <w:szCs w:val="24"/>
                <w:highlight w:val="none"/>
                <w:lang w:val="en-US" w:eastAsia="zh-CN"/>
              </w:rPr>
              <w:t>，</w:t>
            </w:r>
            <w:r>
              <w:rPr>
                <w:rFonts w:hint="eastAsia"/>
                <w:color w:val="auto"/>
                <w:sz w:val="24"/>
                <w:szCs w:val="24"/>
                <w:highlight w:val="none"/>
              </w:rPr>
              <w:t>车间内部由</w:t>
            </w:r>
            <w:r>
              <w:rPr>
                <w:rFonts w:hint="eastAsia"/>
                <w:color w:val="auto"/>
                <w:sz w:val="24"/>
                <w:szCs w:val="24"/>
                <w:highlight w:val="none"/>
                <w:lang w:val="en-US" w:eastAsia="zh-CN"/>
              </w:rPr>
              <w:t>北</w:t>
            </w:r>
            <w:r>
              <w:rPr>
                <w:rFonts w:hint="eastAsia"/>
                <w:color w:val="auto"/>
                <w:sz w:val="24"/>
                <w:szCs w:val="24"/>
                <w:highlight w:val="none"/>
              </w:rPr>
              <w:t>到</w:t>
            </w:r>
            <w:r>
              <w:rPr>
                <w:rFonts w:hint="eastAsia"/>
                <w:color w:val="auto"/>
                <w:sz w:val="24"/>
                <w:szCs w:val="24"/>
                <w:highlight w:val="none"/>
                <w:lang w:val="en-US" w:eastAsia="zh-CN"/>
              </w:rPr>
              <w:t>南</w:t>
            </w:r>
            <w:r>
              <w:rPr>
                <w:rFonts w:hint="eastAsia"/>
                <w:color w:val="auto"/>
                <w:sz w:val="24"/>
                <w:szCs w:val="24"/>
                <w:highlight w:val="none"/>
              </w:rPr>
              <w:t>、由西到东依次设</w:t>
            </w:r>
            <w:r>
              <w:rPr>
                <w:rFonts w:hint="eastAsia"/>
                <w:color w:val="auto"/>
                <w:sz w:val="24"/>
                <w:szCs w:val="24"/>
                <w:highlight w:val="none"/>
                <w:lang w:val="en-US" w:eastAsia="zh-CN"/>
              </w:rPr>
              <w:t>危废仓库，一般固废仓库，喷粉前处理区，厂区废水处理站，成品仓库，2条电泳前处理线+2条电泳线，高低温烘道，喷粉房，烘房，办公室，化学品仓库，机加工，原料仓库</w:t>
            </w:r>
            <w:r>
              <w:rPr>
                <w:rFonts w:hint="eastAsia"/>
                <w:color w:val="auto"/>
                <w:sz w:val="24"/>
                <w:szCs w:val="24"/>
                <w:highlight w:val="none"/>
              </w:rPr>
              <w:t>。项目平面布置总体较为合理，且符合防火、环保、卫生和安全等规范要求。项目车间整体布局规划合理，可满足项目生产需求。项目厂区平面布置见附图3。</w:t>
            </w:r>
            <w:r>
              <w:rPr>
                <w:rFonts w:hint="eastAsia" w:ascii="Times New Roman" w:hAnsi="Times New Roman" w:eastAsia="宋体" w:cs="Times New Roman"/>
                <w:color w:val="auto"/>
                <w:sz w:val="24"/>
                <w:szCs w:val="24"/>
                <w:highlight w:val="none"/>
                <w:lang w:val="en-US" w:eastAsia="zh-CN"/>
              </w:rPr>
              <w:t>本项目利用</w:t>
            </w:r>
            <w:r>
              <w:rPr>
                <w:rFonts w:hint="eastAsia" w:cs="Times New Roman"/>
                <w:color w:val="auto"/>
                <w:sz w:val="24"/>
                <w:szCs w:val="24"/>
                <w:highlight w:val="none"/>
                <w:lang w:val="en-US" w:eastAsia="zh-CN"/>
              </w:rPr>
              <w:t>现有租赁</w:t>
            </w:r>
            <w:r>
              <w:rPr>
                <w:rFonts w:hint="eastAsia" w:ascii="Times New Roman" w:hAnsi="Times New Roman" w:eastAsia="宋体" w:cs="Times New Roman"/>
                <w:color w:val="auto"/>
                <w:sz w:val="24"/>
                <w:szCs w:val="24"/>
                <w:highlight w:val="none"/>
                <w:lang w:val="en-US" w:eastAsia="zh-CN"/>
              </w:rPr>
              <w:t>厂房</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车间平面布置见附图4。</w:t>
            </w:r>
          </w:p>
          <w:p w14:paraId="682F6CEE">
            <w:pPr>
              <w:pStyle w:val="2"/>
              <w:spacing w:before="0" w:after="0" w:line="360" w:lineRule="auto"/>
              <w:ind w:right="0" w:firstLine="480" w:firstLineChars="200"/>
              <w:rPr>
                <w:rFonts w:hint="default" w:eastAsia="宋体"/>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项目所在厂区北侧为</w:t>
            </w:r>
            <w:r>
              <w:rPr>
                <w:rFonts w:hint="eastAsia" w:cs="Times New Roman"/>
                <w:color w:val="auto"/>
                <w:sz w:val="24"/>
                <w:szCs w:val="24"/>
                <w:highlight w:val="none"/>
                <w:lang w:val="en-US" w:eastAsia="zh-CN"/>
              </w:rPr>
              <w:t>元春路，隔路为住宅春天璟墅</w:t>
            </w:r>
            <w:r>
              <w:rPr>
                <w:rFonts w:hint="eastAsia" w:ascii="Times New Roman" w:hAnsi="Times New Roman" w:eastAsia="宋体" w:cs="Times New Roman"/>
                <w:color w:val="auto"/>
                <w:sz w:val="24"/>
                <w:szCs w:val="24"/>
                <w:highlight w:val="none"/>
                <w:lang w:val="en-US" w:eastAsia="zh-CN"/>
              </w:rPr>
              <w:t>，东侧为</w:t>
            </w:r>
            <w:r>
              <w:rPr>
                <w:rFonts w:hint="eastAsia" w:cs="Times New Roman"/>
                <w:color w:val="auto"/>
                <w:sz w:val="24"/>
                <w:szCs w:val="24"/>
                <w:highlight w:val="none"/>
                <w:lang w:val="en-US" w:eastAsia="zh-CN"/>
              </w:rPr>
              <w:t>苏州波发特电子科技有限公司</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南侧为康柏利科技（苏州）有限公司，</w:t>
            </w:r>
            <w:r>
              <w:rPr>
                <w:rFonts w:hint="eastAsia" w:ascii="Times New Roman" w:hAnsi="Times New Roman" w:eastAsia="宋体" w:cs="Times New Roman"/>
                <w:color w:val="auto"/>
                <w:sz w:val="24"/>
                <w:szCs w:val="24"/>
                <w:highlight w:val="none"/>
                <w:lang w:val="en-US" w:eastAsia="zh-CN"/>
              </w:rPr>
              <w:t>西侧为苏州崧达纸业有限公司</w:t>
            </w:r>
            <w:r>
              <w:rPr>
                <w:rFonts w:hint="eastAsia" w:cs="Times New Roman"/>
                <w:color w:val="auto"/>
                <w:sz w:val="24"/>
                <w:szCs w:val="24"/>
                <w:highlight w:val="none"/>
                <w:lang w:val="en-US" w:eastAsia="zh-CN"/>
              </w:rPr>
              <w:t>和苏州隆盛科技有限公司</w:t>
            </w:r>
            <w:r>
              <w:rPr>
                <w:rFonts w:hint="eastAsia" w:ascii="Times New Roman" w:hAnsi="Times New Roman" w:eastAsia="宋体" w:cs="Times New Roman"/>
                <w:color w:val="auto"/>
                <w:sz w:val="24"/>
                <w:szCs w:val="24"/>
                <w:highlight w:val="none"/>
                <w:lang w:val="en-US" w:eastAsia="zh-CN"/>
              </w:rPr>
              <w:t>，厂区周围现状图见附图2</w:t>
            </w:r>
            <w:r>
              <w:rPr>
                <w:rFonts w:hint="eastAsia" w:cs="Times New Roman"/>
                <w:color w:val="auto"/>
                <w:sz w:val="24"/>
                <w:szCs w:val="24"/>
                <w:highlight w:val="none"/>
                <w:lang w:val="en-US" w:eastAsia="zh-CN"/>
              </w:rPr>
              <w:t>，企业厂区平面布置图见附图3。</w:t>
            </w:r>
          </w:p>
          <w:p w14:paraId="2CA69B35">
            <w:pPr>
              <w:ind w:firstLine="0" w:firstLineChars="0"/>
              <w:rPr>
                <w:rFonts w:hint="default" w:eastAsia="宋体"/>
                <w:color w:val="auto"/>
                <w:vertAlign w:val="baseline"/>
                <w:lang w:val="en-US" w:eastAsia="zh-CN"/>
              </w:rPr>
            </w:pPr>
          </w:p>
        </w:tc>
      </w:tr>
    </w:tbl>
    <w:p w14:paraId="3B103251">
      <w:pPr>
        <w:rPr>
          <w:color w:val="auto"/>
        </w:rPr>
      </w:pPr>
    </w:p>
    <w:p w14:paraId="557D3787">
      <w:pPr>
        <w:pStyle w:val="2"/>
        <w:rPr>
          <w:color w:val="auto"/>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508"/>
      </w:tblGrid>
      <w:tr w14:paraId="1BD05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3" w:hRule="atLeast"/>
          <w:jc w:val="center"/>
        </w:trPr>
        <w:tc>
          <w:tcPr>
            <w:tcW w:w="228" w:type="pct"/>
            <w:vAlign w:val="center"/>
          </w:tcPr>
          <w:p w14:paraId="1EF70572">
            <w:pPr>
              <w:pStyle w:val="18"/>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sz w:val="24"/>
                <w:szCs w:val="24"/>
                <w:highlight w:val="none"/>
              </w:rPr>
              <w:t>工艺流程和产排污环节</w:t>
            </w:r>
          </w:p>
        </w:tc>
        <w:tc>
          <w:tcPr>
            <w:tcW w:w="4771" w:type="pct"/>
          </w:tcPr>
          <w:p w14:paraId="0598B697">
            <w:pPr>
              <w:spacing w:line="360" w:lineRule="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10</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工艺流程简述</w:t>
            </w:r>
          </w:p>
          <w:p w14:paraId="4EA17FF8">
            <w:pPr>
              <w:spacing w:line="360" w:lineRule="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10</w:t>
            </w:r>
            <w:r>
              <w:rPr>
                <w:rFonts w:hint="default" w:ascii="Times New Roman" w:hAnsi="Times New Roman" w:eastAsia="宋体" w:cs="Times New Roman"/>
                <w:b/>
                <w:color w:val="auto"/>
                <w:sz w:val="24"/>
                <w:szCs w:val="24"/>
                <w:highlight w:val="none"/>
              </w:rPr>
              <w:t>.1  施工期</w:t>
            </w:r>
          </w:p>
          <w:p w14:paraId="24E9EF4A">
            <w:pPr>
              <w:pStyle w:val="13"/>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租赁</w:t>
            </w:r>
            <w:r>
              <w:rPr>
                <w:rFonts w:hint="default" w:ascii="Times New Roman" w:hAnsi="Times New Roman" w:eastAsia="宋体" w:cs="Times New Roman"/>
                <w:color w:val="auto"/>
                <w:sz w:val="24"/>
                <w:szCs w:val="24"/>
                <w:highlight w:val="none"/>
              </w:rPr>
              <w:t>已建厂房进行生产，施工过程即设备的安装过程</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生产设施的升级改造，不涉及基建</w:t>
            </w:r>
            <w:r>
              <w:rPr>
                <w:rFonts w:hint="default" w:ascii="Times New Roman" w:hAnsi="Times New Roman" w:eastAsia="宋体" w:cs="Times New Roman"/>
                <w:color w:val="auto"/>
                <w:sz w:val="24"/>
                <w:szCs w:val="24"/>
                <w:highlight w:val="none"/>
              </w:rPr>
              <w:t>，对周围环境影响较小。</w:t>
            </w:r>
          </w:p>
          <w:p w14:paraId="207A5AB7">
            <w:pPr>
              <w:spacing w:line="360" w:lineRule="auto"/>
              <w:rPr>
                <w:rFonts w:hint="eastAsia"/>
                <w:b/>
                <w:color w:val="auto"/>
                <w:sz w:val="24"/>
                <w:szCs w:val="24"/>
                <w:highlight w:val="none"/>
              </w:rPr>
            </w:pPr>
            <w:r>
              <w:rPr>
                <w:rFonts w:hint="eastAsia"/>
                <w:b/>
                <w:color w:val="auto"/>
                <w:sz w:val="24"/>
                <w:szCs w:val="24"/>
                <w:highlight w:val="none"/>
                <w:lang w:val="en-US" w:eastAsia="zh-CN"/>
              </w:rPr>
              <w:t>10</w:t>
            </w:r>
            <w:r>
              <w:rPr>
                <w:rFonts w:hint="eastAsia"/>
                <w:b/>
                <w:color w:val="auto"/>
                <w:sz w:val="24"/>
                <w:szCs w:val="24"/>
                <w:highlight w:val="none"/>
              </w:rPr>
              <w:t>.2  运营期</w:t>
            </w:r>
          </w:p>
          <w:p w14:paraId="6D763481">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本项目产品为</w:t>
            </w:r>
            <w:r>
              <w:rPr>
                <w:rFonts w:hint="eastAsia" w:cs="Times New Roman"/>
                <w:color w:val="auto"/>
                <w:sz w:val="24"/>
                <w:szCs w:val="24"/>
                <w:highlight w:val="none"/>
                <w:lang w:val="en-US" w:eastAsia="zh-CN"/>
              </w:rPr>
              <w:t>新能源汽车冷却系统零部件</w:t>
            </w:r>
            <w:r>
              <w:rPr>
                <w:rFonts w:hint="eastAsia" w:ascii="Times New Roman" w:hAnsi="Times New Roman" w:eastAsia="宋体" w:cs="Times New Roman"/>
                <w:color w:val="auto"/>
                <w:sz w:val="24"/>
                <w:szCs w:val="24"/>
                <w:highlight w:val="none"/>
                <w:lang w:val="en-US" w:eastAsia="zh-CN"/>
              </w:rPr>
              <w:t>，工艺流程如下。</w:t>
            </w:r>
          </w:p>
          <w:p w14:paraId="193329DF">
            <w:pPr>
              <w:adjustRightInd w:val="0"/>
              <w:snapToGrid w:val="0"/>
              <w:spacing w:line="240" w:lineRule="auto"/>
              <w:jc w:val="center"/>
              <w:rPr>
                <w:rFonts w:hint="default"/>
                <w:color w:val="auto"/>
                <w:lang w:val="en-US" w:eastAsia="zh-CN"/>
              </w:rPr>
            </w:pPr>
            <w:r>
              <w:rPr>
                <w:rFonts w:hint="default"/>
                <w:color w:val="auto"/>
                <w:lang w:val="en-US" w:eastAsia="zh-CN"/>
              </w:rPr>
              <w:object>
                <v:shape id="_x0000_i1028" o:spt="75" type="#_x0000_t75" style="height:670.1pt;width:448.5pt;" o:ole="t" filled="f" o:preferrelative="t" stroked="f" coordsize="21600,21600">
                  <v:path/>
                  <v:fill on="f" focussize="0,0"/>
                  <v:stroke on="f"/>
                  <v:imagedata r:id="rId16" o:title=""/>
                  <o:lock v:ext="edit" aspectratio="f"/>
                  <w10:wrap type="none"/>
                  <w10:anchorlock/>
                </v:shape>
                <o:OLEObject Type="Embed" ProgID="Visio.Drawing.15" ShapeID="_x0000_i1028" DrawAspect="Content" ObjectID="_1468075728" r:id="rId15">
                  <o:LockedField>false</o:LockedField>
                </o:OLEObject>
              </w:object>
            </w:r>
          </w:p>
          <w:p w14:paraId="6A9BF63F">
            <w:pPr>
              <w:adjustRightInd w:val="0"/>
              <w:snapToGrid w:val="0"/>
              <w:spacing w:line="240" w:lineRule="auto"/>
              <w:jc w:val="center"/>
              <w:rPr>
                <w:rFonts w:hint="default"/>
                <w:b/>
                <w:bCs/>
                <w:color w:val="auto"/>
                <w:sz w:val="24"/>
                <w:szCs w:val="24"/>
                <w:highlight w:val="none"/>
                <w:lang w:val="en-US"/>
              </w:rPr>
            </w:pPr>
            <w:r>
              <w:rPr>
                <w:b/>
                <w:bCs/>
                <w:color w:val="auto"/>
                <w:sz w:val="24"/>
                <w:szCs w:val="24"/>
                <w:highlight w:val="none"/>
              </w:rPr>
              <w:t>图2-</w:t>
            </w:r>
            <w:r>
              <w:rPr>
                <w:rFonts w:hint="eastAsia"/>
                <w:b/>
                <w:bCs/>
                <w:color w:val="auto"/>
                <w:sz w:val="24"/>
                <w:szCs w:val="24"/>
                <w:highlight w:val="none"/>
                <w:lang w:val="en-US" w:eastAsia="zh-CN"/>
              </w:rPr>
              <w:t>4</w:t>
            </w:r>
            <w:r>
              <w:rPr>
                <w:rFonts w:hint="eastAsia"/>
                <w:b/>
                <w:bCs/>
                <w:color w:val="auto"/>
                <w:sz w:val="24"/>
                <w:szCs w:val="24"/>
                <w:highlight w:val="none"/>
              </w:rPr>
              <w:t xml:space="preserve">  </w:t>
            </w:r>
            <w:r>
              <w:rPr>
                <w:rFonts w:hint="eastAsia"/>
                <w:b/>
                <w:bCs/>
                <w:color w:val="auto"/>
                <w:sz w:val="24"/>
                <w:szCs w:val="24"/>
                <w:highlight w:val="none"/>
                <w:lang w:val="en-US" w:eastAsia="zh-CN"/>
              </w:rPr>
              <w:t>新能源汽车冷却系统零部件生产工艺流程示意图</w:t>
            </w:r>
          </w:p>
          <w:p w14:paraId="4DE5F57F">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工艺流程简述：</w:t>
            </w:r>
          </w:p>
          <w:p w14:paraId="33B39B85">
            <w:pPr>
              <w:numPr>
                <w:ilvl w:val="0"/>
                <w:numId w:val="0"/>
              </w:numPr>
              <w:spacing w:line="360" w:lineRule="auto"/>
              <w:ind w:firstLine="482" w:firstLineChars="200"/>
              <w:rPr>
                <w:rFonts w:hint="eastAsia" w:ascii="Times New Roman" w:hAnsi="Times New Roman" w:eastAsia="宋体" w:cs="Times New Roman"/>
                <w:b w:val="0"/>
                <w:bCs w:val="0"/>
                <w:color w:val="auto"/>
                <w:sz w:val="24"/>
                <w:lang w:eastAsia="zh-CN"/>
              </w:rPr>
            </w:pPr>
            <w:r>
              <w:rPr>
                <w:rFonts w:hint="eastAsia" w:ascii="Times New Roman" w:hAnsi="Times New Roman" w:eastAsia="宋体" w:cs="Times New Roman"/>
                <w:b/>
                <w:bCs/>
                <w:color w:val="auto"/>
                <w:sz w:val="24"/>
              </w:rPr>
              <w:t>切割：</w:t>
            </w:r>
            <w:r>
              <w:rPr>
                <w:rFonts w:hint="eastAsia" w:ascii="Times New Roman" w:hAnsi="Times New Roman" w:eastAsia="宋体" w:cs="Times New Roman"/>
                <w:b w:val="0"/>
                <w:bCs w:val="0"/>
                <w:color w:val="auto"/>
                <w:sz w:val="24"/>
              </w:rPr>
              <w:t>项目原料经切割机、剪板机裁切成所需规格尺寸要求</w:t>
            </w:r>
            <w:r>
              <w:rPr>
                <w:rFonts w:hint="eastAsia" w:cs="Times New Roman"/>
                <w:b w:val="0"/>
                <w:bCs w:val="0"/>
                <w:color w:val="auto"/>
                <w:sz w:val="24"/>
                <w:lang w:eastAsia="zh-CN"/>
              </w:rPr>
              <w:t>。</w:t>
            </w:r>
          </w:p>
          <w:p w14:paraId="71B9A05D">
            <w:pPr>
              <w:numPr>
                <w:ilvl w:val="0"/>
                <w:numId w:val="0"/>
              </w:num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b w:val="0"/>
                <w:bCs w:val="0"/>
                <w:color w:val="auto"/>
                <w:sz w:val="24"/>
                <w:lang w:val="en-US" w:eastAsia="zh-CN"/>
              </w:rPr>
              <w:t>产污环节：</w:t>
            </w:r>
            <w:r>
              <w:rPr>
                <w:rFonts w:hint="eastAsia" w:ascii="Times New Roman" w:hAnsi="Times New Roman" w:eastAsia="宋体" w:cs="Times New Roman"/>
                <w:b w:val="0"/>
                <w:bCs w:val="0"/>
                <w:color w:val="auto"/>
                <w:sz w:val="24"/>
              </w:rPr>
              <w:t>N噪声</w:t>
            </w:r>
            <w:r>
              <w:rPr>
                <w:rFonts w:hint="eastAsia" w:cs="Times New Roman"/>
                <w:b w:val="0"/>
                <w:bCs w:val="0"/>
                <w:color w:val="auto"/>
                <w:sz w:val="24"/>
                <w:lang w:eastAsia="zh-CN"/>
              </w:rPr>
              <w:t>、</w:t>
            </w:r>
            <w:r>
              <w:rPr>
                <w:rFonts w:hint="eastAsia" w:eastAsia="宋体"/>
                <w:b w:val="0"/>
                <w:bCs w:val="0"/>
                <w:color w:val="auto"/>
                <w:kern w:val="2"/>
                <w:sz w:val="24"/>
              </w:rPr>
              <w:t>S</w:t>
            </w:r>
            <w:r>
              <w:rPr>
                <w:rFonts w:hint="eastAsia" w:eastAsia="宋体"/>
                <w:b w:val="0"/>
                <w:bCs w:val="0"/>
                <w:color w:val="auto"/>
                <w:kern w:val="2"/>
                <w:sz w:val="24"/>
                <w:lang w:val="en-US" w:eastAsia="zh-CN"/>
              </w:rPr>
              <w:t>1</w:t>
            </w:r>
            <w:r>
              <w:rPr>
                <w:rFonts w:hint="eastAsia" w:ascii="Times New Roman" w:hAnsi="Times New Roman" w:eastAsia="宋体" w:cs="Times New Roman"/>
                <w:b w:val="0"/>
                <w:bCs w:val="0"/>
                <w:color w:val="auto"/>
                <w:sz w:val="24"/>
              </w:rPr>
              <w:t>废边角料；</w:t>
            </w:r>
          </w:p>
          <w:p w14:paraId="45376FD9">
            <w:pPr>
              <w:numPr>
                <w:ilvl w:val="0"/>
                <w:numId w:val="0"/>
              </w:numPr>
              <w:spacing w:line="360" w:lineRule="auto"/>
              <w:ind w:firstLine="482" w:firstLineChars="200"/>
              <w:rPr>
                <w:rFonts w:hint="eastAsia"/>
                <w:b w:val="0"/>
                <w:bCs w:val="0"/>
                <w:color w:val="auto"/>
                <w:sz w:val="24"/>
                <w:lang w:eastAsia="zh-CN"/>
              </w:rPr>
            </w:pPr>
            <w:r>
              <w:rPr>
                <w:rFonts w:hint="eastAsia"/>
                <w:b/>
                <w:bCs/>
                <w:color w:val="auto"/>
                <w:sz w:val="24"/>
              </w:rPr>
              <w:t>冲压：</w:t>
            </w:r>
            <w:r>
              <w:rPr>
                <w:rFonts w:hint="eastAsia"/>
                <w:b w:val="0"/>
                <w:bCs w:val="0"/>
                <w:color w:val="auto"/>
                <w:sz w:val="24"/>
              </w:rPr>
              <w:t>将切割好的钢材使用冲床进行冲压</w:t>
            </w:r>
            <w:r>
              <w:rPr>
                <w:rFonts w:hint="eastAsia"/>
                <w:b w:val="0"/>
                <w:bCs w:val="0"/>
                <w:color w:val="auto"/>
                <w:sz w:val="24"/>
                <w:lang w:eastAsia="zh-CN"/>
              </w:rPr>
              <w:t>。</w:t>
            </w:r>
          </w:p>
          <w:p w14:paraId="4EF7FEA5">
            <w:pPr>
              <w:numPr>
                <w:ilvl w:val="0"/>
                <w:numId w:val="0"/>
              </w:numPr>
              <w:spacing w:line="360" w:lineRule="auto"/>
              <w:ind w:firstLine="480" w:firstLineChars="200"/>
              <w:rPr>
                <w:rFonts w:hint="eastAsia" w:eastAsia="宋体"/>
                <w:color w:val="auto"/>
                <w:sz w:val="24"/>
                <w:lang w:eastAsia="zh-CN"/>
              </w:rPr>
            </w:pPr>
            <w:r>
              <w:rPr>
                <w:rFonts w:hint="eastAsia"/>
                <w:b w:val="0"/>
                <w:bCs w:val="0"/>
                <w:color w:val="auto"/>
                <w:sz w:val="24"/>
                <w:lang w:val="en-US" w:eastAsia="zh-CN"/>
              </w:rPr>
              <w:t>产污环节：</w:t>
            </w:r>
            <w:r>
              <w:rPr>
                <w:rFonts w:hint="eastAsia" w:eastAsia="宋体"/>
                <w:b w:val="0"/>
                <w:bCs w:val="0"/>
                <w:color w:val="auto"/>
                <w:kern w:val="2"/>
                <w:sz w:val="24"/>
              </w:rPr>
              <w:t>S</w:t>
            </w:r>
            <w:r>
              <w:rPr>
                <w:rFonts w:hint="eastAsia" w:eastAsia="宋体"/>
                <w:b w:val="0"/>
                <w:bCs w:val="0"/>
                <w:color w:val="auto"/>
                <w:kern w:val="2"/>
                <w:sz w:val="24"/>
                <w:lang w:val="en-US" w:eastAsia="zh-CN"/>
              </w:rPr>
              <w:t>2</w:t>
            </w:r>
            <w:r>
              <w:rPr>
                <w:rFonts w:hint="eastAsia"/>
                <w:b w:val="0"/>
                <w:bCs w:val="0"/>
                <w:color w:val="auto"/>
                <w:sz w:val="24"/>
              </w:rPr>
              <w:t>废金属边角料</w:t>
            </w:r>
            <w:r>
              <w:rPr>
                <w:rFonts w:hint="eastAsia"/>
                <w:b w:val="0"/>
                <w:bCs w:val="0"/>
                <w:color w:val="auto"/>
                <w:sz w:val="24"/>
                <w:lang w:eastAsia="zh-CN"/>
              </w:rPr>
              <w:t>、</w:t>
            </w:r>
            <w:r>
              <w:rPr>
                <w:rFonts w:hint="eastAsia" w:ascii="Times New Roman" w:hAnsi="Times New Roman" w:eastAsia="宋体" w:cs="Times New Roman"/>
                <w:b w:val="0"/>
                <w:bCs w:val="0"/>
                <w:color w:val="auto"/>
                <w:sz w:val="24"/>
              </w:rPr>
              <w:t>N</w:t>
            </w:r>
            <w:r>
              <w:rPr>
                <w:rFonts w:hint="eastAsia"/>
                <w:b w:val="0"/>
                <w:bCs w:val="0"/>
                <w:color w:val="auto"/>
                <w:sz w:val="24"/>
              </w:rPr>
              <w:t>噪声</w:t>
            </w:r>
            <w:r>
              <w:rPr>
                <w:rFonts w:hint="eastAsia"/>
                <w:b w:val="0"/>
                <w:bCs w:val="0"/>
                <w:color w:val="auto"/>
                <w:sz w:val="24"/>
                <w:lang w:eastAsia="zh-CN"/>
              </w:rPr>
              <w:t>；</w:t>
            </w:r>
          </w:p>
          <w:p w14:paraId="1F14B2E4">
            <w:pPr>
              <w:pStyle w:val="4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2" w:firstLineChars="200"/>
              <w:jc w:val="both"/>
              <w:textAlignment w:val="auto"/>
              <w:rPr>
                <w:rFonts w:hint="eastAsia" w:eastAsia="宋体"/>
                <w:b w:val="0"/>
                <w:bCs w:val="0"/>
                <w:color w:val="auto"/>
                <w:kern w:val="2"/>
                <w:sz w:val="24"/>
                <w:lang w:eastAsia="zh-CN"/>
              </w:rPr>
            </w:pPr>
            <w:r>
              <w:rPr>
                <w:rFonts w:hint="eastAsia" w:eastAsia="宋体"/>
                <w:b/>
                <w:bCs/>
                <w:color w:val="auto"/>
                <w:kern w:val="2"/>
                <w:sz w:val="24"/>
              </w:rPr>
              <w:t>检验：</w:t>
            </w:r>
            <w:r>
              <w:rPr>
                <w:rFonts w:hint="eastAsia" w:eastAsia="宋体"/>
                <w:b w:val="0"/>
                <w:bCs w:val="0"/>
                <w:color w:val="auto"/>
                <w:kern w:val="2"/>
                <w:sz w:val="24"/>
              </w:rPr>
              <w:t>人工对机加工后的半成品外观进行检验</w:t>
            </w:r>
            <w:r>
              <w:rPr>
                <w:rFonts w:hint="eastAsia" w:eastAsia="宋体"/>
                <w:b w:val="0"/>
                <w:bCs w:val="0"/>
                <w:color w:val="auto"/>
                <w:kern w:val="2"/>
                <w:sz w:val="24"/>
                <w:lang w:eastAsia="zh-CN"/>
              </w:rPr>
              <w:t>。</w:t>
            </w:r>
          </w:p>
          <w:p w14:paraId="1B02D6AD">
            <w:pPr>
              <w:pStyle w:val="4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rightChars="0" w:firstLine="480" w:firstLineChars="200"/>
              <w:jc w:val="both"/>
              <w:textAlignment w:val="auto"/>
              <w:rPr>
                <w:rFonts w:hint="eastAsia" w:eastAsia="宋体"/>
                <w:color w:val="auto"/>
                <w:kern w:val="2"/>
                <w:sz w:val="24"/>
                <w:lang w:eastAsia="zh-CN"/>
              </w:rPr>
            </w:pPr>
            <w:r>
              <w:rPr>
                <w:rFonts w:hint="eastAsia" w:eastAsia="宋体"/>
                <w:b w:val="0"/>
                <w:bCs w:val="0"/>
                <w:color w:val="auto"/>
                <w:kern w:val="2"/>
                <w:sz w:val="24"/>
                <w:lang w:val="en-US" w:eastAsia="zh-CN"/>
              </w:rPr>
              <w:t>产污环节：</w:t>
            </w:r>
            <w:r>
              <w:rPr>
                <w:rFonts w:hint="eastAsia" w:eastAsia="宋体"/>
                <w:b w:val="0"/>
                <w:bCs w:val="0"/>
                <w:color w:val="auto"/>
                <w:kern w:val="2"/>
                <w:sz w:val="24"/>
              </w:rPr>
              <w:t>S3不合格品</w:t>
            </w:r>
            <w:r>
              <w:rPr>
                <w:rFonts w:hint="eastAsia" w:eastAsia="宋体"/>
                <w:b w:val="0"/>
                <w:bCs w:val="0"/>
                <w:color w:val="auto"/>
                <w:kern w:val="2"/>
                <w:sz w:val="24"/>
                <w:lang w:eastAsia="zh-CN"/>
              </w:rPr>
              <w:t>、</w:t>
            </w:r>
            <w:r>
              <w:rPr>
                <w:rFonts w:hint="eastAsia" w:ascii="Times New Roman" w:hAnsi="Times New Roman" w:eastAsia="宋体" w:cs="Times New Roman"/>
                <w:b w:val="0"/>
                <w:bCs w:val="0"/>
                <w:color w:val="auto"/>
                <w:sz w:val="24"/>
              </w:rPr>
              <w:t>N</w:t>
            </w:r>
            <w:r>
              <w:rPr>
                <w:rFonts w:hint="eastAsia" w:eastAsia="宋体"/>
                <w:b w:val="0"/>
                <w:bCs w:val="0"/>
                <w:color w:val="auto"/>
                <w:kern w:val="2"/>
                <w:sz w:val="24"/>
              </w:rPr>
              <w:t>噪声</w:t>
            </w:r>
            <w:r>
              <w:rPr>
                <w:rFonts w:hint="eastAsia" w:eastAsia="宋体"/>
                <w:b w:val="0"/>
                <w:bCs w:val="0"/>
                <w:color w:val="auto"/>
                <w:kern w:val="2"/>
                <w:sz w:val="24"/>
                <w:lang w:eastAsia="zh-CN"/>
              </w:rPr>
              <w:t>；</w:t>
            </w:r>
          </w:p>
          <w:p w14:paraId="43ED0B14">
            <w:pPr>
              <w:widowControl/>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电泳处理线：80%的机加工件进行电泳前处理+电泳处理</w:t>
            </w:r>
          </w:p>
          <w:p w14:paraId="6E5A9C04">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）热脱脂1：</w:t>
            </w:r>
            <w:r>
              <w:rPr>
                <w:rFonts w:hint="eastAsia"/>
                <w:b w:val="0"/>
                <w:bCs w:val="0"/>
                <w:color w:val="auto"/>
                <w:sz w:val="24"/>
                <w:lang w:eastAsia="zh-CN"/>
              </w:rPr>
              <w:t>采用脱脂剂对工件进行浸泡清洗，脱脂槽溶液配比为脱脂剂：纯水=5%：95%，</w:t>
            </w:r>
            <w:r>
              <w:rPr>
                <w:rFonts w:hint="eastAsia"/>
                <w:b w:val="0"/>
                <w:bCs w:val="0"/>
                <w:color w:val="auto"/>
                <w:sz w:val="24"/>
                <w:lang w:val="en-US" w:eastAsia="zh-CN"/>
              </w:rPr>
              <w:t>脱脂剂</w:t>
            </w:r>
            <w:r>
              <w:rPr>
                <w:rFonts w:hint="eastAsia"/>
                <w:b w:val="0"/>
                <w:bCs w:val="0"/>
                <w:color w:val="auto"/>
                <w:sz w:val="24"/>
                <w:lang w:eastAsia="zh-CN"/>
              </w:rPr>
              <w:t>循环使用，定期补充，主要去除工件表面附着的油污、灰尘等，脱脂操作温度控制在</w:t>
            </w:r>
            <w:r>
              <w:rPr>
                <w:rFonts w:hint="default" w:ascii="Times New Roman" w:hAnsi="Times New Roman" w:cs="Times New Roman"/>
                <w:b w:val="0"/>
                <w:bCs w:val="0"/>
                <w:color w:val="auto"/>
                <w:sz w:val="24"/>
                <w:lang w:eastAsia="zh-CN"/>
              </w:rPr>
              <w:t>50℃</w:t>
            </w:r>
            <w:r>
              <w:rPr>
                <w:rFonts w:hint="eastAsia"/>
                <w:b w:val="0"/>
                <w:bCs w:val="0"/>
                <w:color w:val="auto"/>
                <w:sz w:val="24"/>
                <w:lang w:eastAsia="zh-CN"/>
              </w:rPr>
              <w:t>，采用电直接加热，脱脂时间180s，每2个月倒槽</w:t>
            </w:r>
            <w:r>
              <w:rPr>
                <w:rFonts w:hint="eastAsia"/>
                <w:b w:val="0"/>
                <w:bCs w:val="0"/>
                <w:color w:val="auto"/>
                <w:sz w:val="24"/>
                <w:lang w:val="en-US" w:eastAsia="zh-CN"/>
              </w:rPr>
              <w:t>并</w:t>
            </w:r>
            <w:r>
              <w:rPr>
                <w:rFonts w:hint="eastAsia"/>
                <w:b w:val="0"/>
                <w:bCs w:val="0"/>
                <w:color w:val="auto"/>
                <w:sz w:val="24"/>
                <w:lang w:eastAsia="zh-CN"/>
              </w:rPr>
              <w:t>清洗一次。</w:t>
            </w:r>
          </w:p>
          <w:p w14:paraId="16FD2100">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产污环节：S4</w:t>
            </w:r>
            <w:r>
              <w:rPr>
                <w:rFonts w:hint="eastAsia"/>
                <w:b w:val="0"/>
                <w:bCs w:val="0"/>
                <w:color w:val="auto"/>
                <w:sz w:val="24"/>
                <w:lang w:eastAsia="zh-CN"/>
              </w:rPr>
              <w:t>脱脂</w:t>
            </w:r>
            <w:r>
              <w:rPr>
                <w:rFonts w:hint="eastAsia"/>
                <w:b w:val="0"/>
                <w:bCs w:val="0"/>
                <w:color w:val="auto"/>
                <w:sz w:val="24"/>
                <w:lang w:val="en-US" w:eastAsia="zh-CN"/>
              </w:rPr>
              <w:t>倒槽废液、W1-1含油洗槽废水</w:t>
            </w:r>
            <w:r>
              <w:rPr>
                <w:rFonts w:hint="eastAsia"/>
                <w:b w:val="0"/>
                <w:bCs w:val="0"/>
                <w:color w:val="auto"/>
                <w:sz w:val="24"/>
                <w:lang w:eastAsia="zh-CN"/>
              </w:rPr>
              <w:t>。</w:t>
            </w:r>
          </w:p>
          <w:p w14:paraId="17090FA0">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）水洗槽2、水洗槽3</w:t>
            </w:r>
            <w:r>
              <w:rPr>
                <w:rFonts w:hint="eastAsia"/>
                <w:b w:val="0"/>
                <w:bCs w:val="0"/>
                <w:color w:val="auto"/>
                <w:sz w:val="24"/>
                <w:lang w:eastAsia="zh-CN"/>
              </w:rPr>
              <w:t>：脱脂后进行二级逆流浸泡水洗，</w:t>
            </w:r>
            <w:r>
              <w:rPr>
                <w:rFonts w:hint="eastAsia"/>
                <w:b w:val="0"/>
                <w:bCs w:val="0"/>
                <w:color w:val="auto"/>
                <w:sz w:val="24"/>
                <w:lang w:val="en-US" w:eastAsia="zh-CN"/>
              </w:rPr>
              <w:t>清除工件表面经过脱脂后的残液，清洗水为纯水，</w:t>
            </w:r>
            <w:r>
              <w:rPr>
                <w:rFonts w:hint="eastAsia"/>
                <w:b w:val="0"/>
                <w:bCs w:val="0"/>
                <w:color w:val="auto"/>
                <w:sz w:val="24"/>
                <w:lang w:eastAsia="zh-CN"/>
              </w:rPr>
              <w:t>后一级水洗用水回用于前一级水洗槽中重复利用，清洗废水仅产生于第一级水洗槽。水洗槽2、3均为常温，</w:t>
            </w:r>
            <w:r>
              <w:rPr>
                <w:rFonts w:hint="eastAsia"/>
                <w:b w:val="0"/>
                <w:bCs w:val="0"/>
                <w:color w:val="auto"/>
                <w:sz w:val="24"/>
                <w:lang w:val="en-US" w:eastAsia="zh-CN"/>
              </w:rPr>
              <w:t>清洗</w:t>
            </w:r>
            <w:r>
              <w:rPr>
                <w:rFonts w:hint="eastAsia"/>
                <w:b w:val="0"/>
                <w:bCs w:val="0"/>
                <w:color w:val="auto"/>
                <w:sz w:val="24"/>
                <w:lang w:eastAsia="zh-CN"/>
              </w:rPr>
              <w:t>时间均为5s，纯水进入水洗槽3，由水洗槽2溢流排出。水洗槽2和水洗槽3每月倒槽</w:t>
            </w:r>
            <w:r>
              <w:rPr>
                <w:rFonts w:hint="eastAsia"/>
                <w:b w:val="0"/>
                <w:bCs w:val="0"/>
                <w:color w:val="auto"/>
                <w:sz w:val="24"/>
                <w:lang w:val="en-US" w:eastAsia="zh-CN"/>
              </w:rPr>
              <w:t>并洗槽</w:t>
            </w:r>
            <w:r>
              <w:rPr>
                <w:rFonts w:hint="eastAsia"/>
                <w:b w:val="0"/>
                <w:bCs w:val="0"/>
                <w:color w:val="auto"/>
                <w:sz w:val="24"/>
                <w:lang w:eastAsia="zh-CN"/>
              </w:rPr>
              <w:t>一次。</w:t>
            </w:r>
          </w:p>
          <w:p w14:paraId="25D8DC49">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产污环节：W1-2含油废水</w:t>
            </w:r>
            <w:r>
              <w:rPr>
                <w:rFonts w:hint="eastAsia"/>
                <w:b w:val="0"/>
                <w:bCs w:val="0"/>
                <w:color w:val="auto"/>
                <w:sz w:val="24"/>
                <w:lang w:eastAsia="zh-CN"/>
              </w:rPr>
              <w:t>。</w:t>
            </w:r>
          </w:p>
          <w:p w14:paraId="3EF78A2F">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3</w:t>
            </w:r>
            <w:r>
              <w:rPr>
                <w:rFonts w:hint="eastAsia"/>
                <w:b/>
                <w:bCs/>
                <w:color w:val="auto"/>
                <w:sz w:val="24"/>
                <w:lang w:eastAsia="zh-CN"/>
              </w:rPr>
              <w:t>）酸洗槽4：</w:t>
            </w:r>
            <w:r>
              <w:rPr>
                <w:rFonts w:hint="eastAsia"/>
                <w:b w:val="0"/>
                <w:bCs w:val="0"/>
                <w:color w:val="auto"/>
                <w:sz w:val="24"/>
                <w:lang w:eastAsia="zh-CN"/>
              </w:rPr>
              <w:t>酸洗槽中采用</w:t>
            </w:r>
            <w:r>
              <w:rPr>
                <w:rFonts w:hint="eastAsia"/>
                <w:b w:val="0"/>
                <w:bCs w:val="0"/>
                <w:color w:val="auto"/>
                <w:sz w:val="24"/>
                <w:lang w:val="en-US" w:eastAsia="zh-CN"/>
              </w:rPr>
              <w:t>硫酸（98%）配比后的溶液</w:t>
            </w:r>
            <w:r>
              <w:rPr>
                <w:rFonts w:hint="eastAsia"/>
                <w:b w:val="0"/>
                <w:bCs w:val="0"/>
                <w:color w:val="auto"/>
                <w:sz w:val="24"/>
                <w:lang w:eastAsia="zh-CN"/>
              </w:rPr>
              <w:t>对其进行浸泡清洗，</w:t>
            </w:r>
            <w:r>
              <w:rPr>
                <w:rFonts w:hint="eastAsia"/>
                <w:b w:val="0"/>
                <w:bCs w:val="0"/>
                <w:color w:val="auto"/>
                <w:sz w:val="24"/>
                <w:lang w:val="en-US" w:eastAsia="zh-CN"/>
              </w:rPr>
              <w:t>酸洗槽</w:t>
            </w:r>
            <w:r>
              <w:rPr>
                <w:rFonts w:hint="eastAsia"/>
                <w:b w:val="0"/>
                <w:bCs w:val="0"/>
                <w:color w:val="auto"/>
                <w:sz w:val="24"/>
                <w:lang w:eastAsia="zh-CN"/>
              </w:rPr>
              <w:t>溶液配比为</w:t>
            </w:r>
            <w:r>
              <w:rPr>
                <w:rFonts w:hint="eastAsia"/>
                <w:b w:val="0"/>
                <w:bCs w:val="0"/>
                <w:color w:val="auto"/>
                <w:sz w:val="24"/>
                <w:lang w:val="en-US" w:eastAsia="zh-CN"/>
              </w:rPr>
              <w:t>硫酸</w:t>
            </w:r>
            <w:r>
              <w:rPr>
                <w:rFonts w:hint="eastAsia"/>
                <w:b w:val="0"/>
                <w:bCs w:val="0"/>
                <w:color w:val="auto"/>
                <w:sz w:val="24"/>
                <w:lang w:eastAsia="zh-CN"/>
              </w:rPr>
              <w:t>：纯水=</w:t>
            </w:r>
            <w:r>
              <w:rPr>
                <w:rFonts w:hint="eastAsia"/>
                <w:b w:val="0"/>
                <w:bCs w:val="0"/>
                <w:color w:val="auto"/>
                <w:sz w:val="24"/>
                <w:lang w:val="en-US" w:eastAsia="zh-CN"/>
              </w:rPr>
              <w:t>5</w:t>
            </w:r>
            <w:r>
              <w:rPr>
                <w:rFonts w:hint="eastAsia"/>
                <w:b w:val="0"/>
                <w:bCs w:val="0"/>
                <w:color w:val="auto"/>
                <w:sz w:val="24"/>
                <w:lang w:eastAsia="zh-CN"/>
              </w:rPr>
              <w:t>%：9</w:t>
            </w:r>
            <w:r>
              <w:rPr>
                <w:rFonts w:hint="eastAsia"/>
                <w:b w:val="0"/>
                <w:bCs w:val="0"/>
                <w:color w:val="auto"/>
                <w:sz w:val="24"/>
                <w:lang w:val="en-US" w:eastAsia="zh-CN"/>
              </w:rPr>
              <w:t>5</w:t>
            </w:r>
            <w:r>
              <w:rPr>
                <w:rFonts w:hint="eastAsia"/>
                <w:b w:val="0"/>
                <w:bCs w:val="0"/>
                <w:color w:val="auto"/>
                <w:sz w:val="24"/>
                <w:lang w:eastAsia="zh-CN"/>
              </w:rPr>
              <w:t>%。</w:t>
            </w:r>
            <w:r>
              <w:rPr>
                <w:rFonts w:hint="eastAsia"/>
                <w:b w:val="0"/>
                <w:bCs w:val="0"/>
                <w:color w:val="auto"/>
                <w:sz w:val="24"/>
                <w:lang w:val="en-US" w:eastAsia="zh-CN"/>
              </w:rPr>
              <w:t>硫酸</w:t>
            </w:r>
            <w:r>
              <w:rPr>
                <w:rFonts w:hint="eastAsia"/>
                <w:b w:val="0"/>
                <w:bCs w:val="0"/>
                <w:color w:val="auto"/>
                <w:sz w:val="24"/>
                <w:lang w:eastAsia="zh-CN"/>
              </w:rPr>
              <w:t>循环使用，定期补充，在酸液的作用下，工件表面的氧化层发生化学反应，生成金属盐，从而达到除锈的目的，酸洗在常温下进行，酸洗时间180s，每2个月倒槽清洗一次并更换槽液。</w:t>
            </w:r>
          </w:p>
          <w:p w14:paraId="0B7B6381">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产污环节：S5酸洗倒槽</w:t>
            </w:r>
            <w:r>
              <w:rPr>
                <w:rFonts w:hint="eastAsia"/>
                <w:b w:val="0"/>
                <w:bCs w:val="0"/>
                <w:color w:val="auto"/>
                <w:sz w:val="24"/>
                <w:lang w:eastAsia="zh-CN"/>
              </w:rPr>
              <w:t>废</w:t>
            </w:r>
            <w:r>
              <w:rPr>
                <w:rFonts w:hint="eastAsia"/>
                <w:b w:val="0"/>
                <w:bCs w:val="0"/>
                <w:color w:val="auto"/>
                <w:sz w:val="24"/>
                <w:lang w:val="en-US" w:eastAsia="zh-CN"/>
              </w:rPr>
              <w:t>液</w:t>
            </w:r>
            <w:r>
              <w:rPr>
                <w:rFonts w:hint="eastAsia"/>
                <w:b w:val="0"/>
                <w:bCs w:val="0"/>
                <w:color w:val="auto"/>
                <w:sz w:val="24"/>
                <w:lang w:eastAsia="zh-CN"/>
              </w:rPr>
              <w:t>，</w:t>
            </w:r>
            <w:r>
              <w:rPr>
                <w:rFonts w:hint="eastAsia"/>
                <w:b w:val="0"/>
                <w:bCs w:val="0"/>
                <w:color w:val="auto"/>
                <w:sz w:val="24"/>
                <w:lang w:val="en-US" w:eastAsia="zh-CN"/>
              </w:rPr>
              <w:t>W2-1含酸洗槽废水，</w:t>
            </w:r>
            <w:r>
              <w:rPr>
                <w:rFonts w:hint="eastAsia"/>
                <w:b w:val="0"/>
                <w:bCs w:val="0"/>
                <w:color w:val="auto"/>
                <w:sz w:val="24"/>
                <w:lang w:eastAsia="zh-CN"/>
              </w:rPr>
              <w:t>G</w:t>
            </w:r>
            <w:r>
              <w:rPr>
                <w:rFonts w:hint="eastAsia"/>
                <w:b w:val="0"/>
                <w:bCs w:val="0"/>
                <w:color w:val="auto"/>
                <w:sz w:val="24"/>
                <w:lang w:val="en-US" w:eastAsia="zh-CN"/>
              </w:rPr>
              <w:t>1</w:t>
            </w:r>
            <w:r>
              <w:rPr>
                <w:rFonts w:hint="eastAsia"/>
                <w:b w:val="0"/>
                <w:bCs w:val="0"/>
                <w:color w:val="auto"/>
                <w:sz w:val="24"/>
                <w:lang w:eastAsia="zh-CN"/>
              </w:rPr>
              <w:t>酸雾。</w:t>
            </w:r>
          </w:p>
          <w:p w14:paraId="5FF7E046">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4</w:t>
            </w:r>
            <w:r>
              <w:rPr>
                <w:rFonts w:hint="eastAsia"/>
                <w:b/>
                <w:bCs/>
                <w:color w:val="auto"/>
                <w:sz w:val="24"/>
                <w:lang w:eastAsia="zh-CN"/>
              </w:rPr>
              <w:t>）水洗槽5、水洗槽6：</w:t>
            </w:r>
            <w:r>
              <w:rPr>
                <w:rFonts w:hint="eastAsia"/>
                <w:b w:val="0"/>
                <w:bCs w:val="0"/>
                <w:color w:val="auto"/>
                <w:sz w:val="24"/>
                <w:lang w:eastAsia="zh-CN"/>
              </w:rPr>
              <w:t>酸洗后进行二级逆流浸泡水洗，</w:t>
            </w:r>
            <w:r>
              <w:rPr>
                <w:rFonts w:hint="eastAsia"/>
                <w:b w:val="0"/>
                <w:bCs w:val="0"/>
                <w:color w:val="auto"/>
                <w:sz w:val="24"/>
                <w:lang w:val="en-US" w:eastAsia="zh-CN"/>
              </w:rPr>
              <w:t>清除工件表面经过酸洗后的残液，清洗水为纯水，</w:t>
            </w:r>
            <w:r>
              <w:rPr>
                <w:rFonts w:hint="eastAsia"/>
                <w:b w:val="0"/>
                <w:bCs w:val="0"/>
                <w:color w:val="auto"/>
                <w:sz w:val="24"/>
                <w:lang w:eastAsia="zh-CN"/>
              </w:rPr>
              <w:t>后一级水洗用水回用于前一级水洗槽中重复利用，清洗废水仅产生于第一级水洗槽。水洗槽5、6均为常温，停留时间均为5s，纯水进入水洗槽6，由水洗槽5溢流排出。工作一段时间后，水洗槽5和水洗槽6每月倒槽排放一次。</w:t>
            </w:r>
          </w:p>
          <w:p w14:paraId="54ABE8D5">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产污环节：W2-2含酸废水</w:t>
            </w:r>
            <w:r>
              <w:rPr>
                <w:rFonts w:hint="eastAsia"/>
                <w:b w:val="0"/>
                <w:bCs w:val="0"/>
                <w:color w:val="auto"/>
                <w:sz w:val="24"/>
                <w:lang w:eastAsia="zh-CN"/>
              </w:rPr>
              <w:t>。</w:t>
            </w:r>
          </w:p>
          <w:p w14:paraId="4CD351B8">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5</w:t>
            </w:r>
            <w:r>
              <w:rPr>
                <w:rFonts w:hint="eastAsia"/>
                <w:b/>
                <w:bCs/>
                <w:color w:val="auto"/>
                <w:sz w:val="24"/>
                <w:lang w:eastAsia="zh-CN"/>
              </w:rPr>
              <w:t>）中和槽7：</w:t>
            </w:r>
            <w:r>
              <w:rPr>
                <w:rFonts w:hint="eastAsia"/>
                <w:b w:val="0"/>
                <w:bCs w:val="0"/>
                <w:color w:val="auto"/>
                <w:sz w:val="24"/>
                <w:lang w:eastAsia="zh-CN"/>
              </w:rPr>
              <w:t>中和槽中采用</w:t>
            </w:r>
            <w:r>
              <w:rPr>
                <w:rFonts w:hint="eastAsia"/>
                <w:b w:val="0"/>
                <w:bCs w:val="0"/>
                <w:color w:val="auto"/>
                <w:sz w:val="24"/>
                <w:lang w:val="en-US" w:eastAsia="zh-CN"/>
              </w:rPr>
              <w:t>氢氧化钠</w:t>
            </w:r>
            <w:r>
              <w:rPr>
                <w:rFonts w:hint="eastAsia"/>
                <w:b w:val="0"/>
                <w:bCs w:val="0"/>
                <w:color w:val="auto"/>
                <w:sz w:val="24"/>
                <w:lang w:eastAsia="zh-CN"/>
              </w:rPr>
              <w:t>对其进行浸泡清洗，</w:t>
            </w:r>
            <w:r>
              <w:rPr>
                <w:rFonts w:hint="eastAsia"/>
                <w:b w:val="0"/>
                <w:bCs w:val="0"/>
                <w:color w:val="auto"/>
                <w:sz w:val="24"/>
                <w:lang w:val="en-US" w:eastAsia="zh-CN"/>
              </w:rPr>
              <w:t>中和槽</w:t>
            </w:r>
            <w:r>
              <w:rPr>
                <w:rFonts w:hint="eastAsia"/>
                <w:b w:val="0"/>
                <w:bCs w:val="0"/>
                <w:color w:val="auto"/>
                <w:sz w:val="24"/>
                <w:lang w:eastAsia="zh-CN"/>
              </w:rPr>
              <w:t>溶液配比为</w:t>
            </w:r>
            <w:r>
              <w:rPr>
                <w:rFonts w:hint="eastAsia"/>
                <w:b w:val="0"/>
                <w:bCs w:val="0"/>
                <w:color w:val="auto"/>
                <w:sz w:val="24"/>
                <w:lang w:val="en-US" w:eastAsia="zh-CN"/>
              </w:rPr>
              <w:t>氢氧化钠</w:t>
            </w:r>
            <w:r>
              <w:rPr>
                <w:rFonts w:hint="eastAsia"/>
                <w:b w:val="0"/>
                <w:bCs w:val="0"/>
                <w:color w:val="auto"/>
                <w:sz w:val="24"/>
                <w:lang w:eastAsia="zh-CN"/>
              </w:rPr>
              <w:t>：纯水=3%：97%。</w:t>
            </w:r>
            <w:r>
              <w:rPr>
                <w:rFonts w:hint="eastAsia"/>
                <w:b w:val="0"/>
                <w:bCs w:val="0"/>
                <w:color w:val="auto"/>
                <w:sz w:val="24"/>
                <w:lang w:val="en-US" w:eastAsia="zh-CN"/>
              </w:rPr>
              <w:t>氢氧化钠</w:t>
            </w:r>
            <w:r>
              <w:rPr>
                <w:rFonts w:hint="eastAsia"/>
                <w:b w:val="0"/>
                <w:bCs w:val="0"/>
                <w:color w:val="auto"/>
                <w:sz w:val="24"/>
                <w:lang w:eastAsia="zh-CN"/>
              </w:rPr>
              <w:t>循环使用，定期补充，主要作用是使工件表面的酸性残留物与槽液中的碱发生化学反应，生成可溶性的盐，从而将工件表面的pH值从酸性提升到中性或微碱性，满足电泳涂装的要求，中和在常温下进行，时间120s，每3个月倒槽清洗一次并更换槽液。</w:t>
            </w:r>
          </w:p>
          <w:p w14:paraId="49075FB5">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产污环节：S6中和</w:t>
            </w:r>
            <w:r>
              <w:rPr>
                <w:rFonts w:hint="eastAsia"/>
                <w:b w:val="0"/>
                <w:bCs w:val="0"/>
                <w:color w:val="auto"/>
                <w:sz w:val="24"/>
                <w:lang w:eastAsia="zh-CN"/>
              </w:rPr>
              <w:t>废</w:t>
            </w:r>
            <w:r>
              <w:rPr>
                <w:rFonts w:hint="eastAsia"/>
                <w:b w:val="0"/>
                <w:bCs w:val="0"/>
                <w:color w:val="auto"/>
                <w:sz w:val="24"/>
                <w:lang w:val="en-US" w:eastAsia="zh-CN"/>
              </w:rPr>
              <w:t>液，</w:t>
            </w:r>
            <w:r>
              <w:rPr>
                <w:rFonts w:hint="eastAsia"/>
                <w:b w:val="0"/>
                <w:bCs w:val="0"/>
                <w:color w:val="auto"/>
                <w:sz w:val="24"/>
                <w:lang w:eastAsia="zh-CN"/>
              </w:rPr>
              <w:t>W</w:t>
            </w:r>
            <w:r>
              <w:rPr>
                <w:rFonts w:hint="eastAsia"/>
                <w:b w:val="0"/>
                <w:bCs w:val="0"/>
                <w:color w:val="auto"/>
                <w:sz w:val="24"/>
                <w:lang w:val="en-US" w:eastAsia="zh-CN"/>
              </w:rPr>
              <w:t>3-1含碱洗槽</w:t>
            </w:r>
            <w:r>
              <w:rPr>
                <w:rFonts w:hint="eastAsia"/>
                <w:b w:val="0"/>
                <w:bCs w:val="0"/>
                <w:color w:val="auto"/>
                <w:sz w:val="24"/>
                <w:lang w:eastAsia="zh-CN"/>
              </w:rPr>
              <w:t>废水。</w:t>
            </w:r>
          </w:p>
          <w:p w14:paraId="72E8C054">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6</w:t>
            </w:r>
            <w:r>
              <w:rPr>
                <w:rFonts w:hint="eastAsia"/>
                <w:b/>
                <w:bCs/>
                <w:color w:val="auto"/>
                <w:sz w:val="24"/>
                <w:lang w:eastAsia="zh-CN"/>
              </w:rPr>
              <w:t>）水洗槽8、水洗槽9：</w:t>
            </w:r>
            <w:r>
              <w:rPr>
                <w:rFonts w:hint="eastAsia"/>
                <w:b w:val="0"/>
                <w:bCs w:val="0"/>
                <w:color w:val="auto"/>
                <w:sz w:val="24"/>
                <w:lang w:eastAsia="zh-CN"/>
              </w:rPr>
              <w:t>中和后进行二级逆流浸泡水洗，</w:t>
            </w:r>
            <w:r>
              <w:rPr>
                <w:rFonts w:hint="eastAsia"/>
                <w:b w:val="0"/>
                <w:bCs w:val="0"/>
                <w:color w:val="auto"/>
                <w:sz w:val="24"/>
                <w:lang w:val="en-US" w:eastAsia="zh-CN"/>
              </w:rPr>
              <w:t>清除工件表面经过中和后的残液，清洗水为纯水，</w:t>
            </w:r>
            <w:r>
              <w:rPr>
                <w:rFonts w:hint="eastAsia"/>
                <w:b w:val="0"/>
                <w:bCs w:val="0"/>
                <w:color w:val="auto"/>
                <w:sz w:val="24"/>
                <w:lang w:eastAsia="zh-CN"/>
              </w:rPr>
              <w:t>后一级水洗用水回用于前一级水洗槽中重复利用，清洗废水仅产生于第一级水洗槽。水洗槽8、9均为常温，停留时间均为5s，纯水进入水洗槽9，由水洗槽8溢流排出。工作一段时间后，水洗槽5和水洗槽6每月倒槽</w:t>
            </w:r>
            <w:r>
              <w:rPr>
                <w:rFonts w:hint="eastAsia"/>
                <w:b w:val="0"/>
                <w:bCs w:val="0"/>
                <w:color w:val="auto"/>
                <w:sz w:val="24"/>
                <w:lang w:val="en-US" w:eastAsia="zh-CN"/>
              </w:rPr>
              <w:t>并洗槽</w:t>
            </w:r>
            <w:r>
              <w:rPr>
                <w:rFonts w:hint="eastAsia"/>
                <w:b w:val="0"/>
                <w:bCs w:val="0"/>
                <w:color w:val="auto"/>
                <w:sz w:val="24"/>
                <w:lang w:eastAsia="zh-CN"/>
              </w:rPr>
              <w:t>一次。</w:t>
            </w:r>
          </w:p>
          <w:p w14:paraId="6E44516B">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产污环节：W3-2含碱废水</w:t>
            </w:r>
            <w:r>
              <w:rPr>
                <w:rFonts w:hint="eastAsia"/>
                <w:b w:val="0"/>
                <w:bCs w:val="0"/>
                <w:color w:val="auto"/>
                <w:sz w:val="24"/>
                <w:lang w:eastAsia="zh-CN"/>
              </w:rPr>
              <w:t>。</w:t>
            </w:r>
          </w:p>
          <w:p w14:paraId="577E0C54">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7</w:t>
            </w:r>
            <w:r>
              <w:rPr>
                <w:rFonts w:hint="eastAsia"/>
                <w:b/>
                <w:bCs/>
                <w:color w:val="auto"/>
                <w:sz w:val="24"/>
                <w:lang w:eastAsia="zh-CN"/>
              </w:rPr>
              <w:t>）</w:t>
            </w:r>
            <w:r>
              <w:rPr>
                <w:rFonts w:hint="eastAsia"/>
                <w:b/>
                <w:bCs/>
                <w:color w:val="auto"/>
                <w:sz w:val="24"/>
                <w:lang w:val="en-US" w:eastAsia="zh-CN"/>
              </w:rPr>
              <w:t>硅烷</w:t>
            </w:r>
            <w:r>
              <w:rPr>
                <w:rFonts w:hint="eastAsia"/>
                <w:b/>
                <w:bCs/>
                <w:color w:val="auto"/>
                <w:sz w:val="24"/>
                <w:lang w:eastAsia="zh-CN"/>
              </w:rPr>
              <w:t>处理槽10：</w:t>
            </w:r>
            <w:r>
              <w:rPr>
                <w:rFonts w:hint="eastAsia"/>
                <w:b w:val="0"/>
                <w:bCs w:val="0"/>
                <w:color w:val="auto"/>
                <w:sz w:val="24"/>
                <w:lang w:val="en-US" w:eastAsia="zh-CN"/>
              </w:rPr>
              <w:t>硅烷</w:t>
            </w:r>
            <w:r>
              <w:rPr>
                <w:rFonts w:hint="eastAsia"/>
                <w:b w:val="0"/>
                <w:bCs w:val="0"/>
                <w:color w:val="auto"/>
                <w:sz w:val="24"/>
                <w:lang w:eastAsia="zh-CN"/>
              </w:rPr>
              <w:t>处理槽中采用</w:t>
            </w:r>
            <w:r>
              <w:rPr>
                <w:rFonts w:hint="eastAsia"/>
                <w:b w:val="0"/>
                <w:bCs w:val="0"/>
                <w:color w:val="auto"/>
                <w:sz w:val="24"/>
                <w:lang w:val="en-US" w:eastAsia="zh-CN"/>
              </w:rPr>
              <w:t>硅烷</w:t>
            </w:r>
            <w:r>
              <w:rPr>
                <w:rFonts w:hint="eastAsia"/>
                <w:b w:val="0"/>
                <w:bCs w:val="0"/>
                <w:color w:val="auto"/>
                <w:sz w:val="24"/>
                <w:lang w:eastAsia="zh-CN"/>
              </w:rPr>
              <w:t>剂对其进行浸泡清洗，</w:t>
            </w:r>
            <w:r>
              <w:rPr>
                <w:rFonts w:hint="eastAsia"/>
                <w:b w:val="0"/>
                <w:bCs w:val="0"/>
                <w:color w:val="auto"/>
                <w:sz w:val="24"/>
                <w:lang w:val="en-US" w:eastAsia="zh-CN"/>
              </w:rPr>
              <w:t>硅烷槽</w:t>
            </w:r>
            <w:r>
              <w:rPr>
                <w:rFonts w:hint="eastAsia"/>
                <w:b w:val="0"/>
                <w:bCs w:val="0"/>
                <w:color w:val="auto"/>
                <w:sz w:val="24"/>
                <w:lang w:eastAsia="zh-CN"/>
              </w:rPr>
              <w:t>溶液配比为</w:t>
            </w:r>
            <w:r>
              <w:rPr>
                <w:rFonts w:hint="eastAsia"/>
                <w:b w:val="0"/>
                <w:bCs w:val="0"/>
                <w:color w:val="auto"/>
                <w:sz w:val="24"/>
                <w:lang w:val="en-US" w:eastAsia="zh-CN"/>
              </w:rPr>
              <w:t>硅烷</w:t>
            </w:r>
            <w:r>
              <w:rPr>
                <w:rFonts w:hint="eastAsia"/>
                <w:b w:val="0"/>
                <w:bCs w:val="0"/>
                <w:color w:val="auto"/>
                <w:sz w:val="24"/>
                <w:lang w:eastAsia="zh-CN"/>
              </w:rPr>
              <w:t>剂：纯水=3%：97%。</w:t>
            </w:r>
            <w:r>
              <w:rPr>
                <w:rFonts w:hint="eastAsia"/>
                <w:b w:val="0"/>
                <w:bCs w:val="0"/>
                <w:color w:val="auto"/>
                <w:sz w:val="24"/>
                <w:lang w:val="en-US" w:eastAsia="zh-CN"/>
              </w:rPr>
              <w:t>硅烷</w:t>
            </w:r>
            <w:r>
              <w:rPr>
                <w:rFonts w:hint="eastAsia"/>
                <w:b w:val="0"/>
                <w:bCs w:val="0"/>
                <w:color w:val="auto"/>
                <w:sz w:val="24"/>
                <w:lang w:eastAsia="zh-CN"/>
              </w:rPr>
              <w:t>剂循环使用，定期补充，以对金属表面进行处理，使物体表面形成一层致密的硅烷化膜，以便为后续的电泳涂装打下基础。硅烷化处理与传统磷化相比具有以下多个优点：无有害重金属离子（镍、锌等），不含磷，无需加温。</w:t>
            </w:r>
            <w:r>
              <w:rPr>
                <w:rFonts w:hint="eastAsia"/>
                <w:b w:val="0"/>
                <w:bCs w:val="0"/>
                <w:color w:val="auto"/>
                <w:sz w:val="24"/>
                <w:lang w:val="en-US" w:eastAsia="zh-CN"/>
              </w:rPr>
              <w:t>硅烷化</w:t>
            </w:r>
            <w:r>
              <w:rPr>
                <w:rFonts w:hint="eastAsia"/>
                <w:b w:val="0"/>
                <w:bCs w:val="0"/>
                <w:color w:val="auto"/>
                <w:sz w:val="24"/>
                <w:lang w:eastAsia="zh-CN"/>
              </w:rPr>
              <w:t>在常温下进行，时间120s，每3个月倒槽清洗一次并更换槽液。</w:t>
            </w:r>
          </w:p>
          <w:p w14:paraId="3F9ED1CE">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产污环节：S7硅烷废液，W4-1硅烷洗槽</w:t>
            </w:r>
            <w:r>
              <w:rPr>
                <w:rFonts w:hint="eastAsia"/>
                <w:b w:val="0"/>
                <w:bCs w:val="0"/>
                <w:color w:val="auto"/>
                <w:sz w:val="24"/>
                <w:lang w:eastAsia="zh-CN"/>
              </w:rPr>
              <w:t>废水。</w:t>
            </w:r>
          </w:p>
          <w:p w14:paraId="337C5020">
            <w:pPr>
              <w:widowControl/>
              <w:snapToGrid w:val="0"/>
              <w:spacing w:line="360" w:lineRule="auto"/>
              <w:ind w:firstLine="482" w:firstLineChars="200"/>
              <w:rPr>
                <w:rFonts w:hint="eastAsia"/>
                <w:b w:val="0"/>
                <w:bCs w:val="0"/>
                <w:color w:val="auto"/>
                <w:sz w:val="24"/>
                <w:lang w:eastAsia="zh-CN"/>
              </w:rPr>
            </w:pPr>
            <w:r>
              <w:rPr>
                <w:rFonts w:hint="eastAsia"/>
                <w:b/>
                <w:bCs/>
                <w:color w:val="auto"/>
                <w:sz w:val="24"/>
                <w:lang w:eastAsia="zh-CN"/>
              </w:rPr>
              <w:t>（</w:t>
            </w:r>
            <w:r>
              <w:rPr>
                <w:rFonts w:hint="eastAsia"/>
                <w:b/>
                <w:bCs/>
                <w:color w:val="auto"/>
                <w:sz w:val="24"/>
                <w:lang w:val="en-US" w:eastAsia="zh-CN"/>
              </w:rPr>
              <w:t>8</w:t>
            </w:r>
            <w:r>
              <w:rPr>
                <w:rFonts w:hint="eastAsia"/>
                <w:b/>
                <w:bCs/>
                <w:color w:val="auto"/>
                <w:sz w:val="24"/>
                <w:lang w:eastAsia="zh-CN"/>
              </w:rPr>
              <w:t>）水洗槽11、水洗槽12：</w:t>
            </w:r>
            <w:r>
              <w:rPr>
                <w:rFonts w:hint="eastAsia"/>
                <w:b w:val="0"/>
                <w:bCs w:val="0"/>
                <w:color w:val="auto"/>
                <w:sz w:val="24"/>
                <w:lang w:val="en-US" w:eastAsia="zh-CN"/>
              </w:rPr>
              <w:t>硅烷</w:t>
            </w:r>
            <w:r>
              <w:rPr>
                <w:rFonts w:hint="eastAsia"/>
                <w:b w:val="0"/>
                <w:bCs w:val="0"/>
                <w:color w:val="auto"/>
                <w:sz w:val="24"/>
                <w:lang w:eastAsia="zh-CN"/>
              </w:rPr>
              <w:t>处理后进行二级逆流浸泡水洗，即后一级水洗用水回用于前一级水洗槽中重复利用，清洗废水仅产生于第一级水洗槽。水洗槽11、12均为常温，停留时间均为5s，纯水进入水洗槽12，由水洗槽11溢流排出。工作一段时间后，水洗槽11和水洗槽12每月倒槽</w:t>
            </w:r>
            <w:r>
              <w:rPr>
                <w:rFonts w:hint="eastAsia"/>
                <w:b w:val="0"/>
                <w:bCs w:val="0"/>
                <w:color w:val="auto"/>
                <w:sz w:val="24"/>
                <w:lang w:val="en-US" w:eastAsia="zh-CN"/>
              </w:rPr>
              <w:t>并洗槽</w:t>
            </w:r>
            <w:r>
              <w:rPr>
                <w:rFonts w:hint="eastAsia"/>
                <w:b w:val="0"/>
                <w:bCs w:val="0"/>
                <w:color w:val="auto"/>
                <w:sz w:val="24"/>
                <w:lang w:eastAsia="zh-CN"/>
              </w:rPr>
              <w:t>一次。</w:t>
            </w:r>
          </w:p>
          <w:p w14:paraId="737494BB">
            <w:pPr>
              <w:widowControl/>
              <w:snapToGrid w:val="0"/>
              <w:spacing w:line="360" w:lineRule="auto"/>
              <w:ind w:firstLine="480" w:firstLineChars="200"/>
              <w:rPr>
                <w:rFonts w:hint="eastAsia"/>
                <w:b w:val="0"/>
                <w:bCs w:val="0"/>
                <w:color w:val="auto"/>
                <w:sz w:val="24"/>
                <w:lang w:eastAsia="zh-CN"/>
              </w:rPr>
            </w:pPr>
            <w:r>
              <w:rPr>
                <w:rFonts w:hint="eastAsia"/>
                <w:b w:val="0"/>
                <w:bCs w:val="0"/>
                <w:color w:val="auto"/>
                <w:sz w:val="24"/>
                <w:lang w:val="en-US" w:eastAsia="zh-CN"/>
              </w:rPr>
              <w:t>产污环节：</w:t>
            </w:r>
            <w:r>
              <w:rPr>
                <w:rFonts w:hint="eastAsia"/>
                <w:b w:val="0"/>
                <w:bCs w:val="0"/>
                <w:color w:val="auto"/>
                <w:sz w:val="24"/>
                <w:lang w:eastAsia="zh-CN"/>
              </w:rPr>
              <w:t>W</w:t>
            </w:r>
            <w:r>
              <w:rPr>
                <w:rFonts w:hint="eastAsia"/>
                <w:b w:val="0"/>
                <w:bCs w:val="0"/>
                <w:color w:val="auto"/>
                <w:sz w:val="24"/>
                <w:lang w:val="en-US" w:eastAsia="zh-CN"/>
              </w:rPr>
              <w:t>4-2硅烷清洗废水</w:t>
            </w:r>
            <w:r>
              <w:rPr>
                <w:rFonts w:hint="eastAsia"/>
                <w:b w:val="0"/>
                <w:bCs w:val="0"/>
                <w:color w:val="auto"/>
                <w:sz w:val="24"/>
                <w:lang w:eastAsia="zh-CN"/>
              </w:rPr>
              <w:t>。</w:t>
            </w:r>
          </w:p>
          <w:p w14:paraId="14BACF2C">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（9）电泳槽13：</w:t>
            </w:r>
            <w:r>
              <w:rPr>
                <w:rFonts w:hint="eastAsia"/>
                <w:b w:val="0"/>
                <w:bCs w:val="0"/>
                <w:color w:val="auto"/>
                <w:sz w:val="24"/>
                <w:lang w:val="en-US" w:eastAsia="zh-CN"/>
              </w:rPr>
              <w:t>本项目采用阴极电泳涂装工艺（被涂工件是阴极、涂料电泳漆是阳离子型）。电泳是在外加电场的作用下，以金属工件作为阴极，与电泳槽两侧及底部的阳极间形成电场，驱动带使电泳槽中的涂料微粒定向迁移，并在金属工件表面沉积，形成一层高防腐蚀性能的涂膜。本项目不单独进行电泳漆调漆，首次配置电泳槽液时，电泳漆（电泳漆树脂+电泳漆色浆）与纯水按1：4的比例加入电泳槽，搅拌均匀即完成配置，电泳时间80s，电泳漆中有少量挥发性有机物，每5个月倒槽清洗一次并更换槽液。</w:t>
            </w:r>
          </w:p>
          <w:p w14:paraId="5E06DFE5">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产污环节：G2电泳废气，W5-1电泳废水，S8槽渣。</w:t>
            </w:r>
          </w:p>
          <w:p w14:paraId="18B70D1C">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（10）超滤装置：</w:t>
            </w:r>
            <w:r>
              <w:rPr>
                <w:rFonts w:hint="eastAsia"/>
                <w:b w:val="0"/>
                <w:bCs w:val="0"/>
                <w:color w:val="auto"/>
                <w:sz w:val="24"/>
                <w:lang w:val="en-US" w:eastAsia="zh-CN"/>
              </w:rPr>
              <w:t>超滤系统用于回收电泳漆。电泳槽液中含有的溶剂及各种小的溶质从高压料液侧透过滤膜到达低压侧，从而得到透过液或称为超滤液；超滤是一种加压膜分离技术，即在一定的压力下，使溶剂及小分子物质通过，大分子物质和微粒子被滤膜阻留，从而达到分离、分级的目的。超滤过后的滤液泵入回收槽15用于对电泳后的产品进行清洗，被滤膜阻留的电泳漆泵入电泳槽进行回用，从而达到电泳漆回收的目的，超滤系统每个月定期用纯水进行滤膜反冲洗。</w:t>
            </w:r>
          </w:p>
          <w:p w14:paraId="73E017EA">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产污环节：S9废超滤膜、W6</w:t>
            </w:r>
            <w:r>
              <w:rPr>
                <w:rFonts w:hint="eastAsia"/>
                <w:b w:val="0"/>
                <w:bCs w:val="0"/>
                <w:color w:val="auto"/>
                <w:sz w:val="24"/>
                <w:lang w:val="en-US" w:eastAsia="zh-CN"/>
              </w:rPr>
              <w:t>超滤反冲洗废水</w:t>
            </w:r>
            <w:r>
              <w:rPr>
                <w:rFonts w:hint="eastAsia"/>
                <w:b w:val="0"/>
                <w:bCs w:val="0"/>
                <w:color w:val="auto"/>
                <w:sz w:val="24"/>
                <w:lang w:val="en-US" w:eastAsia="zh-CN"/>
              </w:rPr>
              <w:t>、N噪声。</w:t>
            </w:r>
          </w:p>
          <w:p w14:paraId="6E1087D8">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（11）回收槽14、回收槽15：</w:t>
            </w:r>
            <w:r>
              <w:rPr>
                <w:rFonts w:hint="eastAsia"/>
                <w:b w:val="0"/>
                <w:bCs w:val="0"/>
                <w:color w:val="auto"/>
                <w:sz w:val="24"/>
                <w:lang w:val="en-US" w:eastAsia="zh-CN"/>
              </w:rPr>
              <w:t>电泳后设置回收槽14和回收槽15，目的是冲洗掉黏附在漆膜表面的浮漆，同时将电泳漆回收到电泳槽液中，提高电泳漆液利用率。利用电泳在线超滤装置产生的超滤水对工件进行浸泡清洗，进一步除去工件表面带出的电泳液，浸洗后的水进入超滤装置，超滤水为封闭式逆流循环，定期添加纯水以补充损耗，每5个月倒槽清洗一次。</w:t>
            </w:r>
          </w:p>
          <w:p w14:paraId="0D2006EA">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产污环节：W5-2含电泳液废水。</w:t>
            </w:r>
          </w:p>
          <w:p w14:paraId="3116C999">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（12）水洗槽16、水洗槽17：</w:t>
            </w:r>
            <w:r>
              <w:rPr>
                <w:rFonts w:hint="eastAsia"/>
                <w:b w:val="0"/>
                <w:bCs w:val="0"/>
                <w:color w:val="auto"/>
                <w:sz w:val="24"/>
                <w:lang w:val="en-US" w:eastAsia="zh-CN"/>
              </w:rPr>
              <w:t>回收槽后进行二级逆流浸泡水洗，采用纯水浸泡的方式进一步去除工件表面的残液，水洗槽16、17均为常温，停留时间均为3s，纯水进入水洗槽17，由水洗槽16溢流排出。工作一段时间后，水洗槽17和水洗槽16每月倒槽清洗排放一次。</w:t>
            </w:r>
          </w:p>
          <w:p w14:paraId="19D16555">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产污环节：W5-3含电泳液废水。</w:t>
            </w:r>
          </w:p>
          <w:p w14:paraId="0BDF8DC3">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（13）切水槽18：</w:t>
            </w:r>
            <w:r>
              <w:rPr>
                <w:rFonts w:hint="eastAsia"/>
                <w:b w:val="0"/>
                <w:bCs w:val="0"/>
                <w:color w:val="auto"/>
                <w:sz w:val="24"/>
                <w:lang w:val="en-US" w:eastAsia="zh-CN"/>
              </w:rPr>
              <w:t>完成电泳后进行沥水，等待烘干。</w:t>
            </w:r>
          </w:p>
          <w:p w14:paraId="6ED8B36E">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w:t>
            </w:r>
            <w:r>
              <w:rPr>
                <w:rFonts w:hint="eastAsia"/>
                <w:b w:val="0"/>
                <w:bCs w:val="0"/>
                <w:color w:val="auto"/>
                <w:sz w:val="24"/>
                <w:lang w:val="en-US" w:eastAsia="zh-CN"/>
              </w:rPr>
              <w:t>W7</w:t>
            </w:r>
            <w:r>
              <w:rPr>
                <w:rFonts w:hint="eastAsia"/>
                <w:b w:val="0"/>
                <w:bCs w:val="0"/>
                <w:color w:val="auto"/>
                <w:sz w:val="24"/>
                <w:lang w:val="en-US" w:eastAsia="zh-CN"/>
              </w:rPr>
              <w:t>倒槽废水。</w:t>
            </w:r>
          </w:p>
          <w:p w14:paraId="0A2C1A56">
            <w:pPr>
              <w:widowControl/>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（14）电泳固化：</w:t>
            </w:r>
            <w:r>
              <w:rPr>
                <w:rFonts w:hint="eastAsia"/>
                <w:b w:val="0"/>
                <w:bCs w:val="0"/>
                <w:color w:val="auto"/>
                <w:sz w:val="24"/>
                <w:lang w:val="en-US" w:eastAsia="zh-CN"/>
              </w:rPr>
              <w:t>电泳后的工件通过悬挂链送入固化烘道（长20m宽0.8m高2m），</w:t>
            </w:r>
            <w:r>
              <w:rPr>
                <w:rFonts w:hint="default" w:ascii="Times New Roman" w:hAnsi="Times New Roman" w:cs="Times New Roman"/>
                <w:b w:val="0"/>
                <w:bCs w:val="0"/>
                <w:color w:val="auto"/>
                <w:sz w:val="24"/>
                <w:lang w:val="en-US" w:eastAsia="zh-CN"/>
              </w:rPr>
              <w:t>在80℃的温度下预烘干10min，再进入另一烘道内（长22m宽1.8m高2m）在180℃的温度下固化2</w:t>
            </w:r>
            <w:r>
              <w:rPr>
                <w:rFonts w:hint="eastAsia" w:ascii="Times New Roman" w:hAnsi="Times New Roman" w:cs="Times New Roman"/>
                <w:b w:val="0"/>
                <w:bCs w:val="0"/>
                <w:color w:val="auto"/>
                <w:sz w:val="24"/>
                <w:lang w:val="en-US" w:eastAsia="zh-CN"/>
              </w:rPr>
              <w:t>0</w:t>
            </w:r>
            <w:r>
              <w:rPr>
                <w:rFonts w:hint="default" w:ascii="Times New Roman" w:hAnsi="Times New Roman" w:cs="Times New Roman"/>
                <w:b w:val="0"/>
                <w:bCs w:val="0"/>
                <w:color w:val="auto"/>
                <w:sz w:val="24"/>
                <w:lang w:val="en-US" w:eastAsia="zh-CN"/>
              </w:rPr>
              <w:t>min，</w:t>
            </w:r>
            <w:r>
              <w:rPr>
                <w:rFonts w:hint="eastAsia"/>
                <w:b w:val="0"/>
                <w:bCs w:val="0"/>
                <w:color w:val="auto"/>
                <w:sz w:val="24"/>
                <w:lang w:val="en-US" w:eastAsia="zh-CN"/>
              </w:rPr>
              <w:t>使电泳漆发生交联固化反应，形成一层漆膜。本项目电泳固化炉的加热方式为：电泳固化炉燃烧机以天然气为燃料，燃烧产生的高温烟气在直燃换热室内直接与循环风混合，达到加热循环风的目的，天然气燃烧过程中产生的SO</w:t>
            </w:r>
            <w:r>
              <w:rPr>
                <w:rFonts w:hint="eastAsia"/>
                <w:b w:val="0"/>
                <w:bCs w:val="0"/>
                <w:color w:val="auto"/>
                <w:sz w:val="24"/>
                <w:vertAlign w:val="subscript"/>
                <w:lang w:val="en-US" w:eastAsia="zh-CN"/>
              </w:rPr>
              <w:t>2</w:t>
            </w:r>
            <w:r>
              <w:rPr>
                <w:rFonts w:hint="eastAsia"/>
                <w:b w:val="0"/>
                <w:bCs w:val="0"/>
                <w:color w:val="auto"/>
                <w:sz w:val="24"/>
                <w:lang w:val="en-US" w:eastAsia="zh-CN"/>
              </w:rPr>
              <w:t>、NOx、颗粒物等随循环风进入烘道。</w:t>
            </w:r>
          </w:p>
          <w:p w14:paraId="46E894D9">
            <w:pPr>
              <w:widowControl/>
              <w:snapToGrid w:val="0"/>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产污环节：G3电泳固化废气（非甲烷总烃、颗粒物、SO</w:t>
            </w:r>
            <w:r>
              <w:rPr>
                <w:rFonts w:hint="eastAsia"/>
                <w:b w:val="0"/>
                <w:bCs w:val="0"/>
                <w:color w:val="auto"/>
                <w:sz w:val="24"/>
                <w:vertAlign w:val="subscript"/>
                <w:lang w:val="en-US" w:eastAsia="zh-CN"/>
              </w:rPr>
              <w:t>2</w:t>
            </w:r>
            <w:r>
              <w:rPr>
                <w:rFonts w:hint="eastAsia"/>
                <w:b w:val="0"/>
                <w:bCs w:val="0"/>
                <w:color w:val="auto"/>
                <w:sz w:val="24"/>
                <w:lang w:val="en-US" w:eastAsia="zh-CN"/>
              </w:rPr>
              <w:t>、NOx）、N噪声。</w:t>
            </w:r>
          </w:p>
          <w:p w14:paraId="013FDC32">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电泳工艺参数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71"/>
              <w:gridCol w:w="947"/>
              <w:gridCol w:w="722"/>
              <w:gridCol w:w="822"/>
              <w:gridCol w:w="900"/>
              <w:gridCol w:w="1336"/>
              <w:gridCol w:w="2648"/>
            </w:tblGrid>
            <w:tr w14:paraId="6448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3028663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序号</w:t>
                  </w:r>
                </w:p>
              </w:tc>
              <w:tc>
                <w:tcPr>
                  <w:tcW w:w="1371" w:type="dxa"/>
                  <w:vAlign w:val="center"/>
                </w:tcPr>
                <w:p w14:paraId="6A41CB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工艺名称</w:t>
                  </w:r>
                </w:p>
              </w:tc>
              <w:tc>
                <w:tcPr>
                  <w:tcW w:w="947" w:type="dxa"/>
                  <w:vAlign w:val="center"/>
                </w:tcPr>
                <w:p w14:paraId="15294DB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工艺温度</w:t>
                  </w:r>
                </w:p>
              </w:tc>
              <w:tc>
                <w:tcPr>
                  <w:tcW w:w="722" w:type="dxa"/>
                  <w:vAlign w:val="center"/>
                </w:tcPr>
                <w:p w14:paraId="7C520C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处理方式</w:t>
                  </w:r>
                </w:p>
              </w:tc>
              <w:tc>
                <w:tcPr>
                  <w:tcW w:w="822" w:type="dxa"/>
                  <w:vAlign w:val="center"/>
                </w:tcPr>
                <w:p w14:paraId="17E3578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处理时间</w:t>
                  </w:r>
                </w:p>
              </w:tc>
              <w:tc>
                <w:tcPr>
                  <w:tcW w:w="900" w:type="dxa"/>
                  <w:vAlign w:val="center"/>
                </w:tcPr>
                <w:p w14:paraId="1CBA667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溢流量m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/h</w:t>
                  </w:r>
                </w:p>
              </w:tc>
              <w:tc>
                <w:tcPr>
                  <w:tcW w:w="1336" w:type="dxa"/>
                  <w:vAlign w:val="center"/>
                </w:tcPr>
                <w:p w14:paraId="1C4D8F0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更换/清洗频次</w:t>
                  </w:r>
                </w:p>
              </w:tc>
              <w:tc>
                <w:tcPr>
                  <w:tcW w:w="2648" w:type="dxa"/>
                  <w:vAlign w:val="center"/>
                </w:tcPr>
                <w:p w14:paraId="56D8FD3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去向</w:t>
                  </w:r>
                </w:p>
              </w:tc>
            </w:tr>
            <w:tr w14:paraId="191C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3EFFBBE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w:t>
                  </w:r>
                </w:p>
              </w:tc>
              <w:tc>
                <w:tcPr>
                  <w:tcW w:w="1371" w:type="dxa"/>
                  <w:vAlign w:val="center"/>
                </w:tcPr>
                <w:p w14:paraId="230FAC9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热脱脂1</w:t>
                  </w:r>
                </w:p>
              </w:tc>
              <w:tc>
                <w:tcPr>
                  <w:tcW w:w="947" w:type="dxa"/>
                  <w:vAlign w:val="center"/>
                </w:tcPr>
                <w:p w14:paraId="1082467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50℃，电加热</w:t>
                  </w:r>
                </w:p>
              </w:tc>
              <w:tc>
                <w:tcPr>
                  <w:tcW w:w="722" w:type="dxa"/>
                  <w:vAlign w:val="center"/>
                </w:tcPr>
                <w:p w14:paraId="045576E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6D1184D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180s</w:t>
                  </w:r>
                </w:p>
              </w:tc>
              <w:tc>
                <w:tcPr>
                  <w:tcW w:w="900" w:type="dxa"/>
                  <w:vAlign w:val="center"/>
                </w:tcPr>
                <w:p w14:paraId="76294AC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10D9B6B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2个月倒槽并清洗一次</w:t>
                  </w:r>
                </w:p>
              </w:tc>
              <w:tc>
                <w:tcPr>
                  <w:tcW w:w="2648" w:type="dxa"/>
                  <w:vAlign w:val="center"/>
                </w:tcPr>
                <w:p w14:paraId="06973B3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倒槽废液，委外处置；洗槽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55B5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35A544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w:t>
                  </w:r>
                </w:p>
              </w:tc>
              <w:tc>
                <w:tcPr>
                  <w:tcW w:w="1371" w:type="dxa"/>
                  <w:vAlign w:val="center"/>
                </w:tcPr>
                <w:p w14:paraId="79EA5AD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水洗2</w:t>
                  </w:r>
                </w:p>
              </w:tc>
              <w:tc>
                <w:tcPr>
                  <w:tcW w:w="947" w:type="dxa"/>
                  <w:vAlign w:val="center"/>
                </w:tcPr>
                <w:p w14:paraId="318073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1C33B17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7C3972F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5s</w:t>
                  </w:r>
                </w:p>
              </w:tc>
              <w:tc>
                <w:tcPr>
                  <w:tcW w:w="900" w:type="dxa"/>
                  <w:vAlign w:val="center"/>
                </w:tcPr>
                <w:p w14:paraId="2828A0A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0.2</w:t>
                  </w:r>
                </w:p>
              </w:tc>
              <w:tc>
                <w:tcPr>
                  <w:tcW w:w="1336" w:type="dxa"/>
                  <w:vAlign w:val="center"/>
                </w:tcPr>
                <w:p w14:paraId="7289F79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6B752E2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+洗槽废水+溢流废水，</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7F17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12CB4B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w:t>
                  </w:r>
                </w:p>
              </w:tc>
              <w:tc>
                <w:tcPr>
                  <w:tcW w:w="1371" w:type="dxa"/>
                  <w:vAlign w:val="center"/>
                </w:tcPr>
                <w:p w14:paraId="0AA5662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水洗3</w:t>
                  </w:r>
                </w:p>
              </w:tc>
              <w:tc>
                <w:tcPr>
                  <w:tcW w:w="947" w:type="dxa"/>
                  <w:vAlign w:val="center"/>
                </w:tcPr>
                <w:p w14:paraId="4EF2809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7C0ADD3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0A74C62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5s</w:t>
                  </w:r>
                </w:p>
              </w:tc>
              <w:tc>
                <w:tcPr>
                  <w:tcW w:w="900" w:type="dxa"/>
                  <w:vAlign w:val="center"/>
                </w:tcPr>
                <w:p w14:paraId="67D5C6D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0.2</w:t>
                  </w:r>
                </w:p>
              </w:tc>
              <w:tc>
                <w:tcPr>
                  <w:tcW w:w="1336" w:type="dxa"/>
                  <w:vAlign w:val="center"/>
                </w:tcPr>
                <w:p w14:paraId="62BB5F6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6CE728C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溢流废水，溢流至水洗槽2；倒槽废水+洗槽废水，进入废水处理设施处理</w:t>
                  </w:r>
                </w:p>
              </w:tc>
            </w:tr>
            <w:tr w14:paraId="7E8B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CC0B0B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4</w:t>
                  </w:r>
                </w:p>
              </w:tc>
              <w:tc>
                <w:tcPr>
                  <w:tcW w:w="1371" w:type="dxa"/>
                  <w:vAlign w:val="center"/>
                </w:tcPr>
                <w:p w14:paraId="189D080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酸洗4</w:t>
                  </w:r>
                </w:p>
              </w:tc>
              <w:tc>
                <w:tcPr>
                  <w:tcW w:w="947" w:type="dxa"/>
                  <w:vAlign w:val="center"/>
                </w:tcPr>
                <w:p w14:paraId="4840A24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7C6170A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3B0D1CD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180s</w:t>
                  </w:r>
                </w:p>
              </w:tc>
              <w:tc>
                <w:tcPr>
                  <w:tcW w:w="900" w:type="dxa"/>
                  <w:vAlign w:val="center"/>
                </w:tcPr>
                <w:p w14:paraId="35CF9B7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370A0D2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2个月倒槽并清洗一次</w:t>
                  </w:r>
                </w:p>
              </w:tc>
              <w:tc>
                <w:tcPr>
                  <w:tcW w:w="2648" w:type="dxa"/>
                  <w:vAlign w:val="center"/>
                </w:tcPr>
                <w:p w14:paraId="7164B5F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倒槽废液，委外处置；洗槽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16D7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3359A10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w:t>
                  </w:r>
                </w:p>
              </w:tc>
              <w:tc>
                <w:tcPr>
                  <w:tcW w:w="1371" w:type="dxa"/>
                  <w:vAlign w:val="center"/>
                </w:tcPr>
                <w:p w14:paraId="297E9EE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水洗5</w:t>
                  </w:r>
                </w:p>
              </w:tc>
              <w:tc>
                <w:tcPr>
                  <w:tcW w:w="947" w:type="dxa"/>
                  <w:vAlign w:val="center"/>
                </w:tcPr>
                <w:p w14:paraId="059EDB9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611ADA6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302262D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5s</w:t>
                  </w:r>
                </w:p>
              </w:tc>
              <w:tc>
                <w:tcPr>
                  <w:tcW w:w="900" w:type="dxa"/>
                  <w:vAlign w:val="center"/>
                </w:tcPr>
                <w:p w14:paraId="5BFA08A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64E2E79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427300E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+洗槽废水+溢流废水，</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07B0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7FD3382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6</w:t>
                  </w:r>
                </w:p>
              </w:tc>
              <w:tc>
                <w:tcPr>
                  <w:tcW w:w="1371" w:type="dxa"/>
                  <w:vAlign w:val="center"/>
                </w:tcPr>
                <w:p w14:paraId="64E411E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水洗6</w:t>
                  </w:r>
                </w:p>
              </w:tc>
              <w:tc>
                <w:tcPr>
                  <w:tcW w:w="947" w:type="dxa"/>
                  <w:vAlign w:val="center"/>
                </w:tcPr>
                <w:p w14:paraId="6957456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36F03BB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00EAF3D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5s</w:t>
                  </w:r>
                </w:p>
              </w:tc>
              <w:tc>
                <w:tcPr>
                  <w:tcW w:w="900" w:type="dxa"/>
                  <w:vAlign w:val="center"/>
                </w:tcPr>
                <w:p w14:paraId="68E03CA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7822AE1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5432C8D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溢流废水，溢流至水洗槽5；倒槽废水+洗槽废水，进入废水处理设施处理</w:t>
                  </w:r>
                </w:p>
              </w:tc>
            </w:tr>
            <w:tr w14:paraId="5C0A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0C059B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7</w:t>
                  </w:r>
                </w:p>
              </w:tc>
              <w:tc>
                <w:tcPr>
                  <w:tcW w:w="1371" w:type="dxa"/>
                  <w:vAlign w:val="center"/>
                </w:tcPr>
                <w:p w14:paraId="3C1E630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中和7</w:t>
                  </w:r>
                </w:p>
              </w:tc>
              <w:tc>
                <w:tcPr>
                  <w:tcW w:w="947" w:type="dxa"/>
                  <w:vAlign w:val="center"/>
                </w:tcPr>
                <w:p w14:paraId="4EC702E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132B009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4758FAD2">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120</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1FB2B850">
                  <w:pPr>
                    <w:snapToGrid w:val="0"/>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336" w:type="dxa"/>
                  <w:shd w:val="clear" w:color="auto" w:fill="auto"/>
                  <w:vAlign w:val="center"/>
                </w:tcPr>
                <w:p w14:paraId="34DDBEF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3个月倒槽并清洗一次</w:t>
                  </w:r>
                </w:p>
              </w:tc>
              <w:tc>
                <w:tcPr>
                  <w:tcW w:w="2648" w:type="dxa"/>
                  <w:shd w:val="clear" w:color="auto" w:fill="auto"/>
                  <w:vAlign w:val="center"/>
                </w:tcPr>
                <w:p w14:paraId="0E13AEC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倒槽废液，委外处置；洗槽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081D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A0CE40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ascii="Times New Roman" w:hAnsi="Times New Roman" w:eastAsia="仿宋" w:cs="Times New Roman"/>
                      <w:b w:val="0"/>
                      <w:bCs w:val="0"/>
                      <w:color w:val="auto"/>
                      <w:sz w:val="21"/>
                      <w:szCs w:val="21"/>
                      <w:vertAlign w:val="baseline"/>
                      <w:lang w:val="en-US" w:eastAsia="zh-CN"/>
                    </w:rPr>
                    <w:t>8</w:t>
                  </w:r>
                </w:p>
              </w:tc>
              <w:tc>
                <w:tcPr>
                  <w:tcW w:w="1371" w:type="dxa"/>
                  <w:vAlign w:val="center"/>
                </w:tcPr>
                <w:p w14:paraId="75416F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水洗8</w:t>
                  </w:r>
                </w:p>
              </w:tc>
              <w:tc>
                <w:tcPr>
                  <w:tcW w:w="947" w:type="dxa"/>
                  <w:vAlign w:val="center"/>
                </w:tcPr>
                <w:p w14:paraId="0094074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77B1BCD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4716C616">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5</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70905218">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shd w:val="clear" w:color="auto" w:fill="auto"/>
                  <w:vAlign w:val="center"/>
                </w:tcPr>
                <w:p w14:paraId="0AFA70A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1个月倒槽并清洗一次</w:t>
                  </w:r>
                </w:p>
              </w:tc>
              <w:tc>
                <w:tcPr>
                  <w:tcW w:w="2648" w:type="dxa"/>
                  <w:shd w:val="clear" w:color="auto" w:fill="auto"/>
                  <w:vAlign w:val="center"/>
                </w:tcPr>
                <w:p w14:paraId="31F87F3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倒槽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+洗槽废水+溢流废水，</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08FE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5BA377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ascii="Times New Roman" w:hAnsi="Times New Roman" w:eastAsia="仿宋" w:cs="Times New Roman"/>
                      <w:b w:val="0"/>
                      <w:bCs w:val="0"/>
                      <w:color w:val="auto"/>
                      <w:sz w:val="21"/>
                      <w:szCs w:val="21"/>
                      <w:vertAlign w:val="baseline"/>
                      <w:lang w:val="en-US" w:eastAsia="zh-CN"/>
                    </w:rPr>
                    <w:t>9</w:t>
                  </w:r>
                </w:p>
              </w:tc>
              <w:tc>
                <w:tcPr>
                  <w:tcW w:w="1371" w:type="dxa"/>
                  <w:vAlign w:val="center"/>
                </w:tcPr>
                <w:p w14:paraId="7C5E108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ascii="Times New Roman" w:hAnsi="Times New Roman" w:eastAsia="仿宋" w:cs="Times New Roman"/>
                      <w:b w:val="0"/>
                      <w:bCs w:val="0"/>
                      <w:color w:val="auto"/>
                      <w:sz w:val="21"/>
                      <w:szCs w:val="21"/>
                      <w:vertAlign w:val="baseline"/>
                      <w:lang w:val="en-US" w:eastAsia="zh-CN"/>
                    </w:rPr>
                    <w:t>水洗9</w:t>
                  </w:r>
                </w:p>
              </w:tc>
              <w:tc>
                <w:tcPr>
                  <w:tcW w:w="947" w:type="dxa"/>
                  <w:vAlign w:val="center"/>
                </w:tcPr>
                <w:p w14:paraId="45E50AA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2D15E21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3CA7602F">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5</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409A6B62">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shd w:val="clear" w:color="auto" w:fill="auto"/>
                  <w:vAlign w:val="center"/>
                </w:tcPr>
                <w:p w14:paraId="587FE41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1个月倒槽并清洗一次</w:t>
                  </w:r>
                </w:p>
              </w:tc>
              <w:tc>
                <w:tcPr>
                  <w:tcW w:w="2648" w:type="dxa"/>
                  <w:shd w:val="clear" w:color="auto" w:fill="auto"/>
                  <w:vAlign w:val="center"/>
                </w:tcPr>
                <w:p w14:paraId="50D3335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sz w:val="21"/>
                      <w:szCs w:val="21"/>
                      <w:highlight w:val="none"/>
                      <w:vertAlign w:val="baseline"/>
                      <w:lang w:val="en-US" w:eastAsia="zh-CN"/>
                    </w:rPr>
                    <w:t>溢流废水，溢流至水洗槽8；倒槽废水+洗槽废水，进入废水处理设施处理</w:t>
                  </w:r>
                </w:p>
              </w:tc>
            </w:tr>
            <w:tr w14:paraId="0ACC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1F8E907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ascii="Times New Roman" w:hAnsi="Times New Roman" w:eastAsia="仿宋" w:cs="Times New Roman"/>
                      <w:b w:val="0"/>
                      <w:bCs w:val="0"/>
                      <w:color w:val="auto"/>
                      <w:sz w:val="21"/>
                      <w:szCs w:val="21"/>
                      <w:vertAlign w:val="baseline"/>
                      <w:lang w:val="en-US" w:eastAsia="zh-CN"/>
                    </w:rPr>
                    <w:t>10</w:t>
                  </w:r>
                </w:p>
              </w:tc>
              <w:tc>
                <w:tcPr>
                  <w:tcW w:w="1371" w:type="dxa"/>
                  <w:vAlign w:val="center"/>
                </w:tcPr>
                <w:p w14:paraId="3B34D00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ascii="Times New Roman" w:hAnsi="Times New Roman" w:eastAsia="仿宋" w:cs="Times New Roman"/>
                      <w:b w:val="0"/>
                      <w:bCs w:val="0"/>
                      <w:color w:val="auto"/>
                      <w:sz w:val="21"/>
                      <w:szCs w:val="21"/>
                      <w:vertAlign w:val="baseline"/>
                      <w:lang w:val="en-US" w:eastAsia="zh-CN"/>
                    </w:rPr>
                    <w:t>硅烷处理10</w:t>
                  </w:r>
                </w:p>
              </w:tc>
              <w:tc>
                <w:tcPr>
                  <w:tcW w:w="947" w:type="dxa"/>
                  <w:vAlign w:val="center"/>
                </w:tcPr>
                <w:p w14:paraId="37A42F2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6899134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6A79A07E">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120</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26D0E773">
                  <w:pPr>
                    <w:snapToGrid w:val="0"/>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336" w:type="dxa"/>
                  <w:shd w:val="clear" w:color="auto" w:fill="auto"/>
                  <w:vAlign w:val="center"/>
                </w:tcPr>
                <w:p w14:paraId="17E75E1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3个月倒槽并清洗一次</w:t>
                  </w:r>
                </w:p>
              </w:tc>
              <w:tc>
                <w:tcPr>
                  <w:tcW w:w="2648" w:type="dxa"/>
                  <w:shd w:val="clear" w:color="auto" w:fill="auto"/>
                  <w:vAlign w:val="center"/>
                </w:tcPr>
                <w:p w14:paraId="45CC310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倒槽废液，委外处置；洗槽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22BB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7BEE7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11</w:t>
                  </w:r>
                </w:p>
              </w:tc>
              <w:tc>
                <w:tcPr>
                  <w:tcW w:w="1371" w:type="dxa"/>
                  <w:vAlign w:val="center"/>
                </w:tcPr>
                <w:p w14:paraId="355A420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水洗11</w:t>
                  </w:r>
                </w:p>
              </w:tc>
              <w:tc>
                <w:tcPr>
                  <w:tcW w:w="947" w:type="dxa"/>
                  <w:vAlign w:val="center"/>
                </w:tcPr>
                <w:p w14:paraId="2F4CB0C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2ABCBD2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72481332">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5</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0EF2224F">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shd w:val="clear" w:color="auto" w:fill="auto"/>
                  <w:vAlign w:val="center"/>
                </w:tcPr>
                <w:p w14:paraId="05B7071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1个月倒槽并清洗一次</w:t>
                  </w:r>
                </w:p>
              </w:tc>
              <w:tc>
                <w:tcPr>
                  <w:tcW w:w="2648" w:type="dxa"/>
                  <w:shd w:val="clear" w:color="auto" w:fill="auto"/>
                  <w:vAlign w:val="center"/>
                </w:tcPr>
                <w:p w14:paraId="162D12F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倒槽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+洗槽废水+溢流废水，</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1534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AA0DB9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12</w:t>
                  </w:r>
                </w:p>
              </w:tc>
              <w:tc>
                <w:tcPr>
                  <w:tcW w:w="1371" w:type="dxa"/>
                  <w:vAlign w:val="center"/>
                </w:tcPr>
                <w:p w14:paraId="3B2BD41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水洗12</w:t>
                  </w:r>
                </w:p>
              </w:tc>
              <w:tc>
                <w:tcPr>
                  <w:tcW w:w="947" w:type="dxa"/>
                  <w:vAlign w:val="center"/>
                </w:tcPr>
                <w:p w14:paraId="4B9816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647857E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65604F8E">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5</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7496C146">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shd w:val="clear" w:color="auto" w:fill="auto"/>
                  <w:vAlign w:val="center"/>
                </w:tcPr>
                <w:p w14:paraId="490A2F2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eastAsia="仿宋" w:cs="Times New Roman"/>
                      <w:b w:val="0"/>
                      <w:bCs w:val="0"/>
                      <w:color w:val="auto"/>
                      <w:sz w:val="21"/>
                      <w:szCs w:val="21"/>
                      <w:vertAlign w:val="baseline"/>
                      <w:lang w:val="en-US" w:eastAsia="zh-CN"/>
                    </w:rPr>
                    <w:t>1个月倒槽并清洗一次</w:t>
                  </w:r>
                </w:p>
              </w:tc>
              <w:tc>
                <w:tcPr>
                  <w:tcW w:w="2648" w:type="dxa"/>
                  <w:shd w:val="clear" w:color="auto" w:fill="auto"/>
                  <w:vAlign w:val="center"/>
                </w:tcPr>
                <w:p w14:paraId="498516C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sz w:val="21"/>
                      <w:szCs w:val="21"/>
                      <w:highlight w:val="none"/>
                      <w:vertAlign w:val="baseline"/>
                      <w:lang w:val="en-US" w:eastAsia="zh-CN"/>
                    </w:rPr>
                    <w:t>溢流废水，溢流至水洗槽11；倒槽废水+洗槽废水，进入废水处理设施处理</w:t>
                  </w:r>
                </w:p>
              </w:tc>
            </w:tr>
            <w:tr w14:paraId="70C9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5B809D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13</w:t>
                  </w:r>
                </w:p>
              </w:tc>
              <w:tc>
                <w:tcPr>
                  <w:tcW w:w="1371" w:type="dxa"/>
                  <w:vAlign w:val="center"/>
                </w:tcPr>
                <w:p w14:paraId="0698842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电泳13</w:t>
                  </w:r>
                </w:p>
              </w:tc>
              <w:tc>
                <w:tcPr>
                  <w:tcW w:w="947" w:type="dxa"/>
                  <w:vAlign w:val="center"/>
                </w:tcPr>
                <w:p w14:paraId="24BBE6C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01EC988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37060DA6">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80</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2452E432">
                  <w:pPr>
                    <w:snapToGrid w:val="0"/>
                    <w:spacing w:line="240" w:lineRule="atLeas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lang w:val="en-US" w:eastAsia="zh-CN"/>
                    </w:rPr>
                    <w:t>/</w:t>
                  </w:r>
                </w:p>
              </w:tc>
              <w:tc>
                <w:tcPr>
                  <w:tcW w:w="1336" w:type="dxa"/>
                  <w:vAlign w:val="center"/>
                </w:tcPr>
                <w:p w14:paraId="67F5274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配套超滤处理，循环使用，定期补充损耗；</w:t>
                  </w:r>
                  <w:r>
                    <w:rPr>
                      <w:rFonts w:hint="eastAsia" w:eastAsia="仿宋" w:cs="Times New Roman"/>
                      <w:b w:val="0"/>
                      <w:bCs w:val="0"/>
                      <w:color w:val="auto"/>
                      <w:sz w:val="21"/>
                      <w:szCs w:val="21"/>
                      <w:vertAlign w:val="baseline"/>
                      <w:lang w:val="en-US" w:eastAsia="zh-CN"/>
                    </w:rPr>
                    <w:t>5个月倒槽并清洗一次</w:t>
                  </w:r>
                </w:p>
              </w:tc>
              <w:tc>
                <w:tcPr>
                  <w:tcW w:w="2648" w:type="dxa"/>
                  <w:vAlign w:val="center"/>
                </w:tcPr>
                <w:p w14:paraId="7DE9DE7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倒槽废水+洗槽废水，进入废水处理设施处理</w:t>
                  </w:r>
                </w:p>
              </w:tc>
            </w:tr>
            <w:tr w14:paraId="0A65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3E7B393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14</w:t>
                  </w:r>
                </w:p>
              </w:tc>
              <w:tc>
                <w:tcPr>
                  <w:tcW w:w="1371" w:type="dxa"/>
                  <w:vAlign w:val="center"/>
                </w:tcPr>
                <w:p w14:paraId="07BED46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回收14</w:t>
                  </w:r>
                </w:p>
              </w:tc>
              <w:tc>
                <w:tcPr>
                  <w:tcW w:w="947" w:type="dxa"/>
                  <w:vAlign w:val="center"/>
                </w:tcPr>
                <w:p w14:paraId="2C2CC30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65D7FD0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7E8C94DC">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3</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463BC503">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vAlign w:val="center"/>
                </w:tcPr>
                <w:p w14:paraId="7E6F24C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5个月倒槽并清洗一次</w:t>
                  </w:r>
                </w:p>
              </w:tc>
              <w:tc>
                <w:tcPr>
                  <w:tcW w:w="2648" w:type="dxa"/>
                  <w:vAlign w:val="center"/>
                </w:tcPr>
                <w:p w14:paraId="78170ED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倒槽废水+洗槽废水，进入废水处理设施处理</w:t>
                  </w:r>
                </w:p>
              </w:tc>
            </w:tr>
            <w:tr w14:paraId="223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15239B3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15</w:t>
                  </w:r>
                </w:p>
              </w:tc>
              <w:tc>
                <w:tcPr>
                  <w:tcW w:w="1371" w:type="dxa"/>
                  <w:vAlign w:val="center"/>
                </w:tcPr>
                <w:p w14:paraId="5C17EBF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回收15</w:t>
                  </w:r>
                </w:p>
              </w:tc>
              <w:tc>
                <w:tcPr>
                  <w:tcW w:w="947" w:type="dxa"/>
                  <w:vAlign w:val="center"/>
                </w:tcPr>
                <w:p w14:paraId="581D860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44535C0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6C746FAC">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3</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7D6AE56D">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vAlign w:val="center"/>
                </w:tcPr>
                <w:p w14:paraId="34D7A4C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5个月倒槽并清洗一次</w:t>
                  </w:r>
                </w:p>
              </w:tc>
              <w:tc>
                <w:tcPr>
                  <w:tcW w:w="2648" w:type="dxa"/>
                  <w:vAlign w:val="center"/>
                </w:tcPr>
                <w:p w14:paraId="33BD84B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倒槽废水+洗槽废水，进入废水处理设施处理</w:t>
                  </w:r>
                </w:p>
              </w:tc>
            </w:tr>
            <w:tr w14:paraId="55AB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49426B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16</w:t>
                  </w:r>
                </w:p>
              </w:tc>
              <w:tc>
                <w:tcPr>
                  <w:tcW w:w="1371" w:type="dxa"/>
                  <w:vAlign w:val="center"/>
                </w:tcPr>
                <w:p w14:paraId="302D803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水洗16</w:t>
                  </w:r>
                </w:p>
              </w:tc>
              <w:tc>
                <w:tcPr>
                  <w:tcW w:w="947" w:type="dxa"/>
                  <w:vAlign w:val="center"/>
                </w:tcPr>
                <w:p w14:paraId="3D387AA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1B100BA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44887C22">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3</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1236122A">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vAlign w:val="center"/>
                </w:tcPr>
                <w:p w14:paraId="74C999E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45B277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倒槽</w:t>
                  </w:r>
                  <w:r>
                    <w:rPr>
                      <w:rFonts w:hint="default" w:ascii="Times New Roman" w:hAnsi="Times New Roman" w:eastAsia="仿宋" w:cs="Times New Roman"/>
                      <w:b w:val="0"/>
                      <w:bCs w:val="0"/>
                      <w:color w:val="auto"/>
                      <w:sz w:val="21"/>
                      <w:szCs w:val="21"/>
                      <w:vertAlign w:val="baseline"/>
                      <w:lang w:val="en-US" w:eastAsia="zh-CN"/>
                    </w:rPr>
                    <w:t>废水</w:t>
                  </w:r>
                  <w:r>
                    <w:rPr>
                      <w:rFonts w:hint="eastAsia" w:eastAsia="仿宋" w:cs="Times New Roman"/>
                      <w:b w:val="0"/>
                      <w:bCs w:val="0"/>
                      <w:color w:val="auto"/>
                      <w:sz w:val="21"/>
                      <w:szCs w:val="21"/>
                      <w:vertAlign w:val="baseline"/>
                      <w:lang w:val="en-US" w:eastAsia="zh-CN"/>
                    </w:rPr>
                    <w:t>+洗槽废水+溢流废水，</w:t>
                  </w:r>
                  <w:r>
                    <w:rPr>
                      <w:rFonts w:hint="default" w:ascii="Times New Roman" w:hAnsi="Times New Roman" w:eastAsia="仿宋" w:cs="Times New Roman"/>
                      <w:b w:val="0"/>
                      <w:bCs w:val="0"/>
                      <w:color w:val="auto"/>
                      <w:sz w:val="21"/>
                      <w:szCs w:val="21"/>
                      <w:vertAlign w:val="baseline"/>
                      <w:lang w:val="en-US" w:eastAsia="zh-CN"/>
                    </w:rPr>
                    <w:t>进废水处理设施处理</w:t>
                  </w:r>
                </w:p>
              </w:tc>
            </w:tr>
            <w:tr w14:paraId="3DBD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9B4621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17</w:t>
                  </w:r>
                </w:p>
              </w:tc>
              <w:tc>
                <w:tcPr>
                  <w:tcW w:w="1371" w:type="dxa"/>
                  <w:vAlign w:val="center"/>
                </w:tcPr>
                <w:p w14:paraId="4343526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水洗17</w:t>
                  </w:r>
                </w:p>
              </w:tc>
              <w:tc>
                <w:tcPr>
                  <w:tcW w:w="947" w:type="dxa"/>
                  <w:vAlign w:val="center"/>
                </w:tcPr>
                <w:p w14:paraId="0CCDFE1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1C28607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822" w:type="dxa"/>
                  <w:vAlign w:val="center"/>
                </w:tcPr>
                <w:p w14:paraId="034B0D59">
                  <w:pPr>
                    <w:snapToGrid w:val="0"/>
                    <w:spacing w:line="240" w:lineRule="atLeast"/>
                    <w:jc w:val="center"/>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cs="Times New Roman"/>
                      <w:color w:val="auto"/>
                      <w:szCs w:val="21"/>
                    </w:rPr>
                    <w:t>3</w:t>
                  </w:r>
                  <w:r>
                    <w:rPr>
                      <w:rFonts w:hint="eastAsia" w:eastAsia="仿宋" w:cs="Times New Roman"/>
                      <w:b w:val="0"/>
                      <w:bCs w:val="0"/>
                      <w:color w:val="auto"/>
                      <w:sz w:val="21"/>
                      <w:szCs w:val="21"/>
                      <w:vertAlign w:val="baseline"/>
                      <w:lang w:val="en-US" w:eastAsia="zh-CN"/>
                    </w:rPr>
                    <w:t>s</w:t>
                  </w:r>
                </w:p>
              </w:tc>
              <w:tc>
                <w:tcPr>
                  <w:tcW w:w="900" w:type="dxa"/>
                  <w:shd w:val="clear" w:color="auto" w:fill="auto"/>
                  <w:vAlign w:val="center"/>
                </w:tcPr>
                <w:p w14:paraId="19B646CA">
                  <w:pPr>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eastAsia="仿宋" w:cs="Times New Roman"/>
                      <w:b w:val="0"/>
                      <w:bCs w:val="0"/>
                      <w:color w:val="auto"/>
                      <w:sz w:val="21"/>
                      <w:szCs w:val="21"/>
                      <w:vertAlign w:val="baseline"/>
                      <w:lang w:val="en-US" w:eastAsia="zh-CN"/>
                    </w:rPr>
                    <w:t>0.2</w:t>
                  </w:r>
                </w:p>
              </w:tc>
              <w:tc>
                <w:tcPr>
                  <w:tcW w:w="1336" w:type="dxa"/>
                  <w:vAlign w:val="center"/>
                </w:tcPr>
                <w:p w14:paraId="497CD95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1个月倒槽并清洗一次</w:t>
                  </w:r>
                </w:p>
              </w:tc>
              <w:tc>
                <w:tcPr>
                  <w:tcW w:w="2648" w:type="dxa"/>
                  <w:vAlign w:val="center"/>
                </w:tcPr>
                <w:p w14:paraId="4CFE4D0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溢流废水，溢流至水洗槽16；倒槽废水+洗槽废水，进入废水处理设施处理</w:t>
                  </w:r>
                </w:p>
              </w:tc>
            </w:tr>
            <w:tr w14:paraId="1C03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89FDD3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18</w:t>
                  </w:r>
                </w:p>
              </w:tc>
              <w:tc>
                <w:tcPr>
                  <w:tcW w:w="1371" w:type="dxa"/>
                  <w:vAlign w:val="center"/>
                </w:tcPr>
                <w:p w14:paraId="02EA082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切水</w:t>
                  </w:r>
                </w:p>
              </w:tc>
              <w:tc>
                <w:tcPr>
                  <w:tcW w:w="947" w:type="dxa"/>
                  <w:vAlign w:val="center"/>
                </w:tcPr>
                <w:p w14:paraId="693B46F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43EF628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822" w:type="dxa"/>
                  <w:vAlign w:val="center"/>
                </w:tcPr>
                <w:p w14:paraId="77FCCE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5min</w:t>
                  </w:r>
                </w:p>
              </w:tc>
              <w:tc>
                <w:tcPr>
                  <w:tcW w:w="900" w:type="dxa"/>
                  <w:vAlign w:val="center"/>
                </w:tcPr>
                <w:p w14:paraId="402348C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2CE28D5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2648" w:type="dxa"/>
                  <w:vAlign w:val="center"/>
                </w:tcPr>
                <w:p w14:paraId="409D9A0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r w14:paraId="37B0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07B2789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19</w:t>
                  </w:r>
                </w:p>
              </w:tc>
              <w:tc>
                <w:tcPr>
                  <w:tcW w:w="1371" w:type="dxa"/>
                  <w:vMerge w:val="restart"/>
                  <w:vAlign w:val="center"/>
                </w:tcPr>
                <w:p w14:paraId="1FE93C2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烘干</w:t>
                  </w:r>
                </w:p>
              </w:tc>
              <w:tc>
                <w:tcPr>
                  <w:tcW w:w="947" w:type="dxa"/>
                  <w:vAlign w:val="center"/>
                </w:tcPr>
                <w:p w14:paraId="5D5F59B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80</w:t>
                  </w:r>
                  <w:r>
                    <w:rPr>
                      <w:rFonts w:hint="default" w:ascii="Times New Roman" w:hAnsi="Times New Roman" w:eastAsia="仿宋" w:cs="Times New Roman"/>
                      <w:b w:val="0"/>
                      <w:bCs w:val="0"/>
                      <w:color w:val="auto"/>
                      <w:sz w:val="21"/>
                      <w:szCs w:val="21"/>
                      <w:vertAlign w:val="baseline"/>
                      <w:lang w:val="en-US" w:eastAsia="zh-CN"/>
                    </w:rPr>
                    <w:t>℃</w:t>
                  </w:r>
                </w:p>
              </w:tc>
              <w:tc>
                <w:tcPr>
                  <w:tcW w:w="722" w:type="dxa"/>
                  <w:vAlign w:val="center"/>
                </w:tcPr>
                <w:p w14:paraId="6863004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822" w:type="dxa"/>
                  <w:vAlign w:val="center"/>
                </w:tcPr>
                <w:p w14:paraId="7B89425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10min</w:t>
                  </w:r>
                </w:p>
              </w:tc>
              <w:tc>
                <w:tcPr>
                  <w:tcW w:w="900" w:type="dxa"/>
                  <w:vAlign w:val="center"/>
                </w:tcPr>
                <w:p w14:paraId="65B3CA5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5FEC042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2648" w:type="dxa"/>
                  <w:vAlign w:val="center"/>
                </w:tcPr>
                <w:p w14:paraId="7790D60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r w14:paraId="57DD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308B79D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w:t>
                  </w:r>
                </w:p>
              </w:tc>
              <w:tc>
                <w:tcPr>
                  <w:tcW w:w="1371" w:type="dxa"/>
                  <w:vMerge w:val="continue"/>
                  <w:vAlign w:val="center"/>
                </w:tcPr>
                <w:p w14:paraId="0420032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仿宋" w:cs="Times New Roman"/>
                      <w:b w:val="0"/>
                      <w:bCs w:val="0"/>
                      <w:color w:val="auto"/>
                      <w:sz w:val="21"/>
                      <w:szCs w:val="21"/>
                      <w:vertAlign w:val="baseline"/>
                      <w:lang w:val="en-US" w:eastAsia="zh-CN"/>
                    </w:rPr>
                  </w:pPr>
                </w:p>
              </w:tc>
              <w:tc>
                <w:tcPr>
                  <w:tcW w:w="947" w:type="dxa"/>
                  <w:vAlign w:val="center"/>
                </w:tcPr>
                <w:p w14:paraId="0E9A604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180</w:t>
                  </w:r>
                  <w:r>
                    <w:rPr>
                      <w:rFonts w:hint="default" w:ascii="Times New Roman" w:hAnsi="Times New Roman" w:eastAsia="仿宋" w:cs="Times New Roman"/>
                      <w:b w:val="0"/>
                      <w:bCs w:val="0"/>
                      <w:color w:val="auto"/>
                      <w:sz w:val="21"/>
                      <w:szCs w:val="21"/>
                      <w:vertAlign w:val="baseline"/>
                      <w:lang w:val="en-US" w:eastAsia="zh-CN"/>
                    </w:rPr>
                    <w:t>℃</w:t>
                  </w:r>
                </w:p>
              </w:tc>
              <w:tc>
                <w:tcPr>
                  <w:tcW w:w="722" w:type="dxa"/>
                  <w:vAlign w:val="center"/>
                </w:tcPr>
                <w:p w14:paraId="0045FA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822" w:type="dxa"/>
                  <w:vAlign w:val="center"/>
                </w:tcPr>
                <w:p w14:paraId="238D151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21min</w:t>
                  </w:r>
                </w:p>
              </w:tc>
              <w:tc>
                <w:tcPr>
                  <w:tcW w:w="900" w:type="dxa"/>
                  <w:vAlign w:val="center"/>
                </w:tcPr>
                <w:p w14:paraId="7BBF1F5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5CB9713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2648" w:type="dxa"/>
                  <w:vAlign w:val="center"/>
                </w:tcPr>
                <w:p w14:paraId="3AE0DC3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r w14:paraId="7CEF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9335A8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21</w:t>
                  </w:r>
                </w:p>
              </w:tc>
              <w:tc>
                <w:tcPr>
                  <w:tcW w:w="1371" w:type="dxa"/>
                  <w:vAlign w:val="center"/>
                </w:tcPr>
                <w:p w14:paraId="794DC5A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自然冷却</w:t>
                  </w:r>
                </w:p>
              </w:tc>
              <w:tc>
                <w:tcPr>
                  <w:tcW w:w="947" w:type="dxa"/>
                  <w:vAlign w:val="center"/>
                </w:tcPr>
                <w:p w14:paraId="3E413DA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722" w:type="dxa"/>
                  <w:vAlign w:val="center"/>
                </w:tcPr>
                <w:p w14:paraId="2527B51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822" w:type="dxa"/>
                  <w:vAlign w:val="center"/>
                </w:tcPr>
                <w:p w14:paraId="3D0FDD5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30min</w:t>
                  </w:r>
                </w:p>
              </w:tc>
              <w:tc>
                <w:tcPr>
                  <w:tcW w:w="900" w:type="dxa"/>
                  <w:vAlign w:val="center"/>
                </w:tcPr>
                <w:p w14:paraId="6E9751B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336" w:type="dxa"/>
                  <w:vAlign w:val="center"/>
                </w:tcPr>
                <w:p w14:paraId="680FF14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2648" w:type="dxa"/>
                  <w:vAlign w:val="center"/>
                </w:tcPr>
                <w:p w14:paraId="5E0A901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bl>
          <w:p w14:paraId="4FE9E1C0">
            <w:pPr>
              <w:widowControl/>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喷粉处理线：80%的机加工件进行喷粉前处理+喷粉处理</w:t>
            </w:r>
          </w:p>
          <w:p w14:paraId="59B0FAEB">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（1）脱脂槽1：</w:t>
            </w:r>
            <w:r>
              <w:rPr>
                <w:rFonts w:hint="eastAsia" w:ascii="Times New Roman" w:hAnsi="Times New Roman" w:eastAsia="宋体" w:cs="Times New Roman"/>
                <w:b w:val="0"/>
                <w:bCs w:val="0"/>
                <w:color w:val="auto"/>
                <w:sz w:val="24"/>
                <w:lang w:val="en-US" w:eastAsia="zh-CN"/>
              </w:rPr>
              <w:t>采用脱脂剂对工件进行浸泡清洗，脱脂槽溶液配比为脱脂剂：自来水=5%：95%，脱脂剂循环使用，定期补充，主要去除工件表面附着的油污、灰尘等，脱脂操作温度为常温，脱脂时间30min，每2个月倒槽清洗一次并更换槽液。</w:t>
            </w:r>
          </w:p>
          <w:p w14:paraId="2516FBD3">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t>
            </w:r>
            <w:r>
              <w:rPr>
                <w:rFonts w:hint="eastAsia" w:cs="Times New Roman"/>
                <w:b w:val="0"/>
                <w:bCs w:val="0"/>
                <w:color w:val="auto"/>
                <w:sz w:val="24"/>
                <w:lang w:val="en-US" w:eastAsia="zh-CN"/>
              </w:rPr>
              <w:t>S10脱脂废液，W1-3含油洗槽废水</w:t>
            </w:r>
            <w:r>
              <w:rPr>
                <w:rFonts w:hint="eastAsia" w:ascii="Times New Roman" w:hAnsi="Times New Roman" w:eastAsia="宋体" w:cs="Times New Roman"/>
                <w:b w:val="0"/>
                <w:bCs w:val="0"/>
                <w:color w:val="auto"/>
                <w:sz w:val="24"/>
                <w:lang w:val="en-US" w:eastAsia="zh-CN"/>
              </w:rPr>
              <w:t>。</w:t>
            </w:r>
          </w:p>
          <w:p w14:paraId="146A0F1C">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（2）水洗槽2：</w:t>
            </w:r>
            <w:r>
              <w:rPr>
                <w:rFonts w:hint="eastAsia" w:ascii="Times New Roman" w:hAnsi="Times New Roman" w:eastAsia="宋体" w:cs="Times New Roman"/>
                <w:b w:val="0"/>
                <w:bCs w:val="0"/>
                <w:color w:val="auto"/>
                <w:sz w:val="24"/>
                <w:lang w:val="en-US" w:eastAsia="zh-CN"/>
              </w:rPr>
              <w:t>脱脂后进行自来水浸泡清洗，去除残留的脱脂剂</w:t>
            </w:r>
            <w:r>
              <w:rPr>
                <w:rFonts w:hint="eastAsia"/>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水洗槽2为常温，停留时间为20s。水洗槽2每日排放一次。</w:t>
            </w:r>
          </w:p>
          <w:p w14:paraId="0249F154">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产污环节：W1</w:t>
            </w:r>
            <w:r>
              <w:rPr>
                <w:rFonts w:hint="eastAsia" w:cs="Times New Roman"/>
                <w:b w:val="0"/>
                <w:bCs w:val="0"/>
                <w:color w:val="auto"/>
                <w:sz w:val="24"/>
                <w:lang w:val="en-US" w:eastAsia="zh-CN"/>
              </w:rPr>
              <w:t>-4含油</w:t>
            </w:r>
            <w:r>
              <w:rPr>
                <w:rFonts w:hint="eastAsia" w:ascii="Times New Roman" w:hAnsi="Times New Roman" w:eastAsia="宋体" w:cs="Times New Roman"/>
                <w:b w:val="0"/>
                <w:bCs w:val="0"/>
                <w:color w:val="auto"/>
                <w:sz w:val="24"/>
                <w:lang w:val="en-US" w:eastAsia="zh-CN"/>
              </w:rPr>
              <w:t>废水。</w:t>
            </w:r>
          </w:p>
          <w:p w14:paraId="1800D8E5">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（3）酸洗槽3：</w:t>
            </w:r>
            <w:r>
              <w:rPr>
                <w:rFonts w:hint="eastAsia" w:ascii="Times New Roman" w:hAnsi="Times New Roman" w:eastAsia="宋体" w:cs="Times New Roman"/>
                <w:b w:val="0"/>
                <w:bCs w:val="0"/>
                <w:color w:val="auto"/>
                <w:sz w:val="24"/>
                <w:lang w:val="en-US" w:eastAsia="zh-CN"/>
              </w:rPr>
              <w:t>酸洗槽中采用硫酸、盐酸对其进行浸泡清洗，</w:t>
            </w:r>
            <w:r>
              <w:rPr>
                <w:rFonts w:hint="eastAsia" w:cs="Times New Roman"/>
                <w:b w:val="0"/>
                <w:bCs w:val="0"/>
                <w:color w:val="auto"/>
                <w:sz w:val="24"/>
                <w:lang w:val="en-US" w:eastAsia="zh-CN"/>
              </w:rPr>
              <w:t>酸洗槽</w:t>
            </w:r>
            <w:r>
              <w:rPr>
                <w:rFonts w:hint="eastAsia" w:ascii="Times New Roman" w:hAnsi="Times New Roman" w:eastAsia="宋体" w:cs="Times New Roman"/>
                <w:b w:val="0"/>
                <w:bCs w:val="0"/>
                <w:color w:val="auto"/>
                <w:sz w:val="24"/>
                <w:lang w:val="en-US" w:eastAsia="zh-CN"/>
              </w:rPr>
              <w:t>溶液配比为盐酸：硫酸：自来水=15%：20%：65%。硫酸，盐酸循环使用，定期补充，在酸液的作用下，工件表面的氧化层发生化学反应，生成金属盐，从而达到除锈的目的，酸洗在常温下进行，酸洗时间5min，每2个月倒槽清洗一次并更换槽液。</w:t>
            </w:r>
          </w:p>
          <w:p w14:paraId="76F0DBFE">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t>
            </w:r>
            <w:r>
              <w:rPr>
                <w:rFonts w:hint="eastAsia" w:cs="Times New Roman"/>
                <w:b w:val="0"/>
                <w:bCs w:val="0"/>
                <w:color w:val="auto"/>
                <w:sz w:val="24"/>
                <w:lang w:val="en-US" w:eastAsia="zh-CN"/>
              </w:rPr>
              <w:t>S11酸洗废液，W2-3含酸洗槽废水</w:t>
            </w:r>
            <w:r>
              <w:rPr>
                <w:rFonts w:hint="eastAsia" w:ascii="Times New Roman" w:hAnsi="Times New Roman" w:eastAsia="宋体" w:cs="Times New Roman"/>
                <w:b w:val="0"/>
                <w:bCs w:val="0"/>
                <w:color w:val="auto"/>
                <w:sz w:val="24"/>
                <w:lang w:val="en-US" w:eastAsia="zh-CN"/>
              </w:rPr>
              <w:t>，G4酸雾。</w:t>
            </w:r>
          </w:p>
          <w:p w14:paraId="5B5B5A56">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（4）水洗槽4：</w:t>
            </w:r>
            <w:r>
              <w:rPr>
                <w:rFonts w:hint="eastAsia" w:ascii="Times New Roman" w:hAnsi="Times New Roman" w:eastAsia="宋体" w:cs="Times New Roman"/>
                <w:b w:val="0"/>
                <w:bCs w:val="0"/>
                <w:color w:val="auto"/>
                <w:sz w:val="24"/>
                <w:lang w:val="en-US" w:eastAsia="zh-CN"/>
              </w:rPr>
              <w:t>酸洗后进行自来水浸泡水洗，去除表面残留的酸液，水洗槽4为常温，停留时间为20s。水洗槽4每日倒槽排放一次。</w:t>
            </w:r>
          </w:p>
          <w:p w14:paraId="2F90F324">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产污环节：W2</w:t>
            </w:r>
            <w:r>
              <w:rPr>
                <w:rFonts w:hint="eastAsia" w:cs="Times New Roman"/>
                <w:b w:val="0"/>
                <w:bCs w:val="0"/>
                <w:color w:val="auto"/>
                <w:sz w:val="24"/>
                <w:lang w:val="en-US" w:eastAsia="zh-CN"/>
              </w:rPr>
              <w:t>-4</w:t>
            </w:r>
            <w:r>
              <w:rPr>
                <w:rFonts w:hint="eastAsia" w:ascii="Times New Roman" w:hAnsi="Times New Roman" w:eastAsia="宋体" w:cs="Times New Roman"/>
                <w:b w:val="0"/>
                <w:bCs w:val="0"/>
                <w:color w:val="auto"/>
                <w:sz w:val="24"/>
                <w:lang w:val="en-US" w:eastAsia="zh-CN"/>
              </w:rPr>
              <w:t>水洗槽4废水（倒槽废水）。</w:t>
            </w:r>
          </w:p>
          <w:p w14:paraId="50828129">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（5）表调槽5：</w:t>
            </w:r>
            <w:r>
              <w:rPr>
                <w:rFonts w:hint="eastAsia" w:ascii="Times New Roman" w:hAnsi="Times New Roman" w:eastAsia="宋体" w:cs="Times New Roman"/>
                <w:b w:val="0"/>
                <w:bCs w:val="0"/>
                <w:color w:val="auto"/>
                <w:sz w:val="24"/>
                <w:lang w:val="en-US" w:eastAsia="zh-CN"/>
              </w:rPr>
              <w:t>表调槽中采用表调剂对其进行浸泡清洗，</w:t>
            </w:r>
            <w:r>
              <w:rPr>
                <w:rFonts w:hint="eastAsia" w:cs="Times New Roman"/>
                <w:b w:val="0"/>
                <w:bCs w:val="0"/>
                <w:color w:val="auto"/>
                <w:sz w:val="24"/>
                <w:lang w:val="en-US" w:eastAsia="zh-CN"/>
              </w:rPr>
              <w:t>表调槽</w:t>
            </w:r>
            <w:r>
              <w:rPr>
                <w:rFonts w:hint="eastAsia" w:ascii="Times New Roman" w:hAnsi="Times New Roman" w:eastAsia="宋体" w:cs="Times New Roman"/>
                <w:b w:val="0"/>
                <w:bCs w:val="0"/>
                <w:color w:val="auto"/>
                <w:sz w:val="24"/>
                <w:lang w:val="en-US" w:eastAsia="zh-CN"/>
              </w:rPr>
              <w:t>溶液配比为表调剂：自来水=3%：97%。表调剂循环使用，定期补充，主要作用是提高表面活性的均一化，使后续的硅烷时间缩短并减少硅烷剂的消耗量。表调在常温下进行，时间10min，每3个月倒槽清洗一次并更换槽液。</w:t>
            </w:r>
          </w:p>
          <w:p w14:paraId="0EB4590B">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t>
            </w:r>
            <w:r>
              <w:rPr>
                <w:rFonts w:hint="eastAsia" w:cs="Times New Roman"/>
                <w:b w:val="0"/>
                <w:bCs w:val="0"/>
                <w:color w:val="auto"/>
                <w:sz w:val="24"/>
                <w:lang w:val="en-US" w:eastAsia="zh-CN"/>
              </w:rPr>
              <w:t>S13</w:t>
            </w:r>
            <w:r>
              <w:rPr>
                <w:rFonts w:hint="eastAsia" w:ascii="Times New Roman" w:hAnsi="Times New Roman" w:eastAsia="宋体" w:cs="Times New Roman"/>
                <w:b w:val="0"/>
                <w:bCs w:val="0"/>
                <w:color w:val="auto"/>
                <w:sz w:val="24"/>
                <w:lang w:val="en-US" w:eastAsia="zh-CN"/>
              </w:rPr>
              <w:t>表调</w:t>
            </w:r>
            <w:r>
              <w:rPr>
                <w:rFonts w:hint="eastAsia" w:cs="Times New Roman"/>
                <w:b w:val="0"/>
                <w:bCs w:val="0"/>
                <w:color w:val="auto"/>
                <w:sz w:val="24"/>
                <w:lang w:val="en-US" w:eastAsia="zh-CN"/>
              </w:rPr>
              <w:t>废液</w:t>
            </w:r>
            <w:r>
              <w:rPr>
                <w:rFonts w:hint="eastAsia" w:ascii="Times New Roman" w:hAnsi="Times New Roman" w:eastAsia="宋体" w:cs="Times New Roman"/>
                <w:b w:val="0"/>
                <w:bCs w:val="0"/>
                <w:color w:val="auto"/>
                <w:sz w:val="24"/>
                <w:lang w:val="en-US" w:eastAsia="zh-CN"/>
              </w:rPr>
              <w:t>。</w:t>
            </w:r>
          </w:p>
          <w:p w14:paraId="4C1D342C">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（6）水洗槽6、水洗槽7：</w:t>
            </w:r>
            <w:r>
              <w:rPr>
                <w:rFonts w:hint="eastAsia" w:ascii="Times New Roman" w:hAnsi="Times New Roman" w:eastAsia="宋体" w:cs="Times New Roman"/>
                <w:b w:val="0"/>
                <w:bCs w:val="0"/>
                <w:color w:val="auto"/>
                <w:sz w:val="24"/>
                <w:lang w:val="en-US" w:eastAsia="zh-CN"/>
              </w:rPr>
              <w:t>表调后进行二级浸泡水洗。</w:t>
            </w:r>
            <w:r>
              <w:rPr>
                <w:rFonts w:hint="eastAsia"/>
                <w:b w:val="0"/>
                <w:bCs w:val="0"/>
                <w:color w:val="auto"/>
                <w:sz w:val="24"/>
                <w:lang w:val="en-US" w:eastAsia="zh-CN"/>
              </w:rPr>
              <w:t>清除工件表面经过表调后的残液，清洗水为自来水，</w:t>
            </w:r>
            <w:r>
              <w:rPr>
                <w:rFonts w:hint="eastAsia"/>
                <w:b w:val="0"/>
                <w:bCs w:val="0"/>
                <w:color w:val="auto"/>
                <w:sz w:val="24"/>
                <w:lang w:eastAsia="zh-CN"/>
              </w:rPr>
              <w:t>后一级水洗用水回用于前一级水洗槽中重复利用，清洗废水仅产生于第一级水洗槽。水洗槽</w:t>
            </w:r>
            <w:r>
              <w:rPr>
                <w:rFonts w:hint="eastAsia"/>
                <w:b w:val="0"/>
                <w:bCs w:val="0"/>
                <w:color w:val="auto"/>
                <w:sz w:val="24"/>
                <w:lang w:val="en-US" w:eastAsia="zh-CN"/>
              </w:rPr>
              <w:t>6</w:t>
            </w:r>
            <w:r>
              <w:rPr>
                <w:rFonts w:hint="eastAsia"/>
                <w:b w:val="0"/>
                <w:bCs w:val="0"/>
                <w:color w:val="auto"/>
                <w:sz w:val="24"/>
                <w:lang w:eastAsia="zh-CN"/>
              </w:rPr>
              <w:t>、</w:t>
            </w:r>
            <w:r>
              <w:rPr>
                <w:rFonts w:hint="eastAsia"/>
                <w:b w:val="0"/>
                <w:bCs w:val="0"/>
                <w:color w:val="auto"/>
                <w:sz w:val="24"/>
                <w:lang w:val="en-US" w:eastAsia="zh-CN"/>
              </w:rPr>
              <w:t>7</w:t>
            </w:r>
            <w:r>
              <w:rPr>
                <w:rFonts w:hint="eastAsia"/>
                <w:b w:val="0"/>
                <w:bCs w:val="0"/>
                <w:color w:val="auto"/>
                <w:sz w:val="24"/>
                <w:lang w:eastAsia="zh-CN"/>
              </w:rPr>
              <w:t>均为常温，</w:t>
            </w:r>
            <w:r>
              <w:rPr>
                <w:rFonts w:hint="eastAsia" w:ascii="Times New Roman" w:hAnsi="Times New Roman" w:eastAsia="宋体" w:cs="Times New Roman"/>
                <w:b w:val="0"/>
                <w:bCs w:val="0"/>
                <w:color w:val="auto"/>
                <w:sz w:val="24"/>
                <w:lang w:val="en-US" w:eastAsia="zh-CN"/>
              </w:rPr>
              <w:t>停留时间均为20s。水洗槽6和水洗槽7每日倒槽排放一次。</w:t>
            </w:r>
          </w:p>
          <w:p w14:paraId="6F6282C8">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w:t>
            </w:r>
            <w:r>
              <w:rPr>
                <w:rFonts w:hint="eastAsia" w:cs="Times New Roman"/>
                <w:b w:val="0"/>
                <w:bCs w:val="0"/>
                <w:color w:val="auto"/>
                <w:sz w:val="24"/>
                <w:lang w:val="en-US" w:eastAsia="zh-CN"/>
              </w:rPr>
              <w:t>7-1含表调剂废水</w:t>
            </w:r>
            <w:r>
              <w:rPr>
                <w:rFonts w:hint="eastAsia" w:ascii="Times New Roman" w:hAnsi="Times New Roman" w:eastAsia="宋体" w:cs="Times New Roman"/>
                <w:b w:val="0"/>
                <w:bCs w:val="0"/>
                <w:color w:val="auto"/>
                <w:sz w:val="24"/>
                <w:lang w:val="en-US" w:eastAsia="zh-CN"/>
              </w:rPr>
              <w:t>。</w:t>
            </w:r>
          </w:p>
          <w:p w14:paraId="353DF0DE">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（7）硅烷槽8：</w:t>
            </w:r>
            <w:r>
              <w:rPr>
                <w:rFonts w:hint="eastAsia" w:ascii="Times New Roman" w:hAnsi="Times New Roman" w:eastAsia="宋体" w:cs="Times New Roman"/>
                <w:b w:val="0"/>
                <w:bCs w:val="0"/>
                <w:color w:val="auto"/>
                <w:sz w:val="24"/>
                <w:lang w:val="en-US" w:eastAsia="zh-CN"/>
              </w:rPr>
              <w:t>硅烷槽中采用硅烷剂对其进行浸泡清洗，</w:t>
            </w:r>
            <w:r>
              <w:rPr>
                <w:rFonts w:hint="eastAsia" w:cs="Times New Roman"/>
                <w:b w:val="0"/>
                <w:bCs w:val="0"/>
                <w:color w:val="auto"/>
                <w:sz w:val="24"/>
                <w:lang w:val="en-US" w:eastAsia="zh-CN"/>
              </w:rPr>
              <w:t>硅烷槽</w:t>
            </w:r>
            <w:r>
              <w:rPr>
                <w:rFonts w:hint="eastAsia" w:ascii="Times New Roman" w:hAnsi="Times New Roman" w:eastAsia="宋体" w:cs="Times New Roman"/>
                <w:b w:val="0"/>
                <w:bCs w:val="0"/>
                <w:color w:val="auto"/>
                <w:sz w:val="24"/>
                <w:lang w:val="en-US" w:eastAsia="zh-CN"/>
              </w:rPr>
              <w:t>溶液配比为硅烷剂：自来水=5%：97%。硅烷剂循环使用，定期补充，主要作用是在金属件表面形成一层硅烷膜，以便为后续的喷粉打下基础。硅烷在常温下进行，时间10min，每3个月倒槽清洗一次并更换槽液。</w:t>
            </w:r>
          </w:p>
          <w:p w14:paraId="7FAD764E">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t>
            </w:r>
            <w:r>
              <w:rPr>
                <w:rFonts w:hint="eastAsia" w:cs="Times New Roman"/>
                <w:b w:val="0"/>
                <w:bCs w:val="0"/>
                <w:color w:val="auto"/>
                <w:sz w:val="24"/>
                <w:lang w:val="en-US" w:eastAsia="zh-CN"/>
              </w:rPr>
              <w:t>S14</w:t>
            </w:r>
            <w:r>
              <w:rPr>
                <w:rFonts w:hint="eastAsia" w:ascii="Times New Roman" w:hAnsi="Times New Roman" w:eastAsia="宋体" w:cs="Times New Roman"/>
                <w:b w:val="0"/>
                <w:bCs w:val="0"/>
                <w:color w:val="auto"/>
                <w:sz w:val="24"/>
                <w:lang w:val="en-US" w:eastAsia="zh-CN"/>
              </w:rPr>
              <w:t>硅烷</w:t>
            </w:r>
            <w:r>
              <w:rPr>
                <w:rFonts w:hint="eastAsia" w:cs="Times New Roman"/>
                <w:b w:val="0"/>
                <w:bCs w:val="0"/>
                <w:color w:val="auto"/>
                <w:sz w:val="24"/>
                <w:lang w:val="en-US" w:eastAsia="zh-CN"/>
              </w:rPr>
              <w:t>废液，W4-3硅烷洗槽废水</w:t>
            </w:r>
            <w:r>
              <w:rPr>
                <w:rFonts w:hint="eastAsia" w:ascii="Times New Roman" w:hAnsi="Times New Roman" w:eastAsia="宋体" w:cs="Times New Roman"/>
                <w:b w:val="0"/>
                <w:bCs w:val="0"/>
                <w:color w:val="auto"/>
                <w:sz w:val="24"/>
                <w:lang w:val="en-US" w:eastAsia="zh-CN"/>
              </w:rPr>
              <w:t>。</w:t>
            </w:r>
          </w:p>
          <w:p w14:paraId="0C6B0E59">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（8）水洗槽9、水洗槽10、水洗槽11、水洗槽12：</w:t>
            </w:r>
            <w:r>
              <w:rPr>
                <w:rFonts w:hint="eastAsia" w:ascii="Times New Roman" w:hAnsi="Times New Roman" w:eastAsia="宋体" w:cs="Times New Roman"/>
                <w:b w:val="0"/>
                <w:bCs w:val="0"/>
                <w:color w:val="auto"/>
                <w:sz w:val="24"/>
                <w:lang w:val="en-US" w:eastAsia="zh-CN"/>
              </w:rPr>
              <w:t>硅烷槽处理后进行四级浸泡水洗，水洗槽均为常温，停留时间均为20s，每日倒槽排放一次。</w:t>
            </w:r>
          </w:p>
          <w:p w14:paraId="4B50E941">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产污环节：W</w:t>
            </w:r>
            <w:r>
              <w:rPr>
                <w:rFonts w:hint="eastAsia" w:cs="Times New Roman"/>
                <w:b w:val="0"/>
                <w:bCs w:val="0"/>
                <w:color w:val="auto"/>
                <w:sz w:val="24"/>
                <w:lang w:val="en-US" w:eastAsia="zh-CN"/>
              </w:rPr>
              <w:t>4-4硅烷清洗</w:t>
            </w:r>
            <w:r>
              <w:rPr>
                <w:rFonts w:hint="eastAsia" w:ascii="Times New Roman" w:hAnsi="Times New Roman" w:eastAsia="宋体" w:cs="Times New Roman"/>
                <w:b w:val="0"/>
                <w:bCs w:val="0"/>
                <w:color w:val="auto"/>
                <w:sz w:val="24"/>
                <w:lang w:val="en-US" w:eastAsia="zh-CN"/>
              </w:rPr>
              <w:t>废水。</w:t>
            </w:r>
          </w:p>
          <w:p w14:paraId="6D9E37A5">
            <w:pPr>
              <w:widowControl/>
              <w:snapToGrid w:val="0"/>
              <w:spacing w:line="360" w:lineRule="auto"/>
              <w:ind w:firstLine="482"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（9）自然晾干：</w:t>
            </w:r>
            <w:r>
              <w:rPr>
                <w:rFonts w:hint="eastAsia" w:ascii="Times New Roman" w:hAnsi="Times New Roman" w:eastAsia="宋体" w:cs="Times New Roman"/>
                <w:b w:val="0"/>
                <w:bCs w:val="0"/>
                <w:color w:val="auto"/>
                <w:sz w:val="24"/>
                <w:lang w:val="en-US" w:eastAsia="zh-CN"/>
              </w:rPr>
              <w:t>经水洗后的工件在室内自然晾干，此工序不产生污染。</w:t>
            </w:r>
          </w:p>
          <w:p w14:paraId="1680064E">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（10）静电喷粉：</w:t>
            </w:r>
            <w:r>
              <w:rPr>
                <w:rFonts w:hint="eastAsia" w:ascii="Times New Roman" w:hAnsi="Times New Roman" w:eastAsia="宋体" w:cs="Times New Roman"/>
                <w:b w:val="0"/>
                <w:bCs w:val="0"/>
                <w:color w:val="auto"/>
                <w:sz w:val="24"/>
                <w:lang w:val="en-US" w:eastAsia="zh-CN"/>
              </w:rPr>
              <w:t>项目喷粉采用静电喷粉方式，喷粉工序在常温下进行。喷粉房工作时，工件通过输送系统进入喷粉房（3m*3m*6m），经喷枪（2把）进行喷粉作业。静电发生器通过喷枪枪口的电极针向工件方向释放高压静电（负极），该高压静电使得从喷枪口喷出的粉末涂料、压缩空气混合物以及电极周围空气电离，工件经过挂具输送系统（接地），这样就在喷枪和工件之间形成电场，粉末涂料在电场力和压缩空气双重推动下到达工件表面，从而在工件表面形成一层均匀的涂层。</w:t>
            </w:r>
          </w:p>
          <w:p w14:paraId="7231DA58">
            <w:pPr>
              <w:widowControl/>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产污环节：G</w:t>
            </w:r>
            <w:r>
              <w:rPr>
                <w:rFonts w:hint="eastAsia" w:cs="Times New Roman"/>
                <w:b w:val="0"/>
                <w:bCs w:val="0"/>
                <w:color w:val="auto"/>
                <w:sz w:val="24"/>
                <w:lang w:val="en-US" w:eastAsia="zh-CN"/>
              </w:rPr>
              <w:t>5</w:t>
            </w:r>
            <w:r>
              <w:rPr>
                <w:rFonts w:hint="eastAsia" w:ascii="Times New Roman" w:hAnsi="Times New Roman" w:eastAsia="宋体" w:cs="Times New Roman"/>
                <w:b w:val="0"/>
                <w:bCs w:val="0"/>
                <w:color w:val="auto"/>
                <w:sz w:val="24"/>
                <w:lang w:val="en-US" w:eastAsia="zh-CN"/>
              </w:rPr>
              <w:t>喷粉废气、N噪声。</w:t>
            </w:r>
          </w:p>
          <w:p w14:paraId="26125DB8">
            <w:pPr>
              <w:widowControl/>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（11）固化烘干：</w:t>
            </w:r>
            <w:r>
              <w:rPr>
                <w:rFonts w:hint="eastAsia" w:ascii="Times New Roman" w:hAnsi="Times New Roman" w:eastAsia="宋体" w:cs="Times New Roman"/>
                <w:b w:val="0"/>
                <w:bCs w:val="0"/>
                <w:color w:val="auto"/>
                <w:sz w:val="24"/>
                <w:lang w:val="en-US" w:eastAsia="zh-CN"/>
              </w:rPr>
              <w:t>喷粉好的工件置于烘房内（3m*3m*6m）进行固化烘干，以使粉末熔化、流平，最后固化形成坚固的粉末涂层。该工序固化温度约200℃，固化时间为30min。固化采用液化气燃烧加热，</w:t>
            </w:r>
            <w:r>
              <w:rPr>
                <w:rFonts w:hint="eastAsia"/>
                <w:b w:val="0"/>
                <w:bCs w:val="0"/>
                <w:color w:val="auto"/>
                <w:sz w:val="24"/>
                <w:lang w:val="en-US" w:eastAsia="zh-CN"/>
              </w:rPr>
              <w:t>以天然气为燃料，燃烧产生的高温烟气在直燃换热室内直接与循环风混合，达到加热循环风的目的，天然气燃烧过程中产生的SO</w:t>
            </w:r>
            <w:r>
              <w:rPr>
                <w:rFonts w:hint="eastAsia"/>
                <w:b w:val="0"/>
                <w:bCs w:val="0"/>
                <w:color w:val="auto"/>
                <w:sz w:val="24"/>
                <w:vertAlign w:val="subscript"/>
                <w:lang w:val="en-US" w:eastAsia="zh-CN"/>
              </w:rPr>
              <w:t>2</w:t>
            </w:r>
            <w:r>
              <w:rPr>
                <w:rFonts w:hint="eastAsia"/>
                <w:b w:val="0"/>
                <w:bCs w:val="0"/>
                <w:color w:val="auto"/>
                <w:sz w:val="24"/>
                <w:lang w:val="en-US" w:eastAsia="zh-CN"/>
              </w:rPr>
              <w:t>、NOx、颗粒物等随循环风进入烘房。</w:t>
            </w:r>
          </w:p>
          <w:p w14:paraId="080C6EBF">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产污环节：G</w:t>
            </w:r>
            <w:r>
              <w:rPr>
                <w:rFonts w:hint="eastAsia" w:cs="Times New Roman"/>
                <w:b w:val="0"/>
                <w:bCs w:val="0"/>
                <w:color w:val="auto"/>
                <w:sz w:val="24"/>
                <w:lang w:val="en-US" w:eastAsia="zh-CN"/>
              </w:rPr>
              <w:t>6</w:t>
            </w:r>
            <w:r>
              <w:rPr>
                <w:rFonts w:hint="eastAsia" w:ascii="Times New Roman" w:hAnsi="Times New Roman" w:eastAsia="宋体" w:cs="Times New Roman"/>
                <w:b w:val="0"/>
                <w:bCs w:val="0"/>
                <w:color w:val="auto"/>
                <w:sz w:val="24"/>
                <w:lang w:val="en-US" w:eastAsia="zh-CN"/>
              </w:rPr>
              <w:t>固化废气（非甲烷总烃、颗粒物、二氧化硫、氮氧化物）、N噪声。</w:t>
            </w:r>
          </w:p>
          <w:p w14:paraId="02955186">
            <w:pPr>
              <w:widowControl/>
              <w:snapToGrid w:val="0"/>
              <w:spacing w:line="360" w:lineRule="auto"/>
              <w:ind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喷粉工艺具体参数见下表。</w:t>
            </w:r>
          </w:p>
          <w:p w14:paraId="07EE312D">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喷粉工艺参数</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12"/>
              <w:gridCol w:w="1078"/>
              <w:gridCol w:w="1104"/>
              <w:gridCol w:w="1077"/>
              <w:gridCol w:w="1105"/>
              <w:gridCol w:w="3102"/>
            </w:tblGrid>
            <w:tr w14:paraId="63F3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16F12E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序号</w:t>
                  </w:r>
                </w:p>
              </w:tc>
              <w:tc>
                <w:tcPr>
                  <w:tcW w:w="1112" w:type="dxa"/>
                  <w:vAlign w:val="center"/>
                </w:tcPr>
                <w:p w14:paraId="6886FD0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工艺名称</w:t>
                  </w:r>
                </w:p>
              </w:tc>
              <w:tc>
                <w:tcPr>
                  <w:tcW w:w="1078" w:type="dxa"/>
                  <w:vAlign w:val="center"/>
                </w:tcPr>
                <w:p w14:paraId="3D66EB3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工艺温度</w:t>
                  </w:r>
                </w:p>
              </w:tc>
              <w:tc>
                <w:tcPr>
                  <w:tcW w:w="1104" w:type="dxa"/>
                  <w:vAlign w:val="center"/>
                </w:tcPr>
                <w:p w14:paraId="62EDFA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处理方式</w:t>
                  </w:r>
                </w:p>
              </w:tc>
              <w:tc>
                <w:tcPr>
                  <w:tcW w:w="1077" w:type="dxa"/>
                  <w:vAlign w:val="center"/>
                </w:tcPr>
                <w:p w14:paraId="4CAB3D5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处理时间</w:t>
                  </w:r>
                </w:p>
              </w:tc>
              <w:tc>
                <w:tcPr>
                  <w:tcW w:w="1105" w:type="dxa"/>
                  <w:vAlign w:val="center"/>
                </w:tcPr>
                <w:p w14:paraId="71B56B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更换频次</w:t>
                  </w:r>
                </w:p>
              </w:tc>
              <w:tc>
                <w:tcPr>
                  <w:tcW w:w="3102" w:type="dxa"/>
                  <w:vAlign w:val="center"/>
                </w:tcPr>
                <w:p w14:paraId="6C77B7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去向</w:t>
                  </w:r>
                </w:p>
              </w:tc>
            </w:tr>
            <w:tr w14:paraId="2372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7553EC5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w:t>
                  </w:r>
                </w:p>
              </w:tc>
              <w:tc>
                <w:tcPr>
                  <w:tcW w:w="1112" w:type="dxa"/>
                  <w:shd w:val="clear" w:color="auto" w:fill="auto"/>
                  <w:vAlign w:val="center"/>
                </w:tcPr>
                <w:p w14:paraId="0623678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脱脂槽1</w:t>
                  </w:r>
                </w:p>
              </w:tc>
              <w:tc>
                <w:tcPr>
                  <w:tcW w:w="1078" w:type="dxa"/>
                  <w:shd w:val="clear" w:color="auto" w:fill="auto"/>
                  <w:vAlign w:val="center"/>
                </w:tcPr>
                <w:p w14:paraId="76EF807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0306719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05004A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30min</w:t>
                  </w:r>
                </w:p>
              </w:tc>
              <w:tc>
                <w:tcPr>
                  <w:tcW w:w="1105" w:type="dxa"/>
                  <w:shd w:val="clear" w:color="auto" w:fill="auto"/>
                  <w:vAlign w:val="center"/>
                </w:tcPr>
                <w:p w14:paraId="0F98F68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2个月</w:t>
                  </w:r>
                </w:p>
              </w:tc>
              <w:tc>
                <w:tcPr>
                  <w:tcW w:w="3102" w:type="dxa"/>
                  <w:vAlign w:val="center"/>
                </w:tcPr>
                <w:p w14:paraId="7C2CBCB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更换废液，委外处置</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洗槽废水，进入废水处理设施处</w:t>
                  </w:r>
                </w:p>
              </w:tc>
            </w:tr>
            <w:tr w14:paraId="4083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2984256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w:t>
                  </w:r>
                </w:p>
              </w:tc>
              <w:tc>
                <w:tcPr>
                  <w:tcW w:w="1112" w:type="dxa"/>
                  <w:shd w:val="clear" w:color="auto" w:fill="auto"/>
                  <w:vAlign w:val="center"/>
                </w:tcPr>
                <w:p w14:paraId="638D74D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水洗槽</w:t>
                  </w:r>
                  <w:r>
                    <w:rPr>
                      <w:rFonts w:hint="eastAsia" w:eastAsia="仿宋" w:cs="Times New Roman"/>
                      <w:b w:val="0"/>
                      <w:bCs w:val="0"/>
                      <w:color w:val="auto"/>
                      <w:sz w:val="21"/>
                      <w:szCs w:val="21"/>
                      <w:vertAlign w:val="baseline"/>
                      <w:lang w:val="en-US" w:eastAsia="zh-CN"/>
                    </w:rPr>
                    <w:t>2</w:t>
                  </w:r>
                </w:p>
              </w:tc>
              <w:tc>
                <w:tcPr>
                  <w:tcW w:w="1078" w:type="dxa"/>
                  <w:shd w:val="clear" w:color="auto" w:fill="auto"/>
                  <w:vAlign w:val="center"/>
                </w:tcPr>
                <w:p w14:paraId="4050AA5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43CE1A9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5A83C39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2B3869D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5A36593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1653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73A7216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w:t>
                  </w:r>
                </w:p>
              </w:tc>
              <w:tc>
                <w:tcPr>
                  <w:tcW w:w="1112" w:type="dxa"/>
                  <w:shd w:val="clear" w:color="auto" w:fill="auto"/>
                  <w:vAlign w:val="center"/>
                </w:tcPr>
                <w:p w14:paraId="6A4B51F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酸洗槽</w:t>
                  </w:r>
                  <w:r>
                    <w:rPr>
                      <w:rFonts w:hint="eastAsia" w:eastAsia="仿宋" w:cs="Times New Roman"/>
                      <w:b w:val="0"/>
                      <w:bCs w:val="0"/>
                      <w:color w:val="auto"/>
                      <w:sz w:val="21"/>
                      <w:szCs w:val="21"/>
                      <w:vertAlign w:val="baseline"/>
                      <w:lang w:val="en-US" w:eastAsia="zh-CN"/>
                    </w:rPr>
                    <w:t>3</w:t>
                  </w:r>
                </w:p>
              </w:tc>
              <w:tc>
                <w:tcPr>
                  <w:tcW w:w="1078" w:type="dxa"/>
                  <w:shd w:val="clear" w:color="auto" w:fill="auto"/>
                  <w:vAlign w:val="center"/>
                </w:tcPr>
                <w:p w14:paraId="552B2D8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0ADBCA4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4A55338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5min</w:t>
                  </w:r>
                </w:p>
              </w:tc>
              <w:tc>
                <w:tcPr>
                  <w:tcW w:w="1105" w:type="dxa"/>
                  <w:shd w:val="clear" w:color="auto" w:fill="auto"/>
                  <w:vAlign w:val="center"/>
                </w:tcPr>
                <w:p w14:paraId="415FEB6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2个月</w:t>
                  </w:r>
                </w:p>
              </w:tc>
              <w:tc>
                <w:tcPr>
                  <w:tcW w:w="3102" w:type="dxa"/>
                  <w:vAlign w:val="center"/>
                </w:tcPr>
                <w:p w14:paraId="6AA7E8E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更换废液，委外处置</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洗槽废水，进入废水处理设施处</w:t>
                  </w:r>
                </w:p>
              </w:tc>
            </w:tr>
            <w:tr w14:paraId="7271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0CD6A9A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4</w:t>
                  </w:r>
                </w:p>
              </w:tc>
              <w:tc>
                <w:tcPr>
                  <w:tcW w:w="1112" w:type="dxa"/>
                  <w:shd w:val="clear" w:color="auto" w:fill="auto"/>
                  <w:vAlign w:val="center"/>
                </w:tcPr>
                <w:p w14:paraId="64D3BD1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水洗槽4</w:t>
                  </w:r>
                </w:p>
              </w:tc>
              <w:tc>
                <w:tcPr>
                  <w:tcW w:w="1078" w:type="dxa"/>
                  <w:shd w:val="clear" w:color="auto" w:fill="auto"/>
                  <w:vAlign w:val="center"/>
                </w:tcPr>
                <w:p w14:paraId="7008C67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7FFB6E7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1BE1773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20964DB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5886121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094F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E1DD14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5</w:t>
                  </w:r>
                </w:p>
              </w:tc>
              <w:tc>
                <w:tcPr>
                  <w:tcW w:w="1112" w:type="dxa"/>
                  <w:shd w:val="clear" w:color="auto" w:fill="auto"/>
                  <w:vAlign w:val="center"/>
                </w:tcPr>
                <w:p w14:paraId="45F0E3A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表调槽</w:t>
                  </w:r>
                  <w:r>
                    <w:rPr>
                      <w:rFonts w:hint="eastAsia" w:eastAsia="仿宋" w:cs="Times New Roman"/>
                      <w:b w:val="0"/>
                      <w:bCs w:val="0"/>
                      <w:color w:val="auto"/>
                      <w:sz w:val="21"/>
                      <w:szCs w:val="21"/>
                      <w:vertAlign w:val="baseline"/>
                      <w:lang w:val="en-US" w:eastAsia="zh-CN"/>
                    </w:rPr>
                    <w:t>5</w:t>
                  </w:r>
                </w:p>
              </w:tc>
              <w:tc>
                <w:tcPr>
                  <w:tcW w:w="1078" w:type="dxa"/>
                  <w:shd w:val="clear" w:color="auto" w:fill="auto"/>
                  <w:vAlign w:val="center"/>
                </w:tcPr>
                <w:p w14:paraId="04B2B8C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0C10782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1F9F350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10min</w:t>
                  </w:r>
                </w:p>
              </w:tc>
              <w:tc>
                <w:tcPr>
                  <w:tcW w:w="1105" w:type="dxa"/>
                  <w:shd w:val="clear" w:color="auto" w:fill="auto"/>
                  <w:vAlign w:val="center"/>
                </w:tcPr>
                <w:p w14:paraId="646759C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3个月</w:t>
                  </w:r>
                </w:p>
              </w:tc>
              <w:tc>
                <w:tcPr>
                  <w:tcW w:w="3102" w:type="dxa"/>
                  <w:vAlign w:val="center"/>
                </w:tcPr>
                <w:p w14:paraId="4EFFA97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更换废液，委外处置</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洗槽废水，进入废水处理设施处</w:t>
                  </w:r>
                </w:p>
              </w:tc>
            </w:tr>
            <w:tr w14:paraId="55C0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03E9A1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6</w:t>
                  </w:r>
                </w:p>
              </w:tc>
              <w:tc>
                <w:tcPr>
                  <w:tcW w:w="1112" w:type="dxa"/>
                  <w:shd w:val="clear" w:color="auto" w:fill="auto"/>
                  <w:vAlign w:val="center"/>
                </w:tcPr>
                <w:p w14:paraId="0DBE3E1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水洗槽</w:t>
                  </w:r>
                  <w:r>
                    <w:rPr>
                      <w:rFonts w:hint="eastAsia" w:eastAsia="仿宋" w:cs="Times New Roman"/>
                      <w:b w:val="0"/>
                      <w:bCs w:val="0"/>
                      <w:color w:val="auto"/>
                      <w:sz w:val="21"/>
                      <w:szCs w:val="21"/>
                      <w:vertAlign w:val="baseline"/>
                      <w:lang w:val="en-US" w:eastAsia="zh-CN"/>
                    </w:rPr>
                    <w:t>6</w:t>
                  </w:r>
                </w:p>
              </w:tc>
              <w:tc>
                <w:tcPr>
                  <w:tcW w:w="1078" w:type="dxa"/>
                  <w:shd w:val="clear" w:color="auto" w:fill="auto"/>
                  <w:vAlign w:val="center"/>
                </w:tcPr>
                <w:p w14:paraId="391313D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53E94D6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07E0757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0776836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024C67D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1CB7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E46914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7</w:t>
                  </w:r>
                </w:p>
              </w:tc>
              <w:tc>
                <w:tcPr>
                  <w:tcW w:w="1112" w:type="dxa"/>
                  <w:shd w:val="clear" w:color="auto" w:fill="auto"/>
                  <w:vAlign w:val="center"/>
                </w:tcPr>
                <w:p w14:paraId="0BF692E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水洗槽7</w:t>
                  </w:r>
                </w:p>
              </w:tc>
              <w:tc>
                <w:tcPr>
                  <w:tcW w:w="1078" w:type="dxa"/>
                  <w:shd w:val="clear" w:color="auto" w:fill="auto"/>
                  <w:vAlign w:val="center"/>
                </w:tcPr>
                <w:p w14:paraId="78A3705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13D4B72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2691C2C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5E132C9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09936C4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3475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593C74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8</w:t>
                  </w:r>
                </w:p>
              </w:tc>
              <w:tc>
                <w:tcPr>
                  <w:tcW w:w="1112" w:type="dxa"/>
                  <w:shd w:val="clear" w:color="auto" w:fill="auto"/>
                  <w:vAlign w:val="center"/>
                </w:tcPr>
                <w:p w14:paraId="09FA904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硅烷槽</w:t>
                  </w:r>
                  <w:r>
                    <w:rPr>
                      <w:rFonts w:hint="eastAsia" w:eastAsia="仿宋" w:cs="Times New Roman"/>
                      <w:b w:val="0"/>
                      <w:bCs w:val="0"/>
                      <w:color w:val="auto"/>
                      <w:sz w:val="21"/>
                      <w:szCs w:val="21"/>
                      <w:vertAlign w:val="baseline"/>
                      <w:lang w:val="en-US" w:eastAsia="zh-CN"/>
                    </w:rPr>
                    <w:t>8</w:t>
                  </w:r>
                </w:p>
              </w:tc>
              <w:tc>
                <w:tcPr>
                  <w:tcW w:w="1078" w:type="dxa"/>
                  <w:shd w:val="clear" w:color="auto" w:fill="auto"/>
                  <w:vAlign w:val="center"/>
                </w:tcPr>
                <w:p w14:paraId="01E8DA5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52E8274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6B3C674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10min</w:t>
                  </w:r>
                </w:p>
              </w:tc>
              <w:tc>
                <w:tcPr>
                  <w:tcW w:w="1105" w:type="dxa"/>
                  <w:shd w:val="clear" w:color="auto" w:fill="auto"/>
                  <w:vAlign w:val="center"/>
                </w:tcPr>
                <w:p w14:paraId="1DE5223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3个月</w:t>
                  </w:r>
                </w:p>
              </w:tc>
              <w:tc>
                <w:tcPr>
                  <w:tcW w:w="3102" w:type="dxa"/>
                  <w:vAlign w:val="center"/>
                </w:tcPr>
                <w:p w14:paraId="1EECD89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更换废液，委外处置</w:t>
                  </w:r>
                  <w:r>
                    <w:rPr>
                      <w:rFonts w:hint="eastAsia" w:eastAsia="仿宋" w:cs="Times New Roman"/>
                      <w:b w:val="0"/>
                      <w:bCs w:val="0"/>
                      <w:color w:val="auto"/>
                      <w:sz w:val="21"/>
                      <w:szCs w:val="21"/>
                      <w:vertAlign w:val="baseline"/>
                      <w:lang w:val="en-US" w:eastAsia="zh-CN"/>
                    </w:rPr>
                    <w:t>；</w:t>
                  </w:r>
                  <w:r>
                    <w:rPr>
                      <w:rFonts w:hint="default" w:ascii="Times New Roman" w:hAnsi="Times New Roman" w:eastAsia="仿宋" w:cs="Times New Roman"/>
                      <w:b w:val="0"/>
                      <w:bCs w:val="0"/>
                      <w:color w:val="auto"/>
                      <w:sz w:val="21"/>
                      <w:szCs w:val="21"/>
                      <w:vertAlign w:val="baseline"/>
                      <w:lang w:val="en-US" w:eastAsia="zh-CN"/>
                    </w:rPr>
                    <w:t>洗槽废水，进入废水处理设施处</w:t>
                  </w:r>
                </w:p>
              </w:tc>
            </w:tr>
            <w:tr w14:paraId="6665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3F4139C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9</w:t>
                  </w:r>
                </w:p>
              </w:tc>
              <w:tc>
                <w:tcPr>
                  <w:tcW w:w="1112" w:type="dxa"/>
                  <w:shd w:val="clear" w:color="auto" w:fill="auto"/>
                  <w:vAlign w:val="center"/>
                </w:tcPr>
                <w:p w14:paraId="23BD364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水洗槽</w:t>
                  </w:r>
                  <w:r>
                    <w:rPr>
                      <w:rFonts w:hint="eastAsia" w:eastAsia="仿宋" w:cs="Times New Roman"/>
                      <w:b w:val="0"/>
                      <w:bCs w:val="0"/>
                      <w:color w:val="auto"/>
                      <w:sz w:val="21"/>
                      <w:szCs w:val="21"/>
                      <w:vertAlign w:val="baseline"/>
                      <w:lang w:val="en-US" w:eastAsia="zh-CN"/>
                    </w:rPr>
                    <w:t>9</w:t>
                  </w:r>
                </w:p>
              </w:tc>
              <w:tc>
                <w:tcPr>
                  <w:tcW w:w="1078" w:type="dxa"/>
                  <w:shd w:val="clear" w:color="auto" w:fill="auto"/>
                  <w:vAlign w:val="center"/>
                </w:tcPr>
                <w:p w14:paraId="3393EEF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5C59428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42E658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43563C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6951450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46DD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2E3F967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10</w:t>
                  </w:r>
                </w:p>
              </w:tc>
              <w:tc>
                <w:tcPr>
                  <w:tcW w:w="1112" w:type="dxa"/>
                  <w:shd w:val="clear" w:color="auto" w:fill="auto"/>
                  <w:vAlign w:val="center"/>
                </w:tcPr>
                <w:p w14:paraId="49F34C1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水洗槽10</w:t>
                  </w:r>
                </w:p>
              </w:tc>
              <w:tc>
                <w:tcPr>
                  <w:tcW w:w="1078" w:type="dxa"/>
                  <w:shd w:val="clear" w:color="auto" w:fill="auto"/>
                  <w:vAlign w:val="center"/>
                </w:tcPr>
                <w:p w14:paraId="3C5DFE2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1E81AF3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52696EE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10258C4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16FD1C2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58CC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10E2942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11</w:t>
                  </w:r>
                </w:p>
              </w:tc>
              <w:tc>
                <w:tcPr>
                  <w:tcW w:w="1112" w:type="dxa"/>
                  <w:shd w:val="clear" w:color="auto" w:fill="auto"/>
                  <w:vAlign w:val="center"/>
                </w:tcPr>
                <w:p w14:paraId="6C0961F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水洗槽11</w:t>
                  </w:r>
                </w:p>
              </w:tc>
              <w:tc>
                <w:tcPr>
                  <w:tcW w:w="1078" w:type="dxa"/>
                  <w:shd w:val="clear" w:color="auto" w:fill="auto"/>
                  <w:vAlign w:val="center"/>
                </w:tcPr>
                <w:p w14:paraId="41359D0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1652376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2DBE200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66BE812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74B6FD9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33CD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19273BC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12</w:t>
                  </w:r>
                </w:p>
              </w:tc>
              <w:tc>
                <w:tcPr>
                  <w:tcW w:w="1112" w:type="dxa"/>
                  <w:shd w:val="clear" w:color="auto" w:fill="auto"/>
                  <w:vAlign w:val="center"/>
                </w:tcPr>
                <w:p w14:paraId="16DE2C4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default" w:eastAsia="仿宋" w:cs="Times New Roman"/>
                      <w:b w:val="0"/>
                      <w:bCs w:val="0"/>
                      <w:color w:val="auto"/>
                      <w:sz w:val="21"/>
                      <w:szCs w:val="21"/>
                      <w:vertAlign w:val="baseline"/>
                      <w:lang w:val="en-US" w:eastAsia="zh-CN"/>
                    </w:rPr>
                    <w:t>水洗槽</w:t>
                  </w:r>
                  <w:r>
                    <w:rPr>
                      <w:rFonts w:hint="eastAsia" w:eastAsia="仿宋" w:cs="Times New Roman"/>
                      <w:b w:val="0"/>
                      <w:bCs w:val="0"/>
                      <w:color w:val="auto"/>
                      <w:sz w:val="21"/>
                      <w:szCs w:val="21"/>
                      <w:vertAlign w:val="baseline"/>
                      <w:lang w:val="en-US" w:eastAsia="zh-CN"/>
                    </w:rPr>
                    <w:t>12</w:t>
                  </w:r>
                </w:p>
              </w:tc>
              <w:tc>
                <w:tcPr>
                  <w:tcW w:w="1078" w:type="dxa"/>
                  <w:shd w:val="clear" w:color="auto" w:fill="auto"/>
                  <w:vAlign w:val="center"/>
                </w:tcPr>
                <w:p w14:paraId="611A279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shd w:val="clear" w:color="auto" w:fill="auto"/>
                  <w:vAlign w:val="center"/>
                </w:tcPr>
                <w:p w14:paraId="2C79712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浸泡</w:t>
                  </w:r>
                </w:p>
              </w:tc>
              <w:tc>
                <w:tcPr>
                  <w:tcW w:w="1077" w:type="dxa"/>
                  <w:shd w:val="clear" w:color="auto" w:fill="auto"/>
                  <w:vAlign w:val="center"/>
                </w:tcPr>
                <w:p w14:paraId="1FCD882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20s</w:t>
                  </w:r>
                </w:p>
              </w:tc>
              <w:tc>
                <w:tcPr>
                  <w:tcW w:w="1105" w:type="dxa"/>
                  <w:shd w:val="clear" w:color="auto" w:fill="auto"/>
                  <w:vAlign w:val="center"/>
                </w:tcPr>
                <w:p w14:paraId="7D9E6E9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每天</w:t>
                  </w:r>
                </w:p>
              </w:tc>
              <w:tc>
                <w:tcPr>
                  <w:tcW w:w="3102" w:type="dxa"/>
                  <w:vAlign w:val="center"/>
                </w:tcPr>
                <w:p w14:paraId="58E654B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清槽废水，进入废水处理设施处</w:t>
                  </w:r>
                </w:p>
              </w:tc>
            </w:tr>
            <w:tr w14:paraId="271B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38D5B13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13</w:t>
                  </w:r>
                </w:p>
              </w:tc>
              <w:tc>
                <w:tcPr>
                  <w:tcW w:w="1112" w:type="dxa"/>
                  <w:vAlign w:val="center"/>
                </w:tcPr>
                <w:p w14:paraId="1FAF0D2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晾干</w:t>
                  </w:r>
                </w:p>
              </w:tc>
              <w:tc>
                <w:tcPr>
                  <w:tcW w:w="1078" w:type="dxa"/>
                  <w:vAlign w:val="center"/>
                </w:tcPr>
                <w:p w14:paraId="724164B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vAlign w:val="center"/>
                </w:tcPr>
                <w:p w14:paraId="2B3D94E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077" w:type="dxa"/>
                  <w:vAlign w:val="center"/>
                </w:tcPr>
                <w:p w14:paraId="7996265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10min</w:t>
                  </w:r>
                </w:p>
              </w:tc>
              <w:tc>
                <w:tcPr>
                  <w:tcW w:w="1105" w:type="dxa"/>
                  <w:vAlign w:val="center"/>
                </w:tcPr>
                <w:p w14:paraId="7DC8496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3102" w:type="dxa"/>
                  <w:vAlign w:val="center"/>
                </w:tcPr>
                <w:p w14:paraId="3D85FC4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r w14:paraId="69BC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67156D5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14</w:t>
                  </w:r>
                </w:p>
              </w:tc>
              <w:tc>
                <w:tcPr>
                  <w:tcW w:w="1112" w:type="dxa"/>
                  <w:vAlign w:val="center"/>
                </w:tcPr>
                <w:p w14:paraId="3F28D29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喷粉</w:t>
                  </w:r>
                </w:p>
              </w:tc>
              <w:tc>
                <w:tcPr>
                  <w:tcW w:w="1078" w:type="dxa"/>
                  <w:vAlign w:val="center"/>
                </w:tcPr>
                <w:p w14:paraId="2415AC8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常温</w:t>
                  </w:r>
                </w:p>
              </w:tc>
              <w:tc>
                <w:tcPr>
                  <w:tcW w:w="1104" w:type="dxa"/>
                  <w:vAlign w:val="center"/>
                </w:tcPr>
                <w:p w14:paraId="69DA800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喷涂</w:t>
                  </w:r>
                </w:p>
              </w:tc>
              <w:tc>
                <w:tcPr>
                  <w:tcW w:w="1077" w:type="dxa"/>
                  <w:vAlign w:val="center"/>
                </w:tcPr>
                <w:p w14:paraId="01C9468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1105" w:type="dxa"/>
                  <w:vAlign w:val="center"/>
                </w:tcPr>
                <w:p w14:paraId="3EDA1AE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3102" w:type="dxa"/>
                  <w:vAlign w:val="center"/>
                </w:tcPr>
                <w:p w14:paraId="55972D9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r w14:paraId="6A28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5E40C68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15</w:t>
                  </w:r>
                </w:p>
              </w:tc>
              <w:tc>
                <w:tcPr>
                  <w:tcW w:w="1112" w:type="dxa"/>
                  <w:vAlign w:val="center"/>
                </w:tcPr>
                <w:p w14:paraId="2D0D889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固化</w:t>
                  </w:r>
                </w:p>
              </w:tc>
              <w:tc>
                <w:tcPr>
                  <w:tcW w:w="1078" w:type="dxa"/>
                  <w:vAlign w:val="center"/>
                </w:tcPr>
                <w:p w14:paraId="076DE0B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200</w:t>
                  </w:r>
                  <w:r>
                    <w:rPr>
                      <w:rFonts w:hint="default" w:ascii="Times New Roman" w:hAnsi="Times New Roman" w:eastAsia="仿宋" w:cs="Times New Roman"/>
                      <w:b w:val="0"/>
                      <w:bCs w:val="0"/>
                      <w:color w:val="auto"/>
                      <w:sz w:val="21"/>
                      <w:szCs w:val="21"/>
                      <w:vertAlign w:val="baseline"/>
                      <w:lang w:val="en-US" w:eastAsia="zh-CN"/>
                    </w:rPr>
                    <w:t>℃</w:t>
                  </w:r>
                </w:p>
              </w:tc>
              <w:tc>
                <w:tcPr>
                  <w:tcW w:w="1104" w:type="dxa"/>
                  <w:vAlign w:val="center"/>
                </w:tcPr>
                <w:p w14:paraId="0E8F09A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热风循环</w:t>
                  </w:r>
                </w:p>
              </w:tc>
              <w:tc>
                <w:tcPr>
                  <w:tcW w:w="1077" w:type="dxa"/>
                  <w:vAlign w:val="center"/>
                </w:tcPr>
                <w:p w14:paraId="5CA2D99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30min</w:t>
                  </w:r>
                </w:p>
              </w:tc>
              <w:tc>
                <w:tcPr>
                  <w:tcW w:w="1105" w:type="dxa"/>
                  <w:vAlign w:val="center"/>
                </w:tcPr>
                <w:p w14:paraId="16D5D1A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c>
                <w:tcPr>
                  <w:tcW w:w="3102" w:type="dxa"/>
                  <w:vAlign w:val="center"/>
                </w:tcPr>
                <w:p w14:paraId="23F0753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eastAsia" w:eastAsia="仿宋" w:cs="Times New Roman"/>
                      <w:b w:val="0"/>
                      <w:bCs w:val="0"/>
                      <w:color w:val="auto"/>
                      <w:sz w:val="21"/>
                      <w:szCs w:val="21"/>
                      <w:vertAlign w:val="baseline"/>
                      <w:lang w:val="en-US" w:eastAsia="zh-CN"/>
                    </w:rPr>
                    <w:t>/</w:t>
                  </w:r>
                </w:p>
              </w:tc>
            </w:tr>
          </w:tbl>
          <w:p w14:paraId="52A34948">
            <w:pPr>
              <w:widowControl/>
              <w:numPr>
                <w:ilvl w:val="0"/>
                <w:numId w:val="0"/>
              </w:numPr>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（12）</w:t>
            </w:r>
            <w:r>
              <w:rPr>
                <w:rFonts w:hint="eastAsia" w:ascii="Times New Roman" w:hAnsi="Times New Roman" w:eastAsia="宋体" w:cs="Times New Roman"/>
                <w:b/>
                <w:bCs/>
                <w:color w:val="auto"/>
                <w:sz w:val="24"/>
                <w:lang w:val="en-US" w:eastAsia="zh-CN"/>
              </w:rPr>
              <w:t>检验包装：</w:t>
            </w:r>
            <w:r>
              <w:rPr>
                <w:rFonts w:hint="eastAsia" w:ascii="Times New Roman" w:hAnsi="Times New Roman" w:eastAsia="宋体" w:cs="Times New Roman"/>
                <w:b w:val="0"/>
                <w:bCs w:val="0"/>
                <w:color w:val="auto"/>
                <w:sz w:val="24"/>
                <w:lang w:val="en-US" w:eastAsia="zh-CN"/>
              </w:rPr>
              <w:t>人工对工件表面外观进行检验。</w:t>
            </w:r>
          </w:p>
          <w:p w14:paraId="35047397">
            <w:pPr>
              <w:widowControl/>
              <w:numPr>
                <w:ilvl w:val="0"/>
                <w:numId w:val="0"/>
              </w:numPr>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产污工序：S</w:t>
            </w:r>
            <w:r>
              <w:rPr>
                <w:rFonts w:hint="eastAsia" w:cs="Times New Roman"/>
                <w:b w:val="0"/>
                <w:bCs w:val="0"/>
                <w:color w:val="auto"/>
                <w:sz w:val="24"/>
                <w:lang w:val="en-US" w:eastAsia="zh-CN"/>
              </w:rPr>
              <w:t>14</w:t>
            </w:r>
            <w:r>
              <w:rPr>
                <w:rFonts w:hint="eastAsia" w:ascii="Times New Roman" w:hAnsi="Times New Roman" w:eastAsia="宋体" w:cs="Times New Roman"/>
                <w:b w:val="0"/>
                <w:bCs w:val="0"/>
                <w:color w:val="auto"/>
                <w:sz w:val="24"/>
                <w:lang w:val="en-US" w:eastAsia="zh-CN"/>
              </w:rPr>
              <w:t>不合格品</w:t>
            </w:r>
          </w:p>
          <w:p w14:paraId="23AAFD18">
            <w:pPr>
              <w:widowControl/>
              <w:snapToGrid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其他产污环节：</w:t>
            </w:r>
          </w:p>
          <w:p w14:paraId="053F2619">
            <w:pPr>
              <w:widowControl/>
              <w:numPr>
                <w:ilvl w:val="0"/>
                <w:numId w:val="0"/>
              </w:numPr>
              <w:snapToGrid w:val="0"/>
              <w:spacing w:line="360" w:lineRule="auto"/>
              <w:ind w:firstLine="482" w:firstLineChars="200"/>
              <w:rPr>
                <w:rFonts w:hint="eastAsia" w:cs="Times New Roman"/>
                <w:b/>
                <w:bCs/>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cs="Times New Roman"/>
                <w:b w:val="0"/>
                <w:bCs w:val="0"/>
                <w:color w:val="auto"/>
                <w:sz w:val="24"/>
                <w:lang w:val="en-US" w:eastAsia="zh-CN"/>
              </w:rPr>
              <w:t>原辅料拆包产生的塑料、纸箱等</w:t>
            </w:r>
            <w:r>
              <w:rPr>
                <w:rFonts w:hint="eastAsia" w:cs="Times New Roman"/>
                <w:b/>
                <w:bCs/>
                <w:color w:val="auto"/>
                <w:sz w:val="24"/>
                <w:lang w:val="en-US" w:eastAsia="zh-CN"/>
              </w:rPr>
              <w:t>S15废包装材料；</w:t>
            </w:r>
          </w:p>
          <w:p w14:paraId="6C3B9EA5">
            <w:pPr>
              <w:widowControl/>
              <w:numPr>
                <w:ilvl w:val="0"/>
                <w:numId w:val="0"/>
              </w:numPr>
              <w:snapToGrid w:val="0"/>
              <w:spacing w:line="360" w:lineRule="auto"/>
              <w:ind w:firstLine="482" w:firstLineChars="200"/>
              <w:rPr>
                <w:rFonts w:hint="eastAsia" w:cs="Times New Roman"/>
                <w:b/>
                <w:bCs/>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cs="Times New Roman"/>
                <w:b w:val="0"/>
                <w:bCs w:val="0"/>
                <w:color w:val="auto"/>
                <w:kern w:val="2"/>
                <w:sz w:val="24"/>
                <w:szCs w:val="24"/>
                <w:lang w:val="en-US" w:eastAsia="zh-CN" w:bidi="ar-SA"/>
              </w:rPr>
              <w:t>脱脂剂、硅烷剂、表调剂、电泳漆、电泳漆色浆、盐酸、硫酸、氢氧化钠、絮凝剂、混凝剂等</w:t>
            </w:r>
            <w:r>
              <w:rPr>
                <w:rFonts w:hint="eastAsia" w:ascii="Times New Roman" w:hAnsi="Times New Roman" w:eastAsia="宋体" w:cs="Times New Roman"/>
                <w:b w:val="0"/>
                <w:bCs w:val="0"/>
                <w:color w:val="auto"/>
                <w:sz w:val="24"/>
                <w:lang w:val="en-US" w:eastAsia="zh-CN"/>
              </w:rPr>
              <w:t>产</w:t>
            </w:r>
            <w:r>
              <w:rPr>
                <w:rFonts w:hint="eastAsia" w:ascii="Times New Roman" w:hAnsi="Times New Roman" w:eastAsia="宋体" w:cs="Times New Roman"/>
                <w:color w:val="auto"/>
                <w:sz w:val="24"/>
                <w:lang w:val="en-US" w:eastAsia="zh-CN"/>
              </w:rPr>
              <w:t>生</w:t>
            </w:r>
            <w:r>
              <w:rPr>
                <w:rFonts w:hint="eastAsia" w:ascii="Times New Roman" w:hAnsi="Times New Roman" w:eastAsia="宋体" w:cs="Times New Roman"/>
                <w:b/>
                <w:bCs/>
                <w:color w:val="auto"/>
                <w:sz w:val="24"/>
                <w:lang w:val="en-US" w:eastAsia="zh-CN"/>
              </w:rPr>
              <w:t>S</w:t>
            </w:r>
            <w:r>
              <w:rPr>
                <w:rFonts w:hint="eastAsia" w:cs="Times New Roman"/>
                <w:b/>
                <w:bCs/>
                <w:color w:val="auto"/>
                <w:sz w:val="24"/>
                <w:lang w:val="en-US" w:eastAsia="zh-CN"/>
              </w:rPr>
              <w:t>16</w:t>
            </w:r>
            <w:r>
              <w:rPr>
                <w:rFonts w:hint="eastAsia" w:ascii="Times New Roman" w:hAnsi="Times New Roman" w:eastAsia="宋体" w:cs="Times New Roman"/>
                <w:b/>
                <w:bCs/>
                <w:color w:val="auto"/>
                <w:sz w:val="24"/>
                <w:lang w:val="en-US" w:eastAsia="zh-CN"/>
              </w:rPr>
              <w:t>废包装容器</w:t>
            </w:r>
            <w:r>
              <w:rPr>
                <w:rFonts w:hint="eastAsia" w:cs="Times New Roman"/>
                <w:b/>
                <w:bCs/>
                <w:color w:val="auto"/>
                <w:sz w:val="24"/>
                <w:lang w:val="en-US" w:eastAsia="zh-CN"/>
              </w:rPr>
              <w:t>；</w:t>
            </w:r>
          </w:p>
          <w:p w14:paraId="6458BC4B">
            <w:pPr>
              <w:widowControl/>
              <w:numPr>
                <w:ilvl w:val="0"/>
                <w:numId w:val="0"/>
              </w:numPr>
              <w:snapToGrid w:val="0"/>
              <w:spacing w:line="360" w:lineRule="auto"/>
              <w:ind w:firstLine="482" w:firstLineChars="200"/>
              <w:rPr>
                <w:rFonts w:hint="eastAsia"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w:t>
            </w:r>
            <w:r>
              <w:rPr>
                <w:rFonts w:hint="eastAsia" w:cs="Times New Roman"/>
                <w:b w:val="0"/>
                <w:bCs w:val="0"/>
                <w:color w:val="auto"/>
                <w:kern w:val="2"/>
                <w:sz w:val="24"/>
                <w:szCs w:val="24"/>
                <w:lang w:val="en-US" w:eastAsia="zh-CN" w:bidi="ar-SA"/>
              </w:rPr>
              <w:t>纯水设备制备规模为5t/h，采用工艺为“自来水→纯化水制水设备（石英砂过滤→活性炭滤芯→精密滤芯→RO反渗透膜→水箱储存）→纯化水”，制备效率为60%，工艺说明：自来水进入石英砂过滤器用来去除自来水中大分子物质，然后进入活性炭过滤器，可以吸附自来水中的余氯，去除自来水异味，还可吸附颜色物质，还原自来水的透彻；接着进入精密过滤器过滤，用于过滤自来水中的细菌、病毒等小分子物质；最后进入RO膜系统，在半透膜的作用下，进一步去除水中的无机盐、有机物、胶体等物质，从而制备纯化水。</w:t>
            </w:r>
            <w:r>
              <w:rPr>
                <w:rFonts w:hint="eastAsia" w:cs="Times New Roman"/>
                <w:b/>
                <w:bCs/>
                <w:color w:val="auto"/>
                <w:kern w:val="2"/>
                <w:sz w:val="24"/>
                <w:szCs w:val="24"/>
                <w:lang w:val="en-US" w:eastAsia="zh-CN" w:bidi="ar-SA"/>
              </w:rPr>
              <w:t>W9纯水制备产生的浓水，S17废滤材（过滤器</w:t>
            </w:r>
            <w:r>
              <w:rPr>
                <w:rFonts w:hint="eastAsia"/>
                <w:b/>
                <w:bCs/>
                <w:color w:val="auto"/>
                <w:sz w:val="24"/>
                <w:lang w:eastAsia="zh-CN"/>
              </w:rPr>
              <w:t>、</w:t>
            </w:r>
            <w:r>
              <w:rPr>
                <w:rFonts w:hint="eastAsia"/>
                <w:b/>
                <w:bCs/>
                <w:color w:val="auto"/>
                <w:sz w:val="24"/>
                <w:lang w:val="en-US" w:eastAsia="zh-CN"/>
              </w:rPr>
              <w:t>活性炭、</w:t>
            </w:r>
            <w:r>
              <w:rPr>
                <w:rFonts w:hint="eastAsia" w:cs="Times New Roman"/>
                <w:b/>
                <w:bCs/>
                <w:color w:val="auto"/>
                <w:kern w:val="2"/>
                <w:sz w:val="24"/>
                <w:szCs w:val="24"/>
                <w:lang w:val="en-US" w:eastAsia="zh-CN" w:bidi="ar-SA"/>
              </w:rPr>
              <w:t>滤芯、RO膜）、N噪声。</w:t>
            </w:r>
          </w:p>
          <w:p w14:paraId="7772CC4C">
            <w:pPr>
              <w:widowControl/>
              <w:numPr>
                <w:ilvl w:val="0"/>
                <w:numId w:val="0"/>
              </w:numPr>
              <w:snapToGrid w:val="0"/>
              <w:spacing w:line="360" w:lineRule="auto"/>
              <w:ind w:firstLine="482" w:firstLineChars="200"/>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w:t>
            </w:r>
            <w:r>
              <w:rPr>
                <w:rFonts w:hint="eastAsia" w:ascii="Times New Roman" w:hAnsi="Times New Roman" w:eastAsia="宋体" w:cs="Times New Roman"/>
                <w:color w:val="auto"/>
                <w:sz w:val="24"/>
                <w:lang w:val="en-US" w:eastAsia="zh-CN"/>
              </w:rPr>
              <w:t>设备维护及使用需使用</w:t>
            </w:r>
            <w:r>
              <w:rPr>
                <w:rFonts w:hint="eastAsia" w:cs="Times New Roman"/>
                <w:color w:val="auto"/>
                <w:sz w:val="24"/>
                <w:lang w:val="en-US" w:eastAsia="zh-CN"/>
              </w:rPr>
              <w:t>润滑</w:t>
            </w:r>
            <w:r>
              <w:rPr>
                <w:rFonts w:hint="eastAsia" w:ascii="Times New Roman" w:hAnsi="Times New Roman" w:eastAsia="宋体" w:cs="Times New Roman"/>
                <w:color w:val="auto"/>
                <w:sz w:val="24"/>
                <w:lang w:val="en-US" w:eastAsia="zh-CN"/>
              </w:rPr>
              <w:t>油，会产生</w:t>
            </w:r>
            <w:r>
              <w:rPr>
                <w:rFonts w:hint="eastAsia" w:ascii="Times New Roman" w:hAnsi="Times New Roman" w:eastAsia="宋体" w:cs="Times New Roman"/>
                <w:b/>
                <w:bCs/>
                <w:color w:val="auto"/>
                <w:sz w:val="24"/>
                <w:lang w:val="en-US" w:eastAsia="zh-CN"/>
              </w:rPr>
              <w:t>废</w:t>
            </w:r>
            <w:r>
              <w:rPr>
                <w:rFonts w:hint="eastAsia" w:cs="Times New Roman"/>
                <w:b/>
                <w:bCs/>
                <w:color w:val="auto"/>
                <w:sz w:val="24"/>
                <w:lang w:val="en-US" w:eastAsia="zh-CN"/>
              </w:rPr>
              <w:t>润滑</w:t>
            </w:r>
            <w:r>
              <w:rPr>
                <w:rFonts w:hint="eastAsia" w:ascii="Times New Roman" w:hAnsi="Times New Roman" w:eastAsia="宋体" w:cs="Times New Roman"/>
                <w:b/>
                <w:bCs/>
                <w:color w:val="auto"/>
                <w:sz w:val="24"/>
                <w:lang w:val="en-US" w:eastAsia="zh-CN"/>
              </w:rPr>
              <w:t>油S</w:t>
            </w:r>
            <w:r>
              <w:rPr>
                <w:rFonts w:hint="eastAsia" w:cs="Times New Roman"/>
                <w:b/>
                <w:bCs/>
                <w:color w:val="auto"/>
                <w:sz w:val="24"/>
                <w:lang w:val="en-US" w:eastAsia="zh-CN"/>
              </w:rPr>
              <w:t>18和含油抹布S19</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润滑</w:t>
            </w:r>
            <w:r>
              <w:rPr>
                <w:rFonts w:hint="eastAsia" w:ascii="Times New Roman" w:hAnsi="Times New Roman" w:eastAsia="宋体" w:cs="Times New Roman"/>
                <w:color w:val="auto"/>
                <w:sz w:val="24"/>
                <w:lang w:val="en-US" w:eastAsia="zh-CN"/>
              </w:rPr>
              <w:t>油拆桶会产生</w:t>
            </w:r>
            <w:r>
              <w:rPr>
                <w:rFonts w:hint="eastAsia" w:ascii="Times New Roman" w:hAnsi="Times New Roman" w:eastAsia="宋体" w:cs="Times New Roman"/>
                <w:b/>
                <w:bCs/>
                <w:color w:val="auto"/>
                <w:sz w:val="24"/>
                <w:lang w:val="en-US" w:eastAsia="zh-CN"/>
              </w:rPr>
              <w:t>废油桶S2</w:t>
            </w:r>
            <w:r>
              <w:rPr>
                <w:rFonts w:hint="eastAsia" w:cs="Times New Roman"/>
                <w:b/>
                <w:bCs/>
                <w:color w:val="auto"/>
                <w:sz w:val="24"/>
                <w:lang w:val="en-US" w:eastAsia="zh-CN"/>
              </w:rPr>
              <w:t>0。</w:t>
            </w:r>
          </w:p>
          <w:p w14:paraId="3AE34759">
            <w:pPr>
              <w:widowControl/>
              <w:numPr>
                <w:ilvl w:val="0"/>
                <w:numId w:val="0"/>
              </w:numPr>
              <w:snapToGrid w:val="0"/>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（5）</w:t>
            </w:r>
            <w:r>
              <w:rPr>
                <w:rFonts w:hint="eastAsia" w:cs="Times New Roman"/>
                <w:b w:val="0"/>
                <w:bCs w:val="0"/>
                <w:color w:val="auto"/>
                <w:sz w:val="24"/>
                <w:lang w:val="en-US" w:eastAsia="zh-CN"/>
              </w:rPr>
              <w:t>废气治理产生的</w:t>
            </w:r>
            <w:r>
              <w:rPr>
                <w:rFonts w:hint="eastAsia" w:ascii="Times New Roman" w:hAnsi="Times New Roman" w:eastAsia="宋体" w:cs="Times New Roman"/>
                <w:b/>
                <w:bCs/>
                <w:color w:val="auto"/>
                <w:sz w:val="24"/>
                <w:lang w:val="en-US" w:eastAsia="zh-CN"/>
              </w:rPr>
              <w:t>废活性炭S</w:t>
            </w:r>
            <w:r>
              <w:rPr>
                <w:rFonts w:hint="eastAsia" w:cs="Times New Roman"/>
                <w:b/>
                <w:bCs/>
                <w:color w:val="auto"/>
                <w:sz w:val="24"/>
                <w:lang w:val="en-US" w:eastAsia="zh-CN"/>
              </w:rPr>
              <w:t>21</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b/>
                <w:bCs/>
                <w:color w:val="auto"/>
                <w:sz w:val="24"/>
                <w:lang w:val="en-US" w:eastAsia="zh-CN"/>
              </w:rPr>
              <w:t>喷淋废液S</w:t>
            </w:r>
            <w:r>
              <w:rPr>
                <w:rFonts w:hint="eastAsia" w:cs="Times New Roman"/>
                <w:b/>
                <w:bCs/>
                <w:color w:val="auto"/>
                <w:sz w:val="24"/>
                <w:lang w:val="en-US" w:eastAsia="zh-CN"/>
              </w:rPr>
              <w:t>22，回收粉尘S23、废滤芯S24、废过滤棉S25。</w:t>
            </w:r>
          </w:p>
          <w:p w14:paraId="10504604">
            <w:pPr>
              <w:widowControl/>
              <w:numPr>
                <w:ilvl w:val="0"/>
                <w:numId w:val="0"/>
              </w:numPr>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6</w:t>
            </w:r>
            <w:r>
              <w:rPr>
                <w:rFonts w:hint="eastAsia" w:ascii="Times New Roman" w:hAnsi="Times New Roman" w:eastAsia="宋体" w:cs="Times New Roman"/>
                <w:b/>
                <w:bCs/>
                <w:color w:val="auto"/>
                <w:sz w:val="24"/>
                <w:lang w:val="en-US" w:eastAsia="zh-CN"/>
              </w:rPr>
              <w:t>）</w:t>
            </w:r>
            <w:r>
              <w:rPr>
                <w:rFonts w:hint="eastAsia" w:ascii="Times New Roman" w:hAnsi="Times New Roman" w:eastAsia="宋体" w:cs="Times New Roman"/>
                <w:b w:val="0"/>
                <w:bCs w:val="0"/>
                <w:color w:val="auto"/>
                <w:sz w:val="24"/>
                <w:lang w:val="en-US" w:eastAsia="zh-CN"/>
              </w:rPr>
              <w:t>废水处理产生的</w:t>
            </w:r>
            <w:r>
              <w:rPr>
                <w:rFonts w:hint="eastAsia" w:ascii="Times New Roman" w:hAnsi="Times New Roman" w:eastAsia="宋体" w:cs="Times New Roman"/>
                <w:b/>
                <w:bCs/>
                <w:color w:val="auto"/>
                <w:sz w:val="24"/>
                <w:lang w:val="en-US" w:eastAsia="zh-CN"/>
              </w:rPr>
              <w:t>废气G7（氨、硫化氢、臭气浓度）</w:t>
            </w:r>
            <w:r>
              <w:rPr>
                <w:rFonts w:hint="eastAsia" w:ascii="Times New Roman" w:hAnsi="Times New Roman" w:eastAsia="宋体" w:cs="Times New Roman"/>
                <w:b w:val="0"/>
                <w:bCs w:val="0"/>
                <w:color w:val="auto"/>
                <w:sz w:val="24"/>
                <w:lang w:val="en-US" w:eastAsia="zh-CN"/>
              </w:rPr>
              <w:t>，</w:t>
            </w:r>
            <w:r>
              <w:rPr>
                <w:rFonts w:hint="eastAsia" w:cs="Times New Roman"/>
                <w:b/>
                <w:bCs/>
                <w:color w:val="auto"/>
                <w:sz w:val="24"/>
                <w:lang w:val="en-US" w:eastAsia="zh-CN"/>
              </w:rPr>
              <w:t>废RO膜S26、</w:t>
            </w:r>
            <w:r>
              <w:rPr>
                <w:rFonts w:hint="eastAsia" w:ascii="Times New Roman" w:hAnsi="Times New Roman" w:eastAsia="宋体" w:cs="Times New Roman"/>
                <w:b/>
                <w:bCs/>
                <w:color w:val="auto"/>
                <w:sz w:val="24"/>
                <w:lang w:val="en-US" w:eastAsia="zh-CN"/>
              </w:rPr>
              <w:t>污泥S2</w:t>
            </w:r>
            <w:r>
              <w:rPr>
                <w:rFonts w:hint="eastAsia" w:cs="Times New Roman"/>
                <w:b/>
                <w:bCs/>
                <w:color w:val="auto"/>
                <w:sz w:val="24"/>
                <w:lang w:val="en-US" w:eastAsia="zh-CN"/>
              </w:rPr>
              <w:t>7</w:t>
            </w:r>
            <w:r>
              <w:rPr>
                <w:rFonts w:hint="eastAsia" w:ascii="Times New Roman" w:hAnsi="Times New Roman" w:eastAsia="宋体" w:cs="Times New Roman"/>
                <w:b w:val="0"/>
                <w:bCs w:val="0"/>
                <w:color w:val="auto"/>
                <w:sz w:val="24"/>
                <w:lang w:val="en-US" w:eastAsia="zh-CN"/>
              </w:rPr>
              <w:t>。</w:t>
            </w:r>
          </w:p>
          <w:p w14:paraId="27F7F52C">
            <w:pPr>
              <w:widowControl/>
              <w:numPr>
                <w:ilvl w:val="0"/>
                <w:numId w:val="0"/>
              </w:numPr>
              <w:snapToGrid w:val="0"/>
              <w:spacing w:line="360" w:lineRule="auto"/>
              <w:ind w:firstLine="482"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eastAsia" w:ascii="Times New Roman" w:hAnsi="Times New Roman" w:eastAsia="宋体" w:cs="Times New Roman"/>
                <w:b w:val="0"/>
                <w:bCs w:val="0"/>
                <w:color w:val="auto"/>
                <w:sz w:val="24"/>
                <w:lang w:val="en-US" w:eastAsia="zh-CN"/>
              </w:rPr>
              <w:t>地面清洗产生的</w:t>
            </w:r>
            <w:r>
              <w:rPr>
                <w:rFonts w:hint="eastAsia" w:ascii="Times New Roman" w:hAnsi="Times New Roman" w:eastAsia="宋体" w:cs="Times New Roman"/>
                <w:b/>
                <w:bCs/>
                <w:color w:val="auto"/>
                <w:sz w:val="24"/>
                <w:lang w:val="en-US" w:eastAsia="zh-CN"/>
              </w:rPr>
              <w:t>清洗废水W10</w:t>
            </w:r>
            <w:r>
              <w:rPr>
                <w:rFonts w:hint="eastAsia" w:ascii="Times New Roman" w:hAnsi="Times New Roman" w:eastAsia="宋体" w:cs="Times New Roman"/>
                <w:b w:val="0"/>
                <w:bCs w:val="0"/>
                <w:color w:val="auto"/>
                <w:sz w:val="24"/>
                <w:lang w:val="en-US" w:eastAsia="zh-CN"/>
              </w:rPr>
              <w:t>。</w:t>
            </w:r>
          </w:p>
          <w:p w14:paraId="14314AC5">
            <w:pPr>
              <w:widowControl/>
              <w:numPr>
                <w:ilvl w:val="0"/>
                <w:numId w:val="0"/>
              </w:numPr>
              <w:snapToGrid w:val="0"/>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（8）</w:t>
            </w:r>
            <w:r>
              <w:rPr>
                <w:rFonts w:hint="eastAsia" w:cs="Times New Roman"/>
                <w:b w:val="0"/>
                <w:bCs w:val="0"/>
                <w:color w:val="auto"/>
                <w:sz w:val="24"/>
                <w:lang w:val="en-US" w:eastAsia="zh-CN"/>
              </w:rPr>
              <w:t>危废仓库产生的</w:t>
            </w:r>
            <w:r>
              <w:rPr>
                <w:rFonts w:hint="eastAsia" w:cs="Times New Roman"/>
                <w:b/>
                <w:bCs/>
                <w:color w:val="auto"/>
                <w:sz w:val="24"/>
                <w:lang w:val="en-US" w:eastAsia="zh-CN"/>
              </w:rPr>
              <w:t>废气G8</w:t>
            </w:r>
            <w:r>
              <w:rPr>
                <w:rFonts w:hint="eastAsia" w:ascii="Times New Roman" w:hAnsi="Times New Roman" w:eastAsia="宋体" w:cs="Times New Roman"/>
                <w:b/>
                <w:bCs/>
                <w:color w:val="auto"/>
                <w:sz w:val="24"/>
                <w:lang w:val="en-US" w:eastAsia="zh-CN"/>
              </w:rPr>
              <w:t>（氨、硫化氢、臭气浓度）</w:t>
            </w:r>
            <w:r>
              <w:rPr>
                <w:rFonts w:hint="eastAsia" w:cs="Times New Roman"/>
                <w:b/>
                <w:bCs/>
                <w:color w:val="auto"/>
                <w:sz w:val="24"/>
                <w:lang w:val="en-US" w:eastAsia="zh-CN"/>
              </w:rPr>
              <w:t>。</w:t>
            </w:r>
          </w:p>
          <w:p w14:paraId="51BA01CB">
            <w:pPr>
              <w:widowControl/>
              <w:numPr>
                <w:ilvl w:val="0"/>
                <w:numId w:val="0"/>
              </w:numPr>
              <w:snapToGrid w:val="0"/>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（9）</w:t>
            </w:r>
            <w:r>
              <w:rPr>
                <w:rFonts w:hint="eastAsia"/>
                <w:b/>
                <w:bCs/>
                <w:color w:val="auto"/>
                <w:sz w:val="24"/>
              </w:rPr>
              <w:t>定期对电泳生产过程和喷</w:t>
            </w:r>
            <w:r>
              <w:rPr>
                <w:rFonts w:hint="eastAsia"/>
                <w:b/>
                <w:bCs/>
                <w:color w:val="auto"/>
                <w:sz w:val="24"/>
                <w:lang w:val="en-US" w:eastAsia="zh-CN"/>
              </w:rPr>
              <w:t>粉</w:t>
            </w:r>
            <w:r>
              <w:rPr>
                <w:rFonts w:hint="eastAsia"/>
                <w:b/>
                <w:bCs/>
                <w:color w:val="auto"/>
                <w:sz w:val="24"/>
              </w:rPr>
              <w:t>生产过程中的挂具进行人工清理，产生挂具废渣</w:t>
            </w:r>
            <w:r>
              <w:rPr>
                <w:rFonts w:hint="eastAsia"/>
                <w:b/>
                <w:bCs/>
                <w:color w:val="auto"/>
                <w:sz w:val="24"/>
                <w:lang w:val="en-US" w:eastAsia="zh-CN"/>
              </w:rPr>
              <w:t>S28</w:t>
            </w:r>
            <w:r>
              <w:rPr>
                <w:rFonts w:hint="eastAsia" w:cs="Times New Roman"/>
                <w:b/>
                <w:bCs/>
                <w:color w:val="auto"/>
                <w:sz w:val="24"/>
                <w:lang w:val="en-US" w:eastAsia="zh-CN"/>
              </w:rPr>
              <w:t>。</w:t>
            </w:r>
          </w:p>
          <w:p w14:paraId="3B5BAC10">
            <w:pPr>
              <w:widowControl/>
              <w:numPr>
                <w:ilvl w:val="0"/>
                <w:numId w:val="0"/>
              </w:numPr>
              <w:snapToGrid w:val="0"/>
              <w:spacing w:line="360" w:lineRule="auto"/>
              <w:ind w:firstLine="482" w:firstLineChars="200"/>
              <w:rPr>
                <w:rFonts w:hint="default" w:cs="Times New Roman"/>
                <w:b/>
                <w:bCs/>
                <w:color w:val="auto"/>
                <w:sz w:val="24"/>
                <w:lang w:val="en-US" w:eastAsia="zh-CN"/>
              </w:rPr>
            </w:pPr>
            <w:r>
              <w:rPr>
                <w:rFonts w:hint="eastAsia" w:cs="Times New Roman"/>
                <w:b/>
                <w:bCs/>
                <w:color w:val="auto"/>
                <w:sz w:val="24"/>
                <w:lang w:val="en-US" w:eastAsia="zh-CN"/>
              </w:rPr>
              <w:t>（10）</w:t>
            </w:r>
            <w:r>
              <w:rPr>
                <w:rFonts w:hint="eastAsia" w:cs="Times New Roman"/>
                <w:b w:val="0"/>
                <w:bCs w:val="0"/>
                <w:color w:val="auto"/>
                <w:sz w:val="24"/>
                <w:lang w:val="en-US" w:eastAsia="zh-CN"/>
              </w:rPr>
              <w:t>喷粉工序沉降到车间表面的</w:t>
            </w:r>
            <w:r>
              <w:rPr>
                <w:rFonts w:hint="eastAsia" w:cs="Times New Roman"/>
                <w:b/>
                <w:bCs/>
                <w:color w:val="auto"/>
                <w:sz w:val="24"/>
                <w:lang w:val="en-US" w:eastAsia="zh-CN"/>
              </w:rPr>
              <w:t>沉降粉尘S29。</w:t>
            </w:r>
          </w:p>
          <w:p w14:paraId="6B886B98">
            <w:pPr>
              <w:adjustRightInd w:val="0"/>
              <w:snapToGrid w:val="0"/>
              <w:spacing w:line="360" w:lineRule="auto"/>
              <w:ind w:firstLine="482" w:firstLineChars="200"/>
              <w:rPr>
                <w:rFonts w:hint="eastAsia"/>
                <w:b/>
                <w:bCs/>
                <w:color w:val="auto"/>
                <w:sz w:val="24"/>
                <w:szCs w:val="24"/>
                <w:highlight w:val="none"/>
              </w:rPr>
            </w:pPr>
            <w:r>
              <w:rPr>
                <w:rFonts w:hint="eastAsia"/>
                <w:b/>
                <w:bCs/>
                <w:color w:val="auto"/>
                <w:sz w:val="24"/>
                <w:szCs w:val="24"/>
                <w:highlight w:val="none"/>
              </w:rPr>
              <w:t>产污环节汇总：</w:t>
            </w:r>
          </w:p>
          <w:p w14:paraId="3F8C2624">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主要产污环节和排污特征</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49"/>
              <w:gridCol w:w="669"/>
              <w:gridCol w:w="2628"/>
              <w:gridCol w:w="1920"/>
              <w:gridCol w:w="2578"/>
            </w:tblGrid>
            <w:tr w14:paraId="09562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tcBorders>
                    <w:tl2br w:val="nil"/>
                    <w:tr2bl w:val="nil"/>
                  </w:tcBorders>
                  <w:vAlign w:val="center"/>
                </w:tcPr>
                <w:p w14:paraId="7EA00DF6">
                  <w:pPr>
                    <w:pStyle w:val="31"/>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类别</w:t>
                  </w:r>
                </w:p>
              </w:tc>
              <w:tc>
                <w:tcPr>
                  <w:tcW w:w="404" w:type="pct"/>
                  <w:tcBorders>
                    <w:tl2br w:val="nil"/>
                    <w:tr2bl w:val="nil"/>
                  </w:tcBorders>
                  <w:vAlign w:val="center"/>
                </w:tcPr>
                <w:p w14:paraId="5D44A33B">
                  <w:pPr>
                    <w:pStyle w:val="31"/>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代码</w:t>
                  </w:r>
                </w:p>
              </w:tc>
              <w:tc>
                <w:tcPr>
                  <w:tcW w:w="1779" w:type="pct"/>
                  <w:gridSpan w:val="2"/>
                  <w:tcBorders>
                    <w:tl2br w:val="nil"/>
                    <w:tr2bl w:val="nil"/>
                  </w:tcBorders>
                  <w:vAlign w:val="center"/>
                </w:tcPr>
                <w:p w14:paraId="2D36FADB">
                  <w:pPr>
                    <w:pStyle w:val="31"/>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产生工序</w:t>
                  </w:r>
                </w:p>
              </w:tc>
              <w:tc>
                <w:tcPr>
                  <w:tcW w:w="1036" w:type="pct"/>
                  <w:tcBorders>
                    <w:tl2br w:val="nil"/>
                    <w:tr2bl w:val="nil"/>
                  </w:tcBorders>
                  <w:vAlign w:val="center"/>
                </w:tcPr>
                <w:p w14:paraId="31427708">
                  <w:pPr>
                    <w:pStyle w:val="31"/>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tc>
              <w:tc>
                <w:tcPr>
                  <w:tcW w:w="1391" w:type="pct"/>
                  <w:tcBorders>
                    <w:tl2br w:val="nil"/>
                    <w:tr2bl w:val="nil"/>
                  </w:tcBorders>
                  <w:vAlign w:val="center"/>
                </w:tcPr>
                <w:p w14:paraId="5DDD2EB8">
                  <w:pPr>
                    <w:pStyle w:val="31"/>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污染治理措施</w:t>
                  </w:r>
                </w:p>
              </w:tc>
            </w:tr>
            <w:tr w14:paraId="5E476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restart"/>
                  <w:tcBorders>
                    <w:tl2br w:val="nil"/>
                    <w:tr2bl w:val="nil"/>
                  </w:tcBorders>
                  <w:vAlign w:val="center"/>
                </w:tcPr>
                <w:p w14:paraId="492CBD5B">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废气</w:t>
                  </w:r>
                </w:p>
              </w:tc>
              <w:tc>
                <w:tcPr>
                  <w:tcW w:w="404" w:type="pct"/>
                  <w:tcBorders>
                    <w:tl2br w:val="nil"/>
                    <w:tr2bl w:val="nil"/>
                  </w:tcBorders>
                  <w:vAlign w:val="center"/>
                </w:tcPr>
                <w:p w14:paraId="5469369B">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G1</w:t>
                  </w:r>
                </w:p>
              </w:tc>
              <w:tc>
                <w:tcPr>
                  <w:tcW w:w="361" w:type="pct"/>
                  <w:vMerge w:val="restart"/>
                  <w:tcBorders>
                    <w:tl2br w:val="nil"/>
                    <w:tr2bl w:val="nil"/>
                  </w:tcBorders>
                  <w:vAlign w:val="center"/>
                </w:tcPr>
                <w:p w14:paraId="6360BD63">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w:t>
                  </w:r>
                </w:p>
              </w:tc>
              <w:tc>
                <w:tcPr>
                  <w:tcW w:w="1418" w:type="pct"/>
                  <w:tcBorders>
                    <w:tl2br w:val="nil"/>
                    <w:tr2bl w:val="nil"/>
                  </w:tcBorders>
                  <w:vAlign w:val="center"/>
                </w:tcPr>
                <w:p w14:paraId="2113F73C">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1036" w:type="pct"/>
                  <w:tcBorders>
                    <w:tl2br w:val="nil"/>
                    <w:tr2bl w:val="nil"/>
                  </w:tcBorders>
                  <w:vAlign w:val="center"/>
                </w:tcPr>
                <w:p w14:paraId="703B5A03">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硫酸雾</w:t>
                  </w:r>
                </w:p>
              </w:tc>
              <w:tc>
                <w:tcPr>
                  <w:tcW w:w="1391" w:type="pct"/>
                  <w:vMerge w:val="restart"/>
                  <w:tcBorders>
                    <w:tl2br w:val="nil"/>
                    <w:tr2bl w:val="nil"/>
                  </w:tcBorders>
                  <w:vAlign w:val="center"/>
                </w:tcPr>
                <w:p w14:paraId="05E2865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“喷淋塔+干式过滤器+二级活性炭装置”处理后经15m高DA001排气筒排放</w:t>
                  </w:r>
                </w:p>
              </w:tc>
            </w:tr>
            <w:tr w14:paraId="13255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0765744">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66B666AF">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G2</w:t>
                  </w:r>
                </w:p>
              </w:tc>
              <w:tc>
                <w:tcPr>
                  <w:tcW w:w="361" w:type="pct"/>
                  <w:vMerge w:val="continue"/>
                  <w:tcBorders>
                    <w:tl2br w:val="nil"/>
                    <w:tr2bl w:val="nil"/>
                  </w:tcBorders>
                  <w:vAlign w:val="center"/>
                </w:tcPr>
                <w:p w14:paraId="03F1BC27">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1C18842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电泳槽</w:t>
                  </w:r>
                </w:p>
              </w:tc>
              <w:tc>
                <w:tcPr>
                  <w:tcW w:w="1036" w:type="pct"/>
                  <w:tcBorders>
                    <w:tl2br w:val="nil"/>
                    <w:tr2bl w:val="nil"/>
                  </w:tcBorders>
                  <w:vAlign w:val="center"/>
                </w:tcPr>
                <w:p w14:paraId="0F8B5C5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非甲烷总烃、TVOC</w:t>
                  </w:r>
                </w:p>
              </w:tc>
              <w:tc>
                <w:tcPr>
                  <w:tcW w:w="1391" w:type="pct"/>
                  <w:vMerge w:val="continue"/>
                  <w:tcBorders>
                    <w:tl2br w:val="nil"/>
                    <w:tr2bl w:val="nil"/>
                  </w:tcBorders>
                  <w:vAlign w:val="center"/>
                </w:tcPr>
                <w:p w14:paraId="2CA22E20">
                  <w:pPr>
                    <w:pStyle w:val="31"/>
                    <w:jc w:val="center"/>
                    <w:rPr>
                      <w:rFonts w:hint="default" w:ascii="Times New Roman" w:hAnsi="Times New Roman" w:eastAsia="仿宋" w:cs="Times New Roman"/>
                      <w:color w:val="auto"/>
                      <w:sz w:val="21"/>
                      <w:szCs w:val="21"/>
                      <w:highlight w:val="none"/>
                      <w:lang w:val="en-US" w:eastAsia="zh-CN"/>
                    </w:rPr>
                  </w:pPr>
                </w:p>
              </w:tc>
            </w:tr>
            <w:tr w14:paraId="08A90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9B45F75">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260D2D2C">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w:t>
                  </w:r>
                  <w:r>
                    <w:rPr>
                      <w:rFonts w:hint="eastAsia" w:ascii="Times New Roman" w:hAnsi="Times New Roman" w:eastAsia="仿宋" w:cs="Times New Roman"/>
                      <w:color w:val="auto"/>
                      <w:sz w:val="21"/>
                      <w:szCs w:val="21"/>
                      <w:highlight w:val="none"/>
                      <w:lang w:val="en-US" w:eastAsia="zh-CN"/>
                    </w:rPr>
                    <w:t>3</w:t>
                  </w:r>
                </w:p>
              </w:tc>
              <w:tc>
                <w:tcPr>
                  <w:tcW w:w="361" w:type="pct"/>
                  <w:vMerge w:val="continue"/>
                  <w:tcBorders>
                    <w:tl2br w:val="nil"/>
                    <w:tr2bl w:val="nil"/>
                  </w:tcBorders>
                  <w:vAlign w:val="center"/>
                </w:tcPr>
                <w:p w14:paraId="66CDBB57">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7E3711B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固化烘干</w:t>
                  </w:r>
                </w:p>
              </w:tc>
              <w:tc>
                <w:tcPr>
                  <w:tcW w:w="1036" w:type="pct"/>
                  <w:tcBorders>
                    <w:tl2br w:val="nil"/>
                    <w:tr2bl w:val="nil"/>
                  </w:tcBorders>
                  <w:vAlign w:val="center"/>
                </w:tcPr>
                <w:p w14:paraId="40E8E3D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非甲烷总烃、TVOC、颗粒物、SO</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、NOx、烟气黑度</w:t>
                  </w:r>
                </w:p>
              </w:tc>
              <w:tc>
                <w:tcPr>
                  <w:tcW w:w="1391" w:type="pct"/>
                  <w:vMerge w:val="continue"/>
                  <w:tcBorders>
                    <w:tl2br w:val="nil"/>
                    <w:tr2bl w:val="nil"/>
                  </w:tcBorders>
                  <w:vAlign w:val="center"/>
                </w:tcPr>
                <w:p w14:paraId="13FA7B65">
                  <w:pPr>
                    <w:pStyle w:val="31"/>
                    <w:jc w:val="center"/>
                    <w:rPr>
                      <w:rFonts w:hint="default" w:ascii="Times New Roman" w:hAnsi="Times New Roman" w:eastAsia="仿宋" w:cs="Times New Roman"/>
                      <w:color w:val="auto"/>
                      <w:sz w:val="21"/>
                      <w:szCs w:val="21"/>
                      <w:highlight w:val="none"/>
                    </w:rPr>
                  </w:pPr>
                </w:p>
              </w:tc>
            </w:tr>
            <w:tr w14:paraId="397CA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5014CF6">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6D93244">
                  <w:pPr>
                    <w:pStyle w:val="31"/>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G4</w:t>
                  </w:r>
                </w:p>
              </w:tc>
              <w:tc>
                <w:tcPr>
                  <w:tcW w:w="361" w:type="pct"/>
                  <w:vMerge w:val="restart"/>
                  <w:tcBorders>
                    <w:tl2br w:val="nil"/>
                    <w:tr2bl w:val="nil"/>
                  </w:tcBorders>
                  <w:vAlign w:val="center"/>
                </w:tcPr>
                <w:p w14:paraId="093FC70B">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喷粉处理线</w:t>
                  </w:r>
                </w:p>
              </w:tc>
              <w:tc>
                <w:tcPr>
                  <w:tcW w:w="1418" w:type="pct"/>
                  <w:tcBorders>
                    <w:tl2br w:val="nil"/>
                    <w:tr2bl w:val="nil"/>
                  </w:tcBorders>
                  <w:vAlign w:val="center"/>
                </w:tcPr>
                <w:p w14:paraId="6BAEB4BF">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1036" w:type="pct"/>
                  <w:tcBorders>
                    <w:tl2br w:val="nil"/>
                    <w:tr2bl w:val="nil"/>
                  </w:tcBorders>
                  <w:vAlign w:val="center"/>
                </w:tcPr>
                <w:p w14:paraId="083FD5A7">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硫酸雾、氯化氢</w:t>
                  </w:r>
                </w:p>
              </w:tc>
              <w:tc>
                <w:tcPr>
                  <w:tcW w:w="1391" w:type="pct"/>
                  <w:vMerge w:val="continue"/>
                  <w:tcBorders>
                    <w:tl2br w:val="nil"/>
                    <w:tr2bl w:val="nil"/>
                  </w:tcBorders>
                  <w:vAlign w:val="center"/>
                </w:tcPr>
                <w:p w14:paraId="6B7C8CFA">
                  <w:pPr>
                    <w:pStyle w:val="31"/>
                    <w:jc w:val="center"/>
                    <w:rPr>
                      <w:rFonts w:hint="eastAsia" w:eastAsia="仿宋" w:cs="Times New Roman"/>
                      <w:color w:val="auto"/>
                      <w:sz w:val="21"/>
                      <w:szCs w:val="21"/>
                      <w:highlight w:val="none"/>
                      <w:lang w:val="en-US" w:eastAsia="zh-CN"/>
                    </w:rPr>
                  </w:pPr>
                </w:p>
              </w:tc>
            </w:tr>
            <w:tr w14:paraId="51234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6E1891D">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7D7A5624">
                  <w:pPr>
                    <w:pStyle w:val="31"/>
                    <w:jc w:val="center"/>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w:t>
                  </w:r>
                  <w:r>
                    <w:rPr>
                      <w:rFonts w:hint="eastAsia" w:eastAsia="仿宋" w:cs="Times New Roman"/>
                      <w:color w:val="auto"/>
                      <w:sz w:val="21"/>
                      <w:szCs w:val="21"/>
                      <w:highlight w:val="none"/>
                      <w:lang w:val="en-US" w:eastAsia="zh-CN"/>
                    </w:rPr>
                    <w:t>6</w:t>
                  </w:r>
                </w:p>
              </w:tc>
              <w:tc>
                <w:tcPr>
                  <w:tcW w:w="361" w:type="pct"/>
                  <w:vMerge w:val="continue"/>
                  <w:tcBorders>
                    <w:tl2br w:val="nil"/>
                    <w:tr2bl w:val="nil"/>
                  </w:tcBorders>
                  <w:vAlign w:val="center"/>
                </w:tcPr>
                <w:p w14:paraId="291D4A0A">
                  <w:pPr>
                    <w:pStyle w:val="31"/>
                    <w:jc w:val="center"/>
                    <w:rPr>
                      <w:rFonts w:hint="default" w:eastAsia="仿宋" w:cs="Times New Roman"/>
                      <w:color w:val="auto"/>
                      <w:sz w:val="21"/>
                      <w:szCs w:val="21"/>
                      <w:highlight w:val="none"/>
                      <w:lang w:val="en-US" w:eastAsia="zh-CN"/>
                    </w:rPr>
                  </w:pPr>
                </w:p>
              </w:tc>
              <w:tc>
                <w:tcPr>
                  <w:tcW w:w="1418" w:type="pct"/>
                  <w:tcBorders>
                    <w:tl2br w:val="nil"/>
                    <w:tr2bl w:val="nil"/>
                  </w:tcBorders>
                  <w:shd w:val="clear" w:color="auto" w:fill="auto"/>
                  <w:vAlign w:val="center"/>
                </w:tcPr>
                <w:p w14:paraId="4061B5F9">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固化烘干</w:t>
                  </w:r>
                </w:p>
              </w:tc>
              <w:tc>
                <w:tcPr>
                  <w:tcW w:w="1036" w:type="pct"/>
                  <w:tcBorders>
                    <w:tl2br w:val="nil"/>
                    <w:tr2bl w:val="nil"/>
                  </w:tcBorders>
                  <w:shd w:val="clear" w:color="auto" w:fill="auto"/>
                  <w:vAlign w:val="center"/>
                </w:tcPr>
                <w:p w14:paraId="75B44D13">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非甲烷总烃、颗粒物、SO</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、NOx、烟气黑度</w:t>
                  </w:r>
                </w:p>
              </w:tc>
              <w:tc>
                <w:tcPr>
                  <w:tcW w:w="1391" w:type="pct"/>
                  <w:vMerge w:val="continue"/>
                  <w:tcBorders>
                    <w:tl2br w:val="nil"/>
                    <w:tr2bl w:val="nil"/>
                  </w:tcBorders>
                  <w:vAlign w:val="center"/>
                </w:tcPr>
                <w:p w14:paraId="3F60FB57">
                  <w:pPr>
                    <w:pStyle w:val="31"/>
                    <w:jc w:val="center"/>
                    <w:rPr>
                      <w:rFonts w:hint="eastAsia" w:eastAsia="仿宋" w:cs="Times New Roman"/>
                      <w:color w:val="auto"/>
                      <w:sz w:val="21"/>
                      <w:szCs w:val="21"/>
                      <w:highlight w:val="none"/>
                      <w:lang w:val="en-US" w:eastAsia="zh-CN"/>
                    </w:rPr>
                  </w:pPr>
                </w:p>
              </w:tc>
            </w:tr>
            <w:tr w14:paraId="7DBAE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19C728D">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7729057">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w:t>
                  </w:r>
                  <w:r>
                    <w:rPr>
                      <w:rFonts w:hint="eastAsia" w:ascii="Times New Roman" w:hAnsi="Times New Roman" w:eastAsia="仿宋" w:cs="Times New Roman"/>
                      <w:color w:val="auto"/>
                      <w:sz w:val="21"/>
                      <w:szCs w:val="21"/>
                      <w:highlight w:val="none"/>
                      <w:lang w:val="en-US" w:eastAsia="zh-CN"/>
                    </w:rPr>
                    <w:t>5</w:t>
                  </w:r>
                </w:p>
              </w:tc>
              <w:tc>
                <w:tcPr>
                  <w:tcW w:w="361" w:type="pct"/>
                  <w:vMerge w:val="continue"/>
                  <w:tcBorders>
                    <w:tl2br w:val="nil"/>
                    <w:tr2bl w:val="nil"/>
                  </w:tcBorders>
                  <w:vAlign w:val="center"/>
                </w:tcPr>
                <w:p w14:paraId="5033612B">
                  <w:pPr>
                    <w:pStyle w:val="31"/>
                    <w:jc w:val="center"/>
                    <w:rPr>
                      <w:rFonts w:hint="default" w:eastAsia="仿宋" w:cs="Times New Roman"/>
                      <w:color w:val="auto"/>
                      <w:sz w:val="21"/>
                      <w:szCs w:val="21"/>
                      <w:highlight w:val="none"/>
                      <w:lang w:val="en-US" w:eastAsia="zh-CN"/>
                    </w:rPr>
                  </w:pPr>
                </w:p>
              </w:tc>
              <w:tc>
                <w:tcPr>
                  <w:tcW w:w="1418" w:type="pct"/>
                  <w:tcBorders>
                    <w:tl2br w:val="nil"/>
                    <w:tr2bl w:val="nil"/>
                  </w:tcBorders>
                  <w:shd w:val="clear" w:color="auto" w:fill="auto"/>
                  <w:vAlign w:val="center"/>
                </w:tcPr>
                <w:p w14:paraId="7980C976">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喷粉</w:t>
                  </w:r>
                </w:p>
              </w:tc>
              <w:tc>
                <w:tcPr>
                  <w:tcW w:w="1036" w:type="pct"/>
                  <w:tcBorders>
                    <w:tl2br w:val="nil"/>
                    <w:tr2bl w:val="nil"/>
                  </w:tcBorders>
                  <w:shd w:val="clear" w:color="auto" w:fill="auto"/>
                  <w:vAlign w:val="center"/>
                </w:tcPr>
                <w:p w14:paraId="7BAD9976">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颗粒物</w:t>
                  </w:r>
                </w:p>
              </w:tc>
              <w:tc>
                <w:tcPr>
                  <w:tcW w:w="1391" w:type="pct"/>
                  <w:tcBorders>
                    <w:tl2br w:val="nil"/>
                    <w:tr2bl w:val="nil"/>
                  </w:tcBorders>
                  <w:vAlign w:val="center"/>
                </w:tcPr>
                <w:p w14:paraId="1B0F96E3">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“滤芯回收系统”处理后经15m高DA001排气筒排放</w:t>
                  </w:r>
                </w:p>
              </w:tc>
            </w:tr>
            <w:tr w14:paraId="3AC15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694A0391">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26841896">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G</w:t>
                  </w:r>
                  <w:r>
                    <w:rPr>
                      <w:rFonts w:hint="eastAsia" w:eastAsia="仿宋" w:cs="Times New Roman"/>
                      <w:color w:val="auto"/>
                      <w:sz w:val="21"/>
                      <w:szCs w:val="21"/>
                      <w:highlight w:val="none"/>
                      <w:lang w:val="en-US" w:eastAsia="zh-CN"/>
                    </w:rPr>
                    <w:t>7</w:t>
                  </w:r>
                </w:p>
              </w:tc>
              <w:tc>
                <w:tcPr>
                  <w:tcW w:w="1779" w:type="pct"/>
                  <w:gridSpan w:val="2"/>
                  <w:tcBorders>
                    <w:tl2br w:val="nil"/>
                    <w:tr2bl w:val="nil"/>
                  </w:tcBorders>
                  <w:shd w:val="clear" w:color="auto" w:fill="auto"/>
                  <w:vAlign w:val="center"/>
                </w:tcPr>
                <w:p w14:paraId="4AAFBF2E">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废水处理站废气</w:t>
                  </w:r>
                </w:p>
              </w:tc>
              <w:tc>
                <w:tcPr>
                  <w:tcW w:w="1036" w:type="pct"/>
                  <w:tcBorders>
                    <w:tl2br w:val="nil"/>
                    <w:tr2bl w:val="nil"/>
                  </w:tcBorders>
                  <w:shd w:val="clear" w:color="auto" w:fill="auto"/>
                  <w:vAlign w:val="center"/>
                </w:tcPr>
                <w:p w14:paraId="460FC17C">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氨、硫化氢、臭气浓度</w:t>
                  </w:r>
                </w:p>
              </w:tc>
              <w:tc>
                <w:tcPr>
                  <w:tcW w:w="1391" w:type="pct"/>
                  <w:tcBorders>
                    <w:tl2br w:val="nil"/>
                    <w:tr2bl w:val="nil"/>
                  </w:tcBorders>
                  <w:shd w:val="clear" w:color="auto" w:fill="auto"/>
                  <w:vAlign w:val="center"/>
                </w:tcPr>
                <w:p w14:paraId="3118A9F5">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加盖密闭</w:t>
                  </w:r>
                </w:p>
              </w:tc>
            </w:tr>
            <w:tr w14:paraId="794F8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FA647A2">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7FEED2A">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G</w:t>
                  </w:r>
                  <w:r>
                    <w:rPr>
                      <w:rFonts w:hint="eastAsia" w:eastAsia="仿宋" w:cs="Times New Roman"/>
                      <w:color w:val="auto"/>
                      <w:sz w:val="21"/>
                      <w:szCs w:val="21"/>
                      <w:highlight w:val="none"/>
                      <w:lang w:val="en-US" w:eastAsia="zh-CN"/>
                    </w:rPr>
                    <w:t>8</w:t>
                  </w:r>
                </w:p>
              </w:tc>
              <w:tc>
                <w:tcPr>
                  <w:tcW w:w="1779" w:type="pct"/>
                  <w:gridSpan w:val="2"/>
                  <w:tcBorders>
                    <w:tl2br w:val="nil"/>
                    <w:tr2bl w:val="nil"/>
                  </w:tcBorders>
                  <w:shd w:val="clear" w:color="auto" w:fill="auto"/>
                  <w:vAlign w:val="center"/>
                </w:tcPr>
                <w:p w14:paraId="40D15EAE">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危废仓库废气</w:t>
                  </w:r>
                </w:p>
              </w:tc>
              <w:tc>
                <w:tcPr>
                  <w:tcW w:w="1036" w:type="pct"/>
                  <w:tcBorders>
                    <w:tl2br w:val="nil"/>
                    <w:tr2bl w:val="nil"/>
                  </w:tcBorders>
                  <w:shd w:val="clear" w:color="auto" w:fill="auto"/>
                  <w:vAlign w:val="center"/>
                </w:tcPr>
                <w:p w14:paraId="6FAE5F38">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氨、硫化氢、臭气浓度</w:t>
                  </w:r>
                  <w:r>
                    <w:rPr>
                      <w:rFonts w:hint="eastAsia" w:eastAsia="仿宋"/>
                      <w:color w:val="auto"/>
                      <w:highlight w:val="none"/>
                      <w:lang w:eastAsia="zh-CN"/>
                    </w:rPr>
                    <w:t>、</w:t>
                  </w:r>
                  <w:r>
                    <w:rPr>
                      <w:rFonts w:hint="eastAsia" w:eastAsia="仿宋"/>
                      <w:color w:val="auto"/>
                      <w:highlight w:val="none"/>
                      <w:lang w:val="en-US" w:eastAsia="zh-CN"/>
                    </w:rPr>
                    <w:t>非甲烷总烃、TVOC、氯化氢、硫酸雾</w:t>
                  </w:r>
                </w:p>
              </w:tc>
              <w:tc>
                <w:tcPr>
                  <w:tcW w:w="1391" w:type="pct"/>
                  <w:tcBorders>
                    <w:tl2br w:val="nil"/>
                    <w:tr2bl w:val="nil"/>
                  </w:tcBorders>
                  <w:shd w:val="clear" w:color="auto" w:fill="auto"/>
                  <w:vAlign w:val="center"/>
                </w:tcPr>
                <w:p w14:paraId="43A83B9B">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加强通风</w:t>
                  </w:r>
                </w:p>
              </w:tc>
            </w:tr>
            <w:tr w14:paraId="361AC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restart"/>
                  <w:tcBorders>
                    <w:tl2br w:val="nil"/>
                    <w:tr2bl w:val="nil"/>
                  </w:tcBorders>
                  <w:vAlign w:val="center"/>
                </w:tcPr>
                <w:p w14:paraId="4377584C">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w:t>
                  </w:r>
                </w:p>
              </w:tc>
              <w:tc>
                <w:tcPr>
                  <w:tcW w:w="404" w:type="pct"/>
                  <w:tcBorders>
                    <w:tl2br w:val="nil"/>
                    <w:tr2bl w:val="nil"/>
                  </w:tcBorders>
                  <w:vAlign w:val="center"/>
                </w:tcPr>
                <w:p w14:paraId="33AD9015">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W</w:t>
                  </w:r>
                  <w:r>
                    <w:rPr>
                      <w:rFonts w:hint="eastAsia" w:eastAsia="仿宋" w:cs="Times New Roman"/>
                      <w:color w:val="auto"/>
                      <w:sz w:val="21"/>
                      <w:szCs w:val="21"/>
                      <w:highlight w:val="none"/>
                      <w:lang w:val="en-US" w:eastAsia="zh-CN"/>
                    </w:rPr>
                    <w:t>1-1</w:t>
                  </w:r>
                </w:p>
              </w:tc>
              <w:tc>
                <w:tcPr>
                  <w:tcW w:w="361" w:type="pct"/>
                  <w:vMerge w:val="restart"/>
                  <w:tcBorders>
                    <w:tl2br w:val="nil"/>
                    <w:tr2bl w:val="nil"/>
                  </w:tcBorders>
                  <w:vAlign w:val="center"/>
                </w:tcPr>
                <w:p w14:paraId="5768C054">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w:t>
                  </w:r>
                </w:p>
              </w:tc>
              <w:tc>
                <w:tcPr>
                  <w:tcW w:w="1418" w:type="pct"/>
                  <w:tcBorders>
                    <w:tl2br w:val="nil"/>
                    <w:tr2bl w:val="nil"/>
                  </w:tcBorders>
                  <w:vAlign w:val="center"/>
                </w:tcPr>
                <w:p w14:paraId="286686B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热脱脂槽</w:t>
                  </w:r>
                </w:p>
              </w:tc>
              <w:tc>
                <w:tcPr>
                  <w:tcW w:w="1036" w:type="pct"/>
                  <w:tcBorders>
                    <w:tl2br w:val="nil"/>
                    <w:tr2bl w:val="nil"/>
                  </w:tcBorders>
                  <w:vAlign w:val="center"/>
                </w:tcPr>
                <w:p w14:paraId="2B55E0C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含油洗槽废水</w:t>
                  </w:r>
                </w:p>
              </w:tc>
              <w:tc>
                <w:tcPr>
                  <w:tcW w:w="1391" w:type="pct"/>
                  <w:tcBorders>
                    <w:tl2br w:val="nil"/>
                    <w:tr2bl w:val="nil"/>
                  </w:tcBorders>
                  <w:vAlign w:val="center"/>
                </w:tcPr>
                <w:p w14:paraId="19BC7D0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180E5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11DBADBA">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8B36CA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W1-2</w:t>
                  </w:r>
                </w:p>
              </w:tc>
              <w:tc>
                <w:tcPr>
                  <w:tcW w:w="361" w:type="pct"/>
                  <w:vMerge w:val="continue"/>
                  <w:tcBorders>
                    <w:tl2br w:val="nil"/>
                    <w:tr2bl w:val="nil"/>
                  </w:tcBorders>
                  <w:vAlign w:val="center"/>
                </w:tcPr>
                <w:p w14:paraId="336CE813">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5C321AC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纯水洗槽2、纯水洗槽3</w:t>
                  </w:r>
                </w:p>
              </w:tc>
              <w:tc>
                <w:tcPr>
                  <w:tcW w:w="1036" w:type="pct"/>
                  <w:tcBorders>
                    <w:tl2br w:val="nil"/>
                    <w:tr2bl w:val="nil"/>
                  </w:tcBorders>
                  <w:vAlign w:val="center"/>
                </w:tcPr>
                <w:p w14:paraId="2BD018F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含油清洗废水</w:t>
                  </w:r>
                </w:p>
              </w:tc>
              <w:tc>
                <w:tcPr>
                  <w:tcW w:w="1391" w:type="pct"/>
                  <w:tcBorders>
                    <w:tl2br w:val="nil"/>
                    <w:tr2bl w:val="nil"/>
                  </w:tcBorders>
                  <w:vAlign w:val="center"/>
                </w:tcPr>
                <w:p w14:paraId="37D54EEF">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5540E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22D2FA7">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462379F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W2-1</w:t>
                  </w:r>
                </w:p>
              </w:tc>
              <w:tc>
                <w:tcPr>
                  <w:tcW w:w="361" w:type="pct"/>
                  <w:vMerge w:val="continue"/>
                  <w:tcBorders>
                    <w:tl2br w:val="nil"/>
                    <w:tr2bl w:val="nil"/>
                  </w:tcBorders>
                  <w:vAlign w:val="center"/>
                </w:tcPr>
                <w:p w14:paraId="13417094">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634C226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酸洗槽4</w:t>
                  </w:r>
                </w:p>
              </w:tc>
              <w:tc>
                <w:tcPr>
                  <w:tcW w:w="1036" w:type="pct"/>
                  <w:tcBorders>
                    <w:tl2br w:val="nil"/>
                    <w:tr2bl w:val="nil"/>
                  </w:tcBorders>
                  <w:vAlign w:val="center"/>
                </w:tcPr>
                <w:p w14:paraId="2A7BEC6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含酸洗槽废水</w:t>
                  </w:r>
                </w:p>
              </w:tc>
              <w:tc>
                <w:tcPr>
                  <w:tcW w:w="1391" w:type="pct"/>
                  <w:tcBorders>
                    <w:tl2br w:val="nil"/>
                    <w:tr2bl w:val="nil"/>
                  </w:tcBorders>
                  <w:vAlign w:val="center"/>
                </w:tcPr>
                <w:p w14:paraId="4B27C32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1AD52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218D218">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6C227D3">
                  <w:pPr>
                    <w:pStyle w:val="31"/>
                    <w:jc w:val="center"/>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W2-2</w:t>
                  </w:r>
                </w:p>
              </w:tc>
              <w:tc>
                <w:tcPr>
                  <w:tcW w:w="361" w:type="pct"/>
                  <w:vMerge w:val="continue"/>
                  <w:tcBorders>
                    <w:tl2br w:val="nil"/>
                    <w:tr2bl w:val="nil"/>
                  </w:tcBorders>
                  <w:vAlign w:val="center"/>
                </w:tcPr>
                <w:p w14:paraId="5E3C6295">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32E97A88">
                  <w:pPr>
                    <w:pStyle w:val="31"/>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纯水洗槽5、纯水洗槽6</w:t>
                  </w:r>
                </w:p>
              </w:tc>
              <w:tc>
                <w:tcPr>
                  <w:tcW w:w="1036" w:type="pct"/>
                  <w:tcBorders>
                    <w:tl2br w:val="nil"/>
                    <w:tr2bl w:val="nil"/>
                  </w:tcBorders>
                  <w:vAlign w:val="center"/>
                </w:tcPr>
                <w:p w14:paraId="7223CC93">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含酸清洗废水</w:t>
                  </w:r>
                </w:p>
              </w:tc>
              <w:tc>
                <w:tcPr>
                  <w:tcW w:w="1391" w:type="pct"/>
                  <w:tcBorders>
                    <w:tl2br w:val="nil"/>
                    <w:tr2bl w:val="nil"/>
                  </w:tcBorders>
                  <w:vAlign w:val="center"/>
                </w:tcPr>
                <w:p w14:paraId="6F94D54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6D71A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9341613">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67F50D9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W3-1</w:t>
                  </w:r>
                </w:p>
              </w:tc>
              <w:tc>
                <w:tcPr>
                  <w:tcW w:w="361" w:type="pct"/>
                  <w:vMerge w:val="continue"/>
                  <w:tcBorders>
                    <w:tl2br w:val="nil"/>
                    <w:tr2bl w:val="nil"/>
                  </w:tcBorders>
                  <w:vAlign w:val="center"/>
                </w:tcPr>
                <w:p w14:paraId="04B56385">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2A664D7E">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中和槽</w:t>
                  </w:r>
                </w:p>
              </w:tc>
              <w:tc>
                <w:tcPr>
                  <w:tcW w:w="1036" w:type="pct"/>
                  <w:tcBorders>
                    <w:tl2br w:val="nil"/>
                    <w:tr2bl w:val="nil"/>
                  </w:tcBorders>
                  <w:vAlign w:val="center"/>
                </w:tcPr>
                <w:p w14:paraId="2142A73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含碱洗槽废水</w:t>
                  </w:r>
                </w:p>
              </w:tc>
              <w:tc>
                <w:tcPr>
                  <w:tcW w:w="1391" w:type="pct"/>
                  <w:tcBorders>
                    <w:tl2br w:val="nil"/>
                    <w:tr2bl w:val="nil"/>
                  </w:tcBorders>
                  <w:vAlign w:val="center"/>
                </w:tcPr>
                <w:p w14:paraId="26D63DC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1D091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8788CB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67B0B404">
                  <w:pPr>
                    <w:pStyle w:val="31"/>
                    <w:jc w:val="center"/>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W3-2</w:t>
                  </w:r>
                </w:p>
              </w:tc>
              <w:tc>
                <w:tcPr>
                  <w:tcW w:w="361" w:type="pct"/>
                  <w:vMerge w:val="continue"/>
                  <w:tcBorders>
                    <w:tl2br w:val="nil"/>
                    <w:tr2bl w:val="nil"/>
                  </w:tcBorders>
                  <w:vAlign w:val="center"/>
                </w:tcPr>
                <w:p w14:paraId="69D67B22">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4E3B86A0">
                  <w:pPr>
                    <w:pStyle w:val="31"/>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纯水洗槽8、纯水洗槽9</w:t>
                  </w:r>
                </w:p>
              </w:tc>
              <w:tc>
                <w:tcPr>
                  <w:tcW w:w="1036" w:type="pct"/>
                  <w:tcBorders>
                    <w:tl2br w:val="nil"/>
                    <w:tr2bl w:val="nil"/>
                  </w:tcBorders>
                  <w:vAlign w:val="center"/>
                </w:tcPr>
                <w:p w14:paraId="0F6F968F">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含碱清洗废水</w:t>
                  </w:r>
                </w:p>
              </w:tc>
              <w:tc>
                <w:tcPr>
                  <w:tcW w:w="1391" w:type="pct"/>
                  <w:tcBorders>
                    <w:tl2br w:val="nil"/>
                    <w:tr2bl w:val="nil"/>
                  </w:tcBorders>
                  <w:vAlign w:val="center"/>
                </w:tcPr>
                <w:p w14:paraId="550892F7">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2C54E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62F773A">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4D2BFC68">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W4-1</w:t>
                  </w:r>
                </w:p>
              </w:tc>
              <w:tc>
                <w:tcPr>
                  <w:tcW w:w="361" w:type="pct"/>
                  <w:vMerge w:val="continue"/>
                  <w:tcBorders>
                    <w:tl2br w:val="nil"/>
                    <w:tr2bl w:val="nil"/>
                  </w:tcBorders>
                  <w:vAlign w:val="center"/>
                </w:tcPr>
                <w:p w14:paraId="39A58BD2">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78D673A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硅烷处理槽</w:t>
                  </w:r>
                </w:p>
              </w:tc>
              <w:tc>
                <w:tcPr>
                  <w:tcW w:w="1036" w:type="pct"/>
                  <w:tcBorders>
                    <w:tl2br w:val="nil"/>
                    <w:tr2bl w:val="nil"/>
                  </w:tcBorders>
                  <w:vAlign w:val="center"/>
                </w:tcPr>
                <w:p w14:paraId="13C33AF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含硅烷剂洗槽废水</w:t>
                  </w:r>
                </w:p>
              </w:tc>
              <w:tc>
                <w:tcPr>
                  <w:tcW w:w="1391" w:type="pct"/>
                  <w:tcBorders>
                    <w:tl2br w:val="nil"/>
                    <w:tr2bl w:val="nil"/>
                  </w:tcBorders>
                  <w:vAlign w:val="center"/>
                </w:tcPr>
                <w:p w14:paraId="5F2F7BF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3BFBB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DB00595">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0AA6562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W4-2</w:t>
                  </w:r>
                </w:p>
              </w:tc>
              <w:tc>
                <w:tcPr>
                  <w:tcW w:w="361" w:type="pct"/>
                  <w:vMerge w:val="continue"/>
                  <w:tcBorders>
                    <w:tl2br w:val="nil"/>
                    <w:tr2bl w:val="nil"/>
                  </w:tcBorders>
                  <w:vAlign w:val="center"/>
                </w:tcPr>
                <w:p w14:paraId="2EFE82B1">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0AA283FD">
                  <w:pPr>
                    <w:pStyle w:val="31"/>
                    <w:jc w:val="center"/>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纯水洗槽11、纯水洗槽12</w:t>
                  </w:r>
                </w:p>
              </w:tc>
              <w:tc>
                <w:tcPr>
                  <w:tcW w:w="1036" w:type="pct"/>
                  <w:tcBorders>
                    <w:tl2br w:val="nil"/>
                    <w:tr2bl w:val="nil"/>
                  </w:tcBorders>
                  <w:vAlign w:val="center"/>
                </w:tcPr>
                <w:p w14:paraId="051C4B5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含硅烷剂清洗废水</w:t>
                  </w:r>
                </w:p>
              </w:tc>
              <w:tc>
                <w:tcPr>
                  <w:tcW w:w="1391" w:type="pct"/>
                  <w:tcBorders>
                    <w:tl2br w:val="nil"/>
                    <w:tr2bl w:val="nil"/>
                  </w:tcBorders>
                  <w:vAlign w:val="center"/>
                </w:tcPr>
                <w:p w14:paraId="4E6EDA0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79275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6A7F7AD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3CC295C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W5-1</w:t>
                  </w:r>
                </w:p>
              </w:tc>
              <w:tc>
                <w:tcPr>
                  <w:tcW w:w="361" w:type="pct"/>
                  <w:vMerge w:val="continue"/>
                  <w:tcBorders>
                    <w:tl2br w:val="nil"/>
                    <w:tr2bl w:val="nil"/>
                  </w:tcBorders>
                  <w:vAlign w:val="center"/>
                </w:tcPr>
                <w:p w14:paraId="4300E782">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4AB3B81F">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电泳槽</w:t>
                  </w:r>
                </w:p>
              </w:tc>
              <w:tc>
                <w:tcPr>
                  <w:tcW w:w="1036" w:type="pct"/>
                  <w:tcBorders>
                    <w:tl2br w:val="nil"/>
                    <w:tr2bl w:val="nil"/>
                  </w:tcBorders>
                  <w:vAlign w:val="center"/>
                </w:tcPr>
                <w:p w14:paraId="36A1766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电泳废水</w:t>
                  </w:r>
                </w:p>
              </w:tc>
              <w:tc>
                <w:tcPr>
                  <w:tcW w:w="1391" w:type="pct"/>
                  <w:tcBorders>
                    <w:tl2br w:val="nil"/>
                    <w:tr2bl w:val="nil"/>
                  </w:tcBorders>
                  <w:vAlign w:val="center"/>
                </w:tcPr>
                <w:p w14:paraId="7AEE63F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进电泳废水池处理</w:t>
                  </w:r>
                </w:p>
              </w:tc>
            </w:tr>
            <w:tr w14:paraId="591FD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44036C7">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7558854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W5-2</w:t>
                  </w:r>
                </w:p>
              </w:tc>
              <w:tc>
                <w:tcPr>
                  <w:tcW w:w="361" w:type="pct"/>
                  <w:vMerge w:val="continue"/>
                  <w:tcBorders>
                    <w:tl2br w:val="nil"/>
                    <w:tr2bl w:val="nil"/>
                  </w:tcBorders>
                  <w:vAlign w:val="center"/>
                </w:tcPr>
                <w:p w14:paraId="5EB5B978">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6F8F315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回收槽14、回收槽15</w:t>
                  </w:r>
                </w:p>
              </w:tc>
              <w:tc>
                <w:tcPr>
                  <w:tcW w:w="1036" w:type="pct"/>
                  <w:tcBorders>
                    <w:tl2br w:val="nil"/>
                    <w:tr2bl w:val="nil"/>
                  </w:tcBorders>
                  <w:vAlign w:val="center"/>
                </w:tcPr>
                <w:p w14:paraId="677CAB6F">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含电泳液废水</w:t>
                  </w:r>
                </w:p>
              </w:tc>
              <w:tc>
                <w:tcPr>
                  <w:tcW w:w="1391" w:type="pct"/>
                  <w:tcBorders>
                    <w:tl2br w:val="nil"/>
                    <w:tr2bl w:val="nil"/>
                  </w:tcBorders>
                  <w:vAlign w:val="center"/>
                </w:tcPr>
                <w:p w14:paraId="0DD6BDC1">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进电泳废水池处理</w:t>
                  </w:r>
                </w:p>
              </w:tc>
            </w:tr>
            <w:tr w14:paraId="10FA8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32BEFDD">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4478C79D">
                  <w:pPr>
                    <w:pStyle w:val="31"/>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W5-3</w:t>
                  </w:r>
                </w:p>
              </w:tc>
              <w:tc>
                <w:tcPr>
                  <w:tcW w:w="361" w:type="pct"/>
                  <w:vMerge w:val="continue"/>
                  <w:tcBorders>
                    <w:tl2br w:val="nil"/>
                    <w:tr2bl w:val="nil"/>
                  </w:tcBorders>
                  <w:vAlign w:val="center"/>
                </w:tcPr>
                <w:p w14:paraId="7DF32273">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52AECF3C">
                  <w:pPr>
                    <w:pStyle w:val="31"/>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纯水洗槽16、纯水洗槽17</w:t>
                  </w:r>
                </w:p>
              </w:tc>
              <w:tc>
                <w:tcPr>
                  <w:tcW w:w="1036" w:type="pct"/>
                  <w:tcBorders>
                    <w:tl2br w:val="nil"/>
                    <w:tr2bl w:val="nil"/>
                  </w:tcBorders>
                  <w:vAlign w:val="center"/>
                </w:tcPr>
                <w:p w14:paraId="49CC9C9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含电泳液废水</w:t>
                  </w:r>
                </w:p>
              </w:tc>
              <w:tc>
                <w:tcPr>
                  <w:tcW w:w="1391" w:type="pct"/>
                  <w:tcBorders>
                    <w:tl2br w:val="nil"/>
                    <w:tr2bl w:val="nil"/>
                  </w:tcBorders>
                  <w:vAlign w:val="center"/>
                </w:tcPr>
                <w:p w14:paraId="6918C6D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进电泳废水池处理</w:t>
                  </w:r>
                </w:p>
              </w:tc>
            </w:tr>
            <w:tr w14:paraId="2EF83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FFC766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24A02A1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W6</w:t>
                  </w:r>
                </w:p>
              </w:tc>
              <w:tc>
                <w:tcPr>
                  <w:tcW w:w="361" w:type="pct"/>
                  <w:vMerge w:val="continue"/>
                  <w:tcBorders>
                    <w:tl2br w:val="nil"/>
                    <w:tr2bl w:val="nil"/>
                  </w:tcBorders>
                  <w:vAlign w:val="center"/>
                </w:tcPr>
                <w:p w14:paraId="6A350AA0">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7614C3B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超滤装置</w:t>
                  </w:r>
                </w:p>
              </w:tc>
              <w:tc>
                <w:tcPr>
                  <w:tcW w:w="1036" w:type="pct"/>
                  <w:tcBorders>
                    <w:tl2br w:val="nil"/>
                    <w:tr2bl w:val="nil"/>
                  </w:tcBorders>
                  <w:vAlign w:val="center"/>
                </w:tcPr>
                <w:p w14:paraId="737D1613">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超滤反冲洗废水</w:t>
                  </w:r>
                </w:p>
              </w:tc>
              <w:tc>
                <w:tcPr>
                  <w:tcW w:w="1391" w:type="pct"/>
                  <w:tcBorders>
                    <w:tl2br w:val="nil"/>
                    <w:tr2bl w:val="nil"/>
                  </w:tcBorders>
                  <w:vAlign w:val="center"/>
                </w:tcPr>
                <w:p w14:paraId="3CA4AEF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68B67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1F111CFA">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3E0FB32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W7</w:t>
                  </w:r>
                </w:p>
              </w:tc>
              <w:tc>
                <w:tcPr>
                  <w:tcW w:w="361" w:type="pct"/>
                  <w:vMerge w:val="continue"/>
                  <w:tcBorders>
                    <w:tl2br w:val="nil"/>
                    <w:tr2bl w:val="nil"/>
                  </w:tcBorders>
                  <w:vAlign w:val="center"/>
                </w:tcPr>
                <w:p w14:paraId="0D224ED8">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7EAB1EAC">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切水槽</w:t>
                  </w:r>
                </w:p>
              </w:tc>
              <w:tc>
                <w:tcPr>
                  <w:tcW w:w="1036" w:type="pct"/>
                  <w:tcBorders>
                    <w:tl2br w:val="nil"/>
                    <w:tr2bl w:val="nil"/>
                  </w:tcBorders>
                  <w:vAlign w:val="center"/>
                </w:tcPr>
                <w:p w14:paraId="37F9E50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倒槽废水</w:t>
                  </w:r>
                </w:p>
              </w:tc>
              <w:tc>
                <w:tcPr>
                  <w:tcW w:w="1391" w:type="pct"/>
                  <w:tcBorders>
                    <w:tl2br w:val="nil"/>
                    <w:tr2bl w:val="nil"/>
                  </w:tcBorders>
                  <w:vAlign w:val="center"/>
                </w:tcPr>
                <w:p w14:paraId="696A2327">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2DA48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A0C4CFB">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42E933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W1-3</w:t>
                  </w:r>
                </w:p>
              </w:tc>
              <w:tc>
                <w:tcPr>
                  <w:tcW w:w="361" w:type="pct"/>
                  <w:vMerge w:val="restart"/>
                  <w:tcBorders>
                    <w:tl2br w:val="nil"/>
                    <w:tr2bl w:val="nil"/>
                  </w:tcBorders>
                  <w:vAlign w:val="center"/>
                </w:tcPr>
                <w:p w14:paraId="35795B72">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喷粉前处理</w:t>
                  </w:r>
                </w:p>
              </w:tc>
              <w:tc>
                <w:tcPr>
                  <w:tcW w:w="1418" w:type="pct"/>
                  <w:tcBorders>
                    <w:tl2br w:val="nil"/>
                    <w:tr2bl w:val="nil"/>
                  </w:tcBorders>
                  <w:vAlign w:val="center"/>
                </w:tcPr>
                <w:p w14:paraId="68D4539B">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脱脂槽</w:t>
                  </w:r>
                </w:p>
              </w:tc>
              <w:tc>
                <w:tcPr>
                  <w:tcW w:w="1036" w:type="pct"/>
                  <w:tcBorders>
                    <w:tl2br w:val="nil"/>
                    <w:tr2bl w:val="nil"/>
                  </w:tcBorders>
                  <w:vAlign w:val="center"/>
                </w:tcPr>
                <w:p w14:paraId="5983AA2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含油洗槽废水</w:t>
                  </w:r>
                </w:p>
              </w:tc>
              <w:tc>
                <w:tcPr>
                  <w:tcW w:w="1391" w:type="pct"/>
                  <w:tcBorders>
                    <w:tl2br w:val="nil"/>
                    <w:tr2bl w:val="nil"/>
                  </w:tcBorders>
                  <w:vAlign w:val="center"/>
                </w:tcPr>
                <w:p w14:paraId="3B94733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2CEA3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B0D4089">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18890031">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W1-4</w:t>
                  </w:r>
                </w:p>
              </w:tc>
              <w:tc>
                <w:tcPr>
                  <w:tcW w:w="361" w:type="pct"/>
                  <w:vMerge w:val="continue"/>
                  <w:tcBorders>
                    <w:tl2br w:val="nil"/>
                    <w:tr2bl w:val="nil"/>
                  </w:tcBorders>
                  <w:vAlign w:val="center"/>
                </w:tcPr>
                <w:p w14:paraId="1EEACF7F">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4B9F1DB6">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水洗槽</w:t>
                  </w:r>
                </w:p>
              </w:tc>
              <w:tc>
                <w:tcPr>
                  <w:tcW w:w="1036" w:type="pct"/>
                  <w:tcBorders>
                    <w:tl2br w:val="nil"/>
                    <w:tr2bl w:val="nil"/>
                  </w:tcBorders>
                  <w:vAlign w:val="center"/>
                </w:tcPr>
                <w:p w14:paraId="4C3022F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含油清洗废水</w:t>
                  </w:r>
                </w:p>
              </w:tc>
              <w:tc>
                <w:tcPr>
                  <w:tcW w:w="1391" w:type="pct"/>
                  <w:tcBorders>
                    <w:tl2br w:val="nil"/>
                    <w:tr2bl w:val="nil"/>
                  </w:tcBorders>
                  <w:vAlign w:val="center"/>
                </w:tcPr>
                <w:p w14:paraId="7A44396C">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0D5AE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21BF185">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6FF574A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W2-3</w:t>
                  </w:r>
                </w:p>
              </w:tc>
              <w:tc>
                <w:tcPr>
                  <w:tcW w:w="361" w:type="pct"/>
                  <w:vMerge w:val="continue"/>
                  <w:tcBorders>
                    <w:tl2br w:val="nil"/>
                    <w:tr2bl w:val="nil"/>
                  </w:tcBorders>
                  <w:vAlign w:val="center"/>
                </w:tcPr>
                <w:p w14:paraId="37FDA8C7">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6BB3BF93">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1036" w:type="pct"/>
                  <w:tcBorders>
                    <w:tl2br w:val="nil"/>
                    <w:tr2bl w:val="nil"/>
                  </w:tcBorders>
                  <w:vAlign w:val="center"/>
                </w:tcPr>
                <w:p w14:paraId="04CD7BC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含酸洗槽废水</w:t>
                  </w:r>
                </w:p>
              </w:tc>
              <w:tc>
                <w:tcPr>
                  <w:tcW w:w="1391" w:type="pct"/>
                  <w:tcBorders>
                    <w:tl2br w:val="nil"/>
                    <w:tr2bl w:val="nil"/>
                  </w:tcBorders>
                  <w:vAlign w:val="center"/>
                </w:tcPr>
                <w:p w14:paraId="5366FCD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489A5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1FC65A1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0D014BD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W2-4</w:t>
                  </w:r>
                </w:p>
              </w:tc>
              <w:tc>
                <w:tcPr>
                  <w:tcW w:w="361" w:type="pct"/>
                  <w:vMerge w:val="continue"/>
                  <w:tcBorders>
                    <w:tl2br w:val="nil"/>
                    <w:tr2bl w:val="nil"/>
                  </w:tcBorders>
                  <w:vAlign w:val="center"/>
                </w:tcPr>
                <w:p w14:paraId="7D4A415E">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157914E7">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水洗槽</w:t>
                  </w:r>
                </w:p>
              </w:tc>
              <w:tc>
                <w:tcPr>
                  <w:tcW w:w="1036" w:type="pct"/>
                  <w:tcBorders>
                    <w:tl2br w:val="nil"/>
                    <w:tr2bl w:val="nil"/>
                  </w:tcBorders>
                  <w:vAlign w:val="center"/>
                </w:tcPr>
                <w:p w14:paraId="1BC1C66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含酸清洗废水</w:t>
                  </w:r>
                </w:p>
              </w:tc>
              <w:tc>
                <w:tcPr>
                  <w:tcW w:w="1391" w:type="pct"/>
                  <w:tcBorders>
                    <w:tl2br w:val="nil"/>
                    <w:tr2bl w:val="nil"/>
                  </w:tcBorders>
                  <w:vAlign w:val="center"/>
                </w:tcPr>
                <w:p w14:paraId="3C19427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4B7C4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180E0FE4">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48DF359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W8-1</w:t>
                  </w:r>
                </w:p>
              </w:tc>
              <w:tc>
                <w:tcPr>
                  <w:tcW w:w="361" w:type="pct"/>
                  <w:vMerge w:val="continue"/>
                  <w:tcBorders>
                    <w:tl2br w:val="nil"/>
                    <w:tr2bl w:val="nil"/>
                  </w:tcBorders>
                  <w:vAlign w:val="center"/>
                </w:tcPr>
                <w:p w14:paraId="4318FEEA">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2D6389C2">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表调槽</w:t>
                  </w:r>
                </w:p>
              </w:tc>
              <w:tc>
                <w:tcPr>
                  <w:tcW w:w="1036" w:type="pct"/>
                  <w:tcBorders>
                    <w:tl2br w:val="nil"/>
                    <w:tr2bl w:val="nil"/>
                  </w:tcBorders>
                  <w:vAlign w:val="center"/>
                </w:tcPr>
                <w:p w14:paraId="4B81808C">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含表调剂洗槽废水</w:t>
                  </w:r>
                </w:p>
              </w:tc>
              <w:tc>
                <w:tcPr>
                  <w:tcW w:w="1391" w:type="pct"/>
                  <w:tcBorders>
                    <w:tl2br w:val="nil"/>
                    <w:tr2bl w:val="nil"/>
                  </w:tcBorders>
                  <w:vAlign w:val="center"/>
                </w:tcPr>
                <w:p w14:paraId="55D0C164">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7A0FE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9D3F243">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5A2F478C">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W8-2</w:t>
                  </w:r>
                </w:p>
              </w:tc>
              <w:tc>
                <w:tcPr>
                  <w:tcW w:w="361" w:type="pct"/>
                  <w:vMerge w:val="continue"/>
                  <w:tcBorders>
                    <w:tl2br w:val="nil"/>
                    <w:tr2bl w:val="nil"/>
                  </w:tcBorders>
                  <w:vAlign w:val="center"/>
                </w:tcPr>
                <w:p w14:paraId="3DE504B9">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476DA2F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水洗槽6、水洗槽7</w:t>
                  </w:r>
                </w:p>
              </w:tc>
              <w:tc>
                <w:tcPr>
                  <w:tcW w:w="1036" w:type="pct"/>
                  <w:tcBorders>
                    <w:tl2br w:val="nil"/>
                    <w:tr2bl w:val="nil"/>
                  </w:tcBorders>
                  <w:vAlign w:val="center"/>
                </w:tcPr>
                <w:p w14:paraId="6985AE81">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含表调剂清洗废水</w:t>
                  </w:r>
                </w:p>
              </w:tc>
              <w:tc>
                <w:tcPr>
                  <w:tcW w:w="1391" w:type="pct"/>
                  <w:tcBorders>
                    <w:tl2br w:val="nil"/>
                    <w:tr2bl w:val="nil"/>
                  </w:tcBorders>
                  <w:vAlign w:val="center"/>
                </w:tcPr>
                <w:p w14:paraId="5A89702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5CE95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00771C8">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26CF5951">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W4-3</w:t>
                  </w:r>
                </w:p>
              </w:tc>
              <w:tc>
                <w:tcPr>
                  <w:tcW w:w="361" w:type="pct"/>
                  <w:vMerge w:val="continue"/>
                  <w:tcBorders>
                    <w:tl2br w:val="nil"/>
                    <w:tr2bl w:val="nil"/>
                  </w:tcBorders>
                  <w:vAlign w:val="center"/>
                </w:tcPr>
                <w:p w14:paraId="259366F9">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460B3B52">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硅烷槽</w:t>
                  </w:r>
                </w:p>
              </w:tc>
              <w:tc>
                <w:tcPr>
                  <w:tcW w:w="1036" w:type="pct"/>
                  <w:tcBorders>
                    <w:tl2br w:val="nil"/>
                    <w:tr2bl w:val="nil"/>
                  </w:tcBorders>
                  <w:vAlign w:val="center"/>
                </w:tcPr>
                <w:p w14:paraId="245790C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含硅烷剂洗槽废水</w:t>
                  </w:r>
                </w:p>
              </w:tc>
              <w:tc>
                <w:tcPr>
                  <w:tcW w:w="1391" w:type="pct"/>
                  <w:tcBorders>
                    <w:tl2br w:val="nil"/>
                    <w:tr2bl w:val="nil"/>
                  </w:tcBorders>
                  <w:vAlign w:val="center"/>
                </w:tcPr>
                <w:p w14:paraId="1CF017B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进高浓度废水收集池处理后进电泳废水池继续处理</w:t>
                  </w:r>
                </w:p>
              </w:tc>
            </w:tr>
            <w:tr w14:paraId="7E6E7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0D7B72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00AC117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W4-4</w:t>
                  </w:r>
                </w:p>
              </w:tc>
              <w:tc>
                <w:tcPr>
                  <w:tcW w:w="361" w:type="pct"/>
                  <w:vMerge w:val="continue"/>
                  <w:tcBorders>
                    <w:tl2br w:val="nil"/>
                    <w:tr2bl w:val="nil"/>
                  </w:tcBorders>
                  <w:vAlign w:val="center"/>
                </w:tcPr>
                <w:p w14:paraId="4D2ECDED">
                  <w:pPr>
                    <w:pStyle w:val="31"/>
                    <w:jc w:val="center"/>
                    <w:rPr>
                      <w:rFonts w:hint="default" w:ascii="Times New Roman" w:hAnsi="Times New Roman" w:eastAsia="仿宋" w:cs="Times New Roman"/>
                      <w:color w:val="auto"/>
                      <w:sz w:val="21"/>
                      <w:szCs w:val="21"/>
                      <w:highlight w:val="none"/>
                    </w:rPr>
                  </w:pPr>
                </w:p>
              </w:tc>
              <w:tc>
                <w:tcPr>
                  <w:tcW w:w="1418" w:type="pct"/>
                  <w:tcBorders>
                    <w:tl2br w:val="nil"/>
                    <w:tr2bl w:val="nil"/>
                  </w:tcBorders>
                  <w:vAlign w:val="center"/>
                </w:tcPr>
                <w:p w14:paraId="1257F61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水洗槽9、水洗槽10、水洗槽11、水洗槽12</w:t>
                  </w:r>
                </w:p>
              </w:tc>
              <w:tc>
                <w:tcPr>
                  <w:tcW w:w="1036" w:type="pct"/>
                  <w:tcBorders>
                    <w:tl2br w:val="nil"/>
                    <w:tr2bl w:val="nil"/>
                  </w:tcBorders>
                  <w:vAlign w:val="center"/>
                </w:tcPr>
                <w:p w14:paraId="6F18751F">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含硅烷剂清洗废水</w:t>
                  </w:r>
                </w:p>
              </w:tc>
              <w:tc>
                <w:tcPr>
                  <w:tcW w:w="1391" w:type="pct"/>
                  <w:tcBorders>
                    <w:tl2br w:val="nil"/>
                    <w:tr2bl w:val="nil"/>
                  </w:tcBorders>
                  <w:vAlign w:val="center"/>
                </w:tcPr>
                <w:p w14:paraId="20433BB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030CA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E7767CA">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3EFF9D1D">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W9</w:t>
                  </w:r>
                </w:p>
              </w:tc>
              <w:tc>
                <w:tcPr>
                  <w:tcW w:w="1779" w:type="pct"/>
                  <w:gridSpan w:val="2"/>
                  <w:tcBorders>
                    <w:tl2br w:val="nil"/>
                    <w:tr2bl w:val="nil"/>
                  </w:tcBorders>
                  <w:shd w:val="clear" w:color="auto" w:fill="auto"/>
                  <w:vAlign w:val="center"/>
                </w:tcPr>
                <w:p w14:paraId="6FCE18E5">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纯水制备</w:t>
                  </w:r>
                </w:p>
              </w:tc>
              <w:tc>
                <w:tcPr>
                  <w:tcW w:w="1036" w:type="pct"/>
                  <w:tcBorders>
                    <w:tl2br w:val="nil"/>
                    <w:tr2bl w:val="nil"/>
                  </w:tcBorders>
                  <w:shd w:val="clear" w:color="auto" w:fill="auto"/>
                  <w:vAlign w:val="center"/>
                </w:tcPr>
                <w:p w14:paraId="675C3E41">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浓水</w:t>
                  </w:r>
                </w:p>
              </w:tc>
              <w:tc>
                <w:tcPr>
                  <w:tcW w:w="1391" w:type="pct"/>
                  <w:tcBorders>
                    <w:tl2br w:val="nil"/>
                    <w:tr2bl w:val="nil"/>
                  </w:tcBorders>
                  <w:shd w:val="clear" w:color="auto" w:fill="auto"/>
                  <w:vAlign w:val="center"/>
                </w:tcPr>
                <w:p w14:paraId="60D25DFF">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接市政污水管网</w:t>
                  </w:r>
                </w:p>
              </w:tc>
            </w:tr>
            <w:tr w14:paraId="2E436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3ED4D73">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7ACDD1FD">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W10</w:t>
                  </w:r>
                </w:p>
              </w:tc>
              <w:tc>
                <w:tcPr>
                  <w:tcW w:w="1779" w:type="pct"/>
                  <w:gridSpan w:val="2"/>
                  <w:tcBorders>
                    <w:tl2br w:val="nil"/>
                    <w:tr2bl w:val="nil"/>
                  </w:tcBorders>
                  <w:shd w:val="clear" w:color="auto" w:fill="auto"/>
                  <w:vAlign w:val="center"/>
                </w:tcPr>
                <w:p w14:paraId="6797F9B6">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地面清洗</w:t>
                  </w:r>
                </w:p>
              </w:tc>
              <w:tc>
                <w:tcPr>
                  <w:tcW w:w="1036" w:type="pct"/>
                  <w:tcBorders>
                    <w:tl2br w:val="nil"/>
                    <w:tr2bl w:val="nil"/>
                  </w:tcBorders>
                  <w:shd w:val="clear" w:color="auto" w:fill="auto"/>
                  <w:vAlign w:val="center"/>
                </w:tcPr>
                <w:p w14:paraId="3B594C8A">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地面清洗废水</w:t>
                  </w:r>
                </w:p>
              </w:tc>
              <w:tc>
                <w:tcPr>
                  <w:tcW w:w="1391" w:type="pct"/>
                  <w:tcBorders>
                    <w:tl2br w:val="nil"/>
                    <w:tr2bl w:val="nil"/>
                  </w:tcBorders>
                  <w:vAlign w:val="center"/>
                </w:tcPr>
                <w:p w14:paraId="0D29C32B">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进厂区综合废水池处理</w:t>
                  </w:r>
                </w:p>
              </w:tc>
            </w:tr>
            <w:tr w14:paraId="6E900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restart"/>
                  <w:tcBorders>
                    <w:tl2br w:val="nil"/>
                    <w:tr2bl w:val="nil"/>
                  </w:tcBorders>
                  <w:vAlign w:val="center"/>
                </w:tcPr>
                <w:p w14:paraId="7E188C8A">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固废</w:t>
                  </w:r>
                </w:p>
              </w:tc>
              <w:tc>
                <w:tcPr>
                  <w:tcW w:w="404" w:type="pct"/>
                  <w:tcBorders>
                    <w:tl2br w:val="nil"/>
                    <w:tr2bl w:val="nil"/>
                  </w:tcBorders>
                  <w:vAlign w:val="center"/>
                </w:tcPr>
                <w:p w14:paraId="0ED47968">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S1</w:t>
                  </w:r>
                </w:p>
              </w:tc>
              <w:tc>
                <w:tcPr>
                  <w:tcW w:w="361" w:type="pct"/>
                  <w:vMerge w:val="restart"/>
                  <w:tcBorders>
                    <w:tl2br w:val="nil"/>
                    <w:tr2bl w:val="nil"/>
                  </w:tcBorders>
                  <w:vAlign w:val="center"/>
                </w:tcPr>
                <w:p w14:paraId="08423438">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机加工</w:t>
                  </w:r>
                </w:p>
              </w:tc>
              <w:tc>
                <w:tcPr>
                  <w:tcW w:w="1418" w:type="pct"/>
                  <w:tcBorders>
                    <w:tl2br w:val="nil"/>
                    <w:tr2bl w:val="nil"/>
                  </w:tcBorders>
                  <w:shd w:val="clear" w:color="auto" w:fill="auto"/>
                  <w:vAlign w:val="center"/>
                </w:tcPr>
                <w:p w14:paraId="630AB069">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切割</w:t>
                  </w:r>
                </w:p>
              </w:tc>
              <w:tc>
                <w:tcPr>
                  <w:tcW w:w="1036" w:type="pct"/>
                  <w:tcBorders>
                    <w:tl2br w:val="nil"/>
                    <w:tr2bl w:val="nil"/>
                  </w:tcBorders>
                  <w:vAlign w:val="center"/>
                </w:tcPr>
                <w:p w14:paraId="6EDA0CF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废边角料</w:t>
                  </w:r>
                </w:p>
              </w:tc>
              <w:tc>
                <w:tcPr>
                  <w:tcW w:w="1391" w:type="pct"/>
                  <w:tcBorders>
                    <w:tl2br w:val="nil"/>
                    <w:tr2bl w:val="nil"/>
                  </w:tcBorders>
                  <w:vAlign w:val="center"/>
                </w:tcPr>
                <w:p w14:paraId="3E30BB59">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交由合法合规单位处置</w:t>
                  </w:r>
                </w:p>
              </w:tc>
            </w:tr>
            <w:tr w14:paraId="5F0D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687D502">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40374AF">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S2</w:t>
                  </w:r>
                </w:p>
              </w:tc>
              <w:tc>
                <w:tcPr>
                  <w:tcW w:w="361" w:type="pct"/>
                  <w:vMerge w:val="continue"/>
                  <w:tcBorders>
                    <w:tl2br w:val="nil"/>
                    <w:tr2bl w:val="nil"/>
                  </w:tcBorders>
                  <w:shd w:val="clear" w:color="auto" w:fill="auto"/>
                  <w:vAlign w:val="center"/>
                </w:tcPr>
                <w:p w14:paraId="53A037F0">
                  <w:pPr>
                    <w:pStyle w:val="31"/>
                    <w:jc w:val="center"/>
                    <w:rPr>
                      <w:rFonts w:hint="default" w:ascii="Times New Roman" w:hAnsi="Times New Roman" w:eastAsia="仿宋" w:cs="Times New Roman"/>
                      <w:color w:val="auto"/>
                      <w:kern w:val="0"/>
                      <w:sz w:val="21"/>
                      <w:szCs w:val="21"/>
                      <w:highlight w:val="none"/>
                      <w:lang w:val="en-US" w:eastAsia="zh-CN" w:bidi="ar-SA"/>
                    </w:rPr>
                  </w:pPr>
                </w:p>
              </w:tc>
              <w:tc>
                <w:tcPr>
                  <w:tcW w:w="1418" w:type="pct"/>
                  <w:tcBorders>
                    <w:tl2br w:val="nil"/>
                    <w:tr2bl w:val="nil"/>
                  </w:tcBorders>
                  <w:shd w:val="clear" w:color="auto" w:fill="auto"/>
                  <w:vAlign w:val="center"/>
                </w:tcPr>
                <w:p w14:paraId="3ACE05A5">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冲压</w:t>
                  </w:r>
                </w:p>
              </w:tc>
              <w:tc>
                <w:tcPr>
                  <w:tcW w:w="1036" w:type="pct"/>
                  <w:tcBorders>
                    <w:tl2br w:val="nil"/>
                    <w:tr2bl w:val="nil"/>
                  </w:tcBorders>
                  <w:shd w:val="clear" w:color="auto" w:fill="auto"/>
                  <w:vAlign w:val="center"/>
                </w:tcPr>
                <w:p w14:paraId="448ECE46">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废边角料</w:t>
                  </w:r>
                </w:p>
              </w:tc>
              <w:tc>
                <w:tcPr>
                  <w:tcW w:w="1391" w:type="pct"/>
                  <w:tcBorders>
                    <w:tl2br w:val="nil"/>
                    <w:tr2bl w:val="nil"/>
                  </w:tcBorders>
                  <w:vAlign w:val="center"/>
                </w:tcPr>
                <w:p w14:paraId="358C3656">
                  <w:pPr>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交由合法合规单位处置</w:t>
                  </w:r>
                </w:p>
              </w:tc>
            </w:tr>
            <w:tr w14:paraId="0B17B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21A7D71">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3D4B13B2">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S3</w:t>
                  </w:r>
                </w:p>
              </w:tc>
              <w:tc>
                <w:tcPr>
                  <w:tcW w:w="361" w:type="pct"/>
                  <w:vMerge w:val="continue"/>
                  <w:tcBorders>
                    <w:tl2br w:val="nil"/>
                    <w:tr2bl w:val="nil"/>
                  </w:tcBorders>
                  <w:vAlign w:val="center"/>
                </w:tcPr>
                <w:p w14:paraId="043F5D9F">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shd w:val="clear" w:color="auto" w:fill="auto"/>
                  <w:vAlign w:val="center"/>
                </w:tcPr>
                <w:p w14:paraId="45B5568B">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检验</w:t>
                  </w:r>
                </w:p>
              </w:tc>
              <w:tc>
                <w:tcPr>
                  <w:tcW w:w="1036" w:type="pct"/>
                  <w:tcBorders>
                    <w:tl2br w:val="nil"/>
                    <w:tr2bl w:val="nil"/>
                  </w:tcBorders>
                  <w:vAlign w:val="center"/>
                </w:tcPr>
                <w:p w14:paraId="4209CFC5">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不合格品</w:t>
                  </w:r>
                </w:p>
              </w:tc>
              <w:tc>
                <w:tcPr>
                  <w:tcW w:w="1391" w:type="pct"/>
                  <w:tcBorders>
                    <w:tl2br w:val="nil"/>
                    <w:tr2bl w:val="nil"/>
                  </w:tcBorders>
                  <w:vAlign w:val="center"/>
                </w:tcPr>
                <w:p w14:paraId="65691356">
                  <w:pPr>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交由合法合规单位处置</w:t>
                  </w:r>
                </w:p>
              </w:tc>
            </w:tr>
            <w:tr w14:paraId="32CAE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8B1694D">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vAlign w:val="center"/>
                </w:tcPr>
                <w:p w14:paraId="2417C511">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S4</w:t>
                  </w:r>
                </w:p>
              </w:tc>
              <w:tc>
                <w:tcPr>
                  <w:tcW w:w="361" w:type="pct"/>
                  <w:vMerge w:val="restart"/>
                  <w:tcBorders>
                    <w:tl2br w:val="nil"/>
                    <w:tr2bl w:val="nil"/>
                  </w:tcBorders>
                  <w:vAlign w:val="center"/>
                </w:tcPr>
                <w:p w14:paraId="5B87B42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w:t>
                  </w:r>
                </w:p>
              </w:tc>
              <w:tc>
                <w:tcPr>
                  <w:tcW w:w="1418" w:type="pct"/>
                  <w:tcBorders>
                    <w:tl2br w:val="nil"/>
                    <w:tr2bl w:val="nil"/>
                  </w:tcBorders>
                  <w:vAlign w:val="center"/>
                </w:tcPr>
                <w:p w14:paraId="2FDDE401">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热脱脂槽</w:t>
                  </w:r>
                </w:p>
              </w:tc>
              <w:tc>
                <w:tcPr>
                  <w:tcW w:w="1036" w:type="pct"/>
                  <w:tcBorders>
                    <w:tl2br w:val="nil"/>
                    <w:tr2bl w:val="nil"/>
                  </w:tcBorders>
                  <w:vAlign w:val="center"/>
                </w:tcPr>
                <w:p w14:paraId="7C993921">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脱脂废液</w:t>
                  </w:r>
                </w:p>
              </w:tc>
              <w:tc>
                <w:tcPr>
                  <w:tcW w:w="1391" w:type="pct"/>
                  <w:tcBorders>
                    <w:tl2br w:val="nil"/>
                    <w:tr2bl w:val="nil"/>
                  </w:tcBorders>
                  <w:vAlign w:val="center"/>
                </w:tcPr>
                <w:p w14:paraId="3C914C26">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0AB40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A5E9928">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67A0D7A9">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S5</w:t>
                  </w:r>
                </w:p>
              </w:tc>
              <w:tc>
                <w:tcPr>
                  <w:tcW w:w="361" w:type="pct"/>
                  <w:vMerge w:val="continue"/>
                  <w:tcBorders>
                    <w:tl2br w:val="nil"/>
                    <w:tr2bl w:val="nil"/>
                  </w:tcBorders>
                  <w:vAlign w:val="center"/>
                </w:tcPr>
                <w:p w14:paraId="68F8253E">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594E9C0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1036" w:type="pct"/>
                  <w:tcBorders>
                    <w:tl2br w:val="nil"/>
                    <w:tr2bl w:val="nil"/>
                  </w:tcBorders>
                  <w:shd w:val="clear" w:color="auto" w:fill="auto"/>
                  <w:vAlign w:val="center"/>
                </w:tcPr>
                <w:p w14:paraId="3F2A0903">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酸洗废液</w:t>
                  </w:r>
                </w:p>
              </w:tc>
              <w:tc>
                <w:tcPr>
                  <w:tcW w:w="1391" w:type="pct"/>
                  <w:tcBorders>
                    <w:tl2br w:val="nil"/>
                    <w:tr2bl w:val="nil"/>
                  </w:tcBorders>
                  <w:vAlign w:val="center"/>
                </w:tcPr>
                <w:p w14:paraId="2F55FAF4">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0B7FF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9649E95">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32860D85">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S6</w:t>
                  </w:r>
                </w:p>
              </w:tc>
              <w:tc>
                <w:tcPr>
                  <w:tcW w:w="361" w:type="pct"/>
                  <w:vMerge w:val="continue"/>
                  <w:tcBorders>
                    <w:tl2br w:val="nil"/>
                    <w:tr2bl w:val="nil"/>
                  </w:tcBorders>
                  <w:vAlign w:val="center"/>
                </w:tcPr>
                <w:p w14:paraId="21463059">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15C8243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中和槽</w:t>
                  </w:r>
                </w:p>
              </w:tc>
              <w:tc>
                <w:tcPr>
                  <w:tcW w:w="1036" w:type="pct"/>
                  <w:tcBorders>
                    <w:tl2br w:val="nil"/>
                    <w:tr2bl w:val="nil"/>
                  </w:tcBorders>
                  <w:shd w:val="clear" w:color="auto" w:fill="auto"/>
                  <w:vAlign w:val="center"/>
                </w:tcPr>
                <w:p w14:paraId="6DE1EB5A">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中和废液</w:t>
                  </w:r>
                </w:p>
              </w:tc>
              <w:tc>
                <w:tcPr>
                  <w:tcW w:w="1391" w:type="pct"/>
                  <w:tcBorders>
                    <w:tl2br w:val="nil"/>
                    <w:tr2bl w:val="nil"/>
                  </w:tcBorders>
                  <w:vAlign w:val="center"/>
                </w:tcPr>
                <w:p w14:paraId="637DD5A8">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176F7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DFEF3C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5FE34E26">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S7</w:t>
                  </w:r>
                </w:p>
              </w:tc>
              <w:tc>
                <w:tcPr>
                  <w:tcW w:w="361" w:type="pct"/>
                  <w:vMerge w:val="continue"/>
                  <w:tcBorders>
                    <w:tl2br w:val="nil"/>
                    <w:tr2bl w:val="nil"/>
                  </w:tcBorders>
                  <w:vAlign w:val="center"/>
                </w:tcPr>
                <w:p w14:paraId="06CEEB3D">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17451173">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硅烷槽</w:t>
                  </w:r>
                </w:p>
              </w:tc>
              <w:tc>
                <w:tcPr>
                  <w:tcW w:w="1036" w:type="pct"/>
                  <w:tcBorders>
                    <w:tl2br w:val="nil"/>
                    <w:tr2bl w:val="nil"/>
                  </w:tcBorders>
                  <w:shd w:val="clear" w:color="auto" w:fill="auto"/>
                  <w:vAlign w:val="center"/>
                </w:tcPr>
                <w:p w14:paraId="0AF03040">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硅烷废液</w:t>
                  </w:r>
                </w:p>
              </w:tc>
              <w:tc>
                <w:tcPr>
                  <w:tcW w:w="1391" w:type="pct"/>
                  <w:tcBorders>
                    <w:tl2br w:val="nil"/>
                    <w:tr2bl w:val="nil"/>
                  </w:tcBorders>
                  <w:vAlign w:val="center"/>
                </w:tcPr>
                <w:p w14:paraId="6BA03D54">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661E1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67D255C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5F2B4DB1">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S8</w:t>
                  </w:r>
                </w:p>
              </w:tc>
              <w:tc>
                <w:tcPr>
                  <w:tcW w:w="361" w:type="pct"/>
                  <w:vMerge w:val="continue"/>
                  <w:tcBorders>
                    <w:tl2br w:val="nil"/>
                    <w:tr2bl w:val="nil"/>
                  </w:tcBorders>
                  <w:vAlign w:val="center"/>
                </w:tcPr>
                <w:p w14:paraId="527EA7D1">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419A899A">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电泳槽</w:t>
                  </w:r>
                </w:p>
              </w:tc>
              <w:tc>
                <w:tcPr>
                  <w:tcW w:w="1036" w:type="pct"/>
                  <w:tcBorders>
                    <w:tl2br w:val="nil"/>
                    <w:tr2bl w:val="nil"/>
                  </w:tcBorders>
                  <w:shd w:val="clear" w:color="auto" w:fill="auto"/>
                  <w:vAlign w:val="center"/>
                </w:tcPr>
                <w:p w14:paraId="705E4BC7">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槽渣</w:t>
                  </w:r>
                </w:p>
              </w:tc>
              <w:tc>
                <w:tcPr>
                  <w:tcW w:w="1391" w:type="pct"/>
                  <w:tcBorders>
                    <w:tl2br w:val="nil"/>
                    <w:tr2bl w:val="nil"/>
                  </w:tcBorders>
                  <w:vAlign w:val="center"/>
                </w:tcPr>
                <w:p w14:paraId="405C4BD0">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02E22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89CDFA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5AC32FE3">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S9</w:t>
                  </w:r>
                </w:p>
              </w:tc>
              <w:tc>
                <w:tcPr>
                  <w:tcW w:w="361" w:type="pct"/>
                  <w:vMerge w:val="continue"/>
                  <w:tcBorders>
                    <w:tl2br w:val="nil"/>
                    <w:tr2bl w:val="nil"/>
                  </w:tcBorders>
                  <w:vAlign w:val="center"/>
                </w:tcPr>
                <w:p w14:paraId="741E5537">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4CB344C7">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超滤装置</w:t>
                  </w:r>
                </w:p>
              </w:tc>
              <w:tc>
                <w:tcPr>
                  <w:tcW w:w="1036" w:type="pct"/>
                  <w:tcBorders>
                    <w:tl2br w:val="nil"/>
                    <w:tr2bl w:val="nil"/>
                  </w:tcBorders>
                  <w:shd w:val="clear" w:color="auto" w:fill="auto"/>
                  <w:vAlign w:val="center"/>
                </w:tcPr>
                <w:p w14:paraId="2B76D874">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废超滤膜</w:t>
                  </w:r>
                </w:p>
              </w:tc>
              <w:tc>
                <w:tcPr>
                  <w:tcW w:w="1391" w:type="pct"/>
                  <w:tcBorders>
                    <w:tl2br w:val="nil"/>
                    <w:tr2bl w:val="nil"/>
                  </w:tcBorders>
                  <w:vAlign w:val="center"/>
                </w:tcPr>
                <w:p w14:paraId="14DEA330">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755CB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0197E0B">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00870160">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S10</w:t>
                  </w:r>
                </w:p>
              </w:tc>
              <w:tc>
                <w:tcPr>
                  <w:tcW w:w="361" w:type="pct"/>
                  <w:vMerge w:val="restart"/>
                  <w:tcBorders>
                    <w:tl2br w:val="nil"/>
                    <w:tr2bl w:val="nil"/>
                  </w:tcBorders>
                  <w:vAlign w:val="center"/>
                </w:tcPr>
                <w:p w14:paraId="450FCF70">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喷粉线</w:t>
                  </w:r>
                </w:p>
              </w:tc>
              <w:tc>
                <w:tcPr>
                  <w:tcW w:w="1418" w:type="pct"/>
                  <w:tcBorders>
                    <w:tl2br w:val="nil"/>
                    <w:tr2bl w:val="nil"/>
                  </w:tcBorders>
                  <w:vAlign w:val="center"/>
                </w:tcPr>
                <w:p w14:paraId="2C4ACC3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脱脂槽</w:t>
                  </w:r>
                </w:p>
              </w:tc>
              <w:tc>
                <w:tcPr>
                  <w:tcW w:w="1036" w:type="pct"/>
                  <w:tcBorders>
                    <w:tl2br w:val="nil"/>
                    <w:tr2bl w:val="nil"/>
                  </w:tcBorders>
                  <w:shd w:val="clear" w:color="auto" w:fill="auto"/>
                  <w:vAlign w:val="center"/>
                </w:tcPr>
                <w:p w14:paraId="2CEB5762">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脱脂废液</w:t>
                  </w:r>
                </w:p>
              </w:tc>
              <w:tc>
                <w:tcPr>
                  <w:tcW w:w="1391" w:type="pct"/>
                  <w:tcBorders>
                    <w:tl2br w:val="nil"/>
                    <w:tr2bl w:val="nil"/>
                  </w:tcBorders>
                  <w:shd w:val="clear" w:color="auto" w:fill="auto"/>
                  <w:vAlign w:val="center"/>
                </w:tcPr>
                <w:p w14:paraId="517B48A9">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61006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04C3EC6">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19798896">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S11</w:t>
                  </w:r>
                </w:p>
              </w:tc>
              <w:tc>
                <w:tcPr>
                  <w:tcW w:w="361" w:type="pct"/>
                  <w:vMerge w:val="continue"/>
                  <w:tcBorders>
                    <w:tl2br w:val="nil"/>
                    <w:tr2bl w:val="nil"/>
                  </w:tcBorders>
                  <w:vAlign w:val="center"/>
                </w:tcPr>
                <w:p w14:paraId="5205D3F9">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7428B64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1036" w:type="pct"/>
                  <w:tcBorders>
                    <w:tl2br w:val="nil"/>
                    <w:tr2bl w:val="nil"/>
                  </w:tcBorders>
                  <w:shd w:val="clear" w:color="auto" w:fill="auto"/>
                  <w:vAlign w:val="center"/>
                </w:tcPr>
                <w:p w14:paraId="767314AF">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酸洗废液</w:t>
                  </w:r>
                </w:p>
              </w:tc>
              <w:tc>
                <w:tcPr>
                  <w:tcW w:w="1391" w:type="pct"/>
                  <w:tcBorders>
                    <w:tl2br w:val="nil"/>
                    <w:tr2bl w:val="nil"/>
                  </w:tcBorders>
                  <w:shd w:val="clear" w:color="auto" w:fill="auto"/>
                  <w:vAlign w:val="center"/>
                </w:tcPr>
                <w:p w14:paraId="222EE56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56368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E4CC132">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0A489C53">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S12</w:t>
                  </w:r>
                </w:p>
              </w:tc>
              <w:tc>
                <w:tcPr>
                  <w:tcW w:w="361" w:type="pct"/>
                  <w:vMerge w:val="continue"/>
                  <w:tcBorders>
                    <w:tl2br w:val="nil"/>
                    <w:tr2bl w:val="nil"/>
                  </w:tcBorders>
                  <w:vAlign w:val="center"/>
                </w:tcPr>
                <w:p w14:paraId="72789250">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vAlign w:val="center"/>
                </w:tcPr>
                <w:p w14:paraId="217EAD9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表调槽</w:t>
                  </w:r>
                </w:p>
              </w:tc>
              <w:tc>
                <w:tcPr>
                  <w:tcW w:w="1036" w:type="pct"/>
                  <w:tcBorders>
                    <w:tl2br w:val="nil"/>
                    <w:tr2bl w:val="nil"/>
                  </w:tcBorders>
                  <w:shd w:val="clear" w:color="auto" w:fill="auto"/>
                  <w:vAlign w:val="center"/>
                </w:tcPr>
                <w:p w14:paraId="4DD11FD7">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表调废液</w:t>
                  </w:r>
                </w:p>
              </w:tc>
              <w:tc>
                <w:tcPr>
                  <w:tcW w:w="1391" w:type="pct"/>
                  <w:tcBorders>
                    <w:tl2br w:val="nil"/>
                    <w:tr2bl w:val="nil"/>
                  </w:tcBorders>
                  <w:vAlign w:val="center"/>
                </w:tcPr>
                <w:p w14:paraId="0AFD2B3E">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2EFE4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33D6728">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29FDB0A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S13</w:t>
                  </w:r>
                </w:p>
              </w:tc>
              <w:tc>
                <w:tcPr>
                  <w:tcW w:w="361" w:type="pct"/>
                  <w:vMerge w:val="continue"/>
                  <w:tcBorders>
                    <w:tl2br w:val="nil"/>
                    <w:tr2bl w:val="nil"/>
                  </w:tcBorders>
                  <w:vAlign w:val="center"/>
                </w:tcPr>
                <w:p w14:paraId="4392429C">
                  <w:pPr>
                    <w:pStyle w:val="31"/>
                    <w:jc w:val="center"/>
                    <w:rPr>
                      <w:rFonts w:hint="default" w:ascii="Times New Roman" w:hAnsi="Times New Roman" w:eastAsia="仿宋" w:cs="Times New Roman"/>
                      <w:color w:val="auto"/>
                      <w:sz w:val="21"/>
                      <w:szCs w:val="21"/>
                      <w:highlight w:val="none"/>
                      <w:lang w:val="en-US" w:eastAsia="zh-CN"/>
                    </w:rPr>
                  </w:pPr>
                </w:p>
              </w:tc>
              <w:tc>
                <w:tcPr>
                  <w:tcW w:w="1418" w:type="pct"/>
                  <w:tcBorders>
                    <w:tl2br w:val="nil"/>
                    <w:tr2bl w:val="nil"/>
                  </w:tcBorders>
                  <w:shd w:val="clear" w:color="auto" w:fill="auto"/>
                  <w:vAlign w:val="center"/>
                </w:tcPr>
                <w:p w14:paraId="6A0B761B">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硅烷槽</w:t>
                  </w:r>
                </w:p>
              </w:tc>
              <w:tc>
                <w:tcPr>
                  <w:tcW w:w="1036" w:type="pct"/>
                  <w:tcBorders>
                    <w:tl2br w:val="nil"/>
                    <w:tr2bl w:val="nil"/>
                  </w:tcBorders>
                  <w:shd w:val="clear" w:color="auto" w:fill="auto"/>
                  <w:vAlign w:val="center"/>
                </w:tcPr>
                <w:p w14:paraId="65827F86">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硅烷废液</w:t>
                  </w:r>
                </w:p>
              </w:tc>
              <w:tc>
                <w:tcPr>
                  <w:tcW w:w="1391" w:type="pct"/>
                  <w:tcBorders>
                    <w:tl2br w:val="nil"/>
                    <w:tr2bl w:val="nil"/>
                  </w:tcBorders>
                  <w:shd w:val="clear" w:color="auto" w:fill="auto"/>
                  <w:vAlign w:val="center"/>
                </w:tcPr>
                <w:p w14:paraId="6A7AF4B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23CED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9FC95B1">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9DB3F76">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S14</w:t>
                  </w:r>
                </w:p>
              </w:tc>
              <w:tc>
                <w:tcPr>
                  <w:tcW w:w="1779" w:type="pct"/>
                  <w:gridSpan w:val="2"/>
                  <w:tcBorders>
                    <w:tl2br w:val="nil"/>
                    <w:tr2bl w:val="nil"/>
                  </w:tcBorders>
                  <w:vAlign w:val="center"/>
                </w:tcPr>
                <w:p w14:paraId="2CF9727C">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检验</w:t>
                  </w:r>
                </w:p>
              </w:tc>
              <w:tc>
                <w:tcPr>
                  <w:tcW w:w="1036" w:type="pct"/>
                  <w:tcBorders>
                    <w:tl2br w:val="nil"/>
                    <w:tr2bl w:val="nil"/>
                  </w:tcBorders>
                  <w:shd w:val="clear" w:color="auto" w:fill="auto"/>
                  <w:vAlign w:val="center"/>
                </w:tcPr>
                <w:p w14:paraId="309C76DB">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不合格品</w:t>
                  </w:r>
                </w:p>
              </w:tc>
              <w:tc>
                <w:tcPr>
                  <w:tcW w:w="1391" w:type="pct"/>
                  <w:tcBorders>
                    <w:tl2br w:val="nil"/>
                    <w:tr2bl w:val="nil"/>
                  </w:tcBorders>
                  <w:vAlign w:val="center"/>
                </w:tcPr>
                <w:p w14:paraId="22F4F15D">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交由合法合规单位处置</w:t>
                  </w:r>
                </w:p>
              </w:tc>
            </w:tr>
            <w:tr w14:paraId="11CB8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53B3967">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694C289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S15</w:t>
                  </w:r>
                </w:p>
              </w:tc>
              <w:tc>
                <w:tcPr>
                  <w:tcW w:w="1779" w:type="pct"/>
                  <w:gridSpan w:val="2"/>
                  <w:tcBorders>
                    <w:tl2br w:val="nil"/>
                    <w:tr2bl w:val="nil"/>
                  </w:tcBorders>
                  <w:vAlign w:val="center"/>
                </w:tcPr>
                <w:p w14:paraId="3A56B9E5">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原辅料拆包</w:t>
                  </w:r>
                </w:p>
              </w:tc>
              <w:tc>
                <w:tcPr>
                  <w:tcW w:w="1036" w:type="pct"/>
                  <w:tcBorders>
                    <w:tl2br w:val="nil"/>
                    <w:tr2bl w:val="nil"/>
                  </w:tcBorders>
                  <w:shd w:val="clear" w:color="auto" w:fill="auto"/>
                  <w:vAlign w:val="center"/>
                </w:tcPr>
                <w:p w14:paraId="45B4A728">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废包装材料</w:t>
                  </w:r>
                </w:p>
              </w:tc>
              <w:tc>
                <w:tcPr>
                  <w:tcW w:w="1391" w:type="pct"/>
                  <w:tcBorders>
                    <w:tl2br w:val="nil"/>
                    <w:tr2bl w:val="nil"/>
                  </w:tcBorders>
                  <w:vAlign w:val="center"/>
                </w:tcPr>
                <w:p w14:paraId="56E514A1">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交由合法合规单位处置</w:t>
                  </w:r>
                </w:p>
              </w:tc>
            </w:tr>
            <w:tr w14:paraId="2FEC9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E1544B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2AEBF077">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S16</w:t>
                  </w:r>
                </w:p>
              </w:tc>
              <w:tc>
                <w:tcPr>
                  <w:tcW w:w="1779" w:type="pct"/>
                  <w:gridSpan w:val="2"/>
                  <w:tcBorders>
                    <w:tl2br w:val="nil"/>
                    <w:tr2bl w:val="nil"/>
                  </w:tcBorders>
                  <w:vAlign w:val="center"/>
                </w:tcPr>
                <w:p w14:paraId="1FB0E3FF">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原辅料拆包</w:t>
                  </w:r>
                </w:p>
              </w:tc>
              <w:tc>
                <w:tcPr>
                  <w:tcW w:w="1036" w:type="pct"/>
                  <w:tcBorders>
                    <w:tl2br w:val="nil"/>
                    <w:tr2bl w:val="nil"/>
                  </w:tcBorders>
                  <w:shd w:val="clear" w:color="auto" w:fill="auto"/>
                  <w:vAlign w:val="center"/>
                </w:tcPr>
                <w:p w14:paraId="24F862ED">
                  <w:pPr>
                    <w:pStyle w:val="31"/>
                    <w:jc w:val="center"/>
                    <w:rPr>
                      <w:rFonts w:hint="eastAsia"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废包装容器</w:t>
                  </w:r>
                </w:p>
              </w:tc>
              <w:tc>
                <w:tcPr>
                  <w:tcW w:w="1391" w:type="pct"/>
                  <w:tcBorders>
                    <w:tl2br w:val="nil"/>
                    <w:tr2bl w:val="nil"/>
                  </w:tcBorders>
                  <w:vAlign w:val="center"/>
                </w:tcPr>
                <w:p w14:paraId="3B0B86F8">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2213B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D82A1AB">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6086863">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S17</w:t>
                  </w:r>
                </w:p>
              </w:tc>
              <w:tc>
                <w:tcPr>
                  <w:tcW w:w="1779" w:type="pct"/>
                  <w:gridSpan w:val="2"/>
                  <w:tcBorders>
                    <w:tl2br w:val="nil"/>
                    <w:tr2bl w:val="nil"/>
                  </w:tcBorders>
                  <w:vAlign w:val="center"/>
                </w:tcPr>
                <w:p w14:paraId="2E420BC2">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纯水制备</w:t>
                  </w:r>
                </w:p>
              </w:tc>
              <w:tc>
                <w:tcPr>
                  <w:tcW w:w="1036" w:type="pct"/>
                  <w:tcBorders>
                    <w:tl2br w:val="nil"/>
                    <w:tr2bl w:val="nil"/>
                  </w:tcBorders>
                  <w:shd w:val="clear" w:color="auto" w:fill="auto"/>
                  <w:vAlign w:val="center"/>
                </w:tcPr>
                <w:p w14:paraId="634534D0">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废滤材</w:t>
                  </w:r>
                </w:p>
              </w:tc>
              <w:tc>
                <w:tcPr>
                  <w:tcW w:w="1391" w:type="pct"/>
                  <w:tcBorders>
                    <w:tl2br w:val="nil"/>
                    <w:tr2bl w:val="nil"/>
                  </w:tcBorders>
                  <w:vAlign w:val="center"/>
                </w:tcPr>
                <w:p w14:paraId="2BA7C7F2">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交由合法合规单位处置</w:t>
                  </w:r>
                </w:p>
              </w:tc>
            </w:tr>
            <w:tr w14:paraId="5514F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90C06A3">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191485A6">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S18</w:t>
                  </w:r>
                </w:p>
              </w:tc>
              <w:tc>
                <w:tcPr>
                  <w:tcW w:w="1779" w:type="pct"/>
                  <w:gridSpan w:val="2"/>
                  <w:tcBorders>
                    <w:tl2br w:val="nil"/>
                    <w:tr2bl w:val="nil"/>
                  </w:tcBorders>
                  <w:shd w:val="clear" w:color="auto" w:fill="auto"/>
                  <w:vAlign w:val="center"/>
                </w:tcPr>
                <w:p w14:paraId="0C5C53FC">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设备维护保养</w:t>
                  </w:r>
                </w:p>
              </w:tc>
              <w:tc>
                <w:tcPr>
                  <w:tcW w:w="1036" w:type="pct"/>
                  <w:tcBorders>
                    <w:tl2br w:val="nil"/>
                    <w:tr2bl w:val="nil"/>
                  </w:tcBorders>
                  <w:shd w:val="clear" w:color="auto" w:fill="auto"/>
                  <w:vAlign w:val="center"/>
                </w:tcPr>
                <w:p w14:paraId="60E4F3ED">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废润滑油</w:t>
                  </w:r>
                </w:p>
              </w:tc>
              <w:tc>
                <w:tcPr>
                  <w:tcW w:w="1391" w:type="pct"/>
                  <w:tcBorders>
                    <w:tl2br w:val="nil"/>
                    <w:tr2bl w:val="nil"/>
                  </w:tcBorders>
                  <w:shd w:val="clear" w:color="auto" w:fill="auto"/>
                  <w:vAlign w:val="center"/>
                </w:tcPr>
                <w:p w14:paraId="0D7B9985">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1DC67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8D68EA0">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7BC7641">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S19</w:t>
                  </w:r>
                </w:p>
              </w:tc>
              <w:tc>
                <w:tcPr>
                  <w:tcW w:w="1779" w:type="pct"/>
                  <w:gridSpan w:val="2"/>
                  <w:tcBorders>
                    <w:tl2br w:val="nil"/>
                    <w:tr2bl w:val="nil"/>
                  </w:tcBorders>
                  <w:shd w:val="clear" w:color="auto" w:fill="auto"/>
                  <w:vAlign w:val="center"/>
                </w:tcPr>
                <w:p w14:paraId="0BFD1073">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设备维护保养</w:t>
                  </w:r>
                </w:p>
              </w:tc>
              <w:tc>
                <w:tcPr>
                  <w:tcW w:w="1036" w:type="pct"/>
                  <w:tcBorders>
                    <w:tl2br w:val="nil"/>
                    <w:tr2bl w:val="nil"/>
                  </w:tcBorders>
                  <w:shd w:val="clear" w:color="auto" w:fill="auto"/>
                  <w:vAlign w:val="center"/>
                </w:tcPr>
                <w:p w14:paraId="7BD5D4B3">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含油抹布</w:t>
                  </w:r>
                </w:p>
              </w:tc>
              <w:tc>
                <w:tcPr>
                  <w:tcW w:w="1391" w:type="pct"/>
                  <w:tcBorders>
                    <w:tl2br w:val="nil"/>
                    <w:tr2bl w:val="nil"/>
                  </w:tcBorders>
                  <w:shd w:val="clear" w:color="auto" w:fill="auto"/>
                  <w:vAlign w:val="center"/>
                </w:tcPr>
                <w:p w14:paraId="6F424FE6">
                  <w:pPr>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1F6D2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3FE01AEF">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13BF1123">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S20</w:t>
                  </w:r>
                </w:p>
              </w:tc>
              <w:tc>
                <w:tcPr>
                  <w:tcW w:w="1779" w:type="pct"/>
                  <w:gridSpan w:val="2"/>
                  <w:tcBorders>
                    <w:tl2br w:val="nil"/>
                    <w:tr2bl w:val="nil"/>
                  </w:tcBorders>
                  <w:vAlign w:val="center"/>
                </w:tcPr>
                <w:p w14:paraId="107CA77D">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润滑油拆包</w:t>
                  </w:r>
                </w:p>
              </w:tc>
              <w:tc>
                <w:tcPr>
                  <w:tcW w:w="1036" w:type="pct"/>
                  <w:tcBorders>
                    <w:tl2br w:val="nil"/>
                    <w:tr2bl w:val="nil"/>
                  </w:tcBorders>
                  <w:shd w:val="clear" w:color="auto" w:fill="auto"/>
                  <w:vAlign w:val="center"/>
                </w:tcPr>
                <w:p w14:paraId="39612CB3">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废油桶</w:t>
                  </w:r>
                </w:p>
              </w:tc>
              <w:tc>
                <w:tcPr>
                  <w:tcW w:w="1391" w:type="pct"/>
                  <w:tcBorders>
                    <w:tl2br w:val="nil"/>
                    <w:tr2bl w:val="nil"/>
                  </w:tcBorders>
                  <w:vAlign w:val="center"/>
                </w:tcPr>
                <w:p w14:paraId="2E09C465">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34037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0DB1A49">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5FF8FC83">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S21</w:t>
                  </w:r>
                </w:p>
              </w:tc>
              <w:tc>
                <w:tcPr>
                  <w:tcW w:w="1779" w:type="pct"/>
                  <w:gridSpan w:val="2"/>
                  <w:tcBorders>
                    <w:tl2br w:val="nil"/>
                    <w:tr2bl w:val="nil"/>
                  </w:tcBorders>
                  <w:vAlign w:val="center"/>
                </w:tcPr>
                <w:p w14:paraId="27D8F1EE">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废气治理</w:t>
                  </w:r>
                </w:p>
              </w:tc>
              <w:tc>
                <w:tcPr>
                  <w:tcW w:w="1036" w:type="pct"/>
                  <w:tcBorders>
                    <w:tl2br w:val="nil"/>
                    <w:tr2bl w:val="nil"/>
                  </w:tcBorders>
                  <w:shd w:val="clear" w:color="auto" w:fill="auto"/>
                  <w:vAlign w:val="center"/>
                </w:tcPr>
                <w:p w14:paraId="0A254B89">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废活性炭</w:t>
                  </w:r>
                </w:p>
              </w:tc>
              <w:tc>
                <w:tcPr>
                  <w:tcW w:w="1391" w:type="pct"/>
                  <w:tcBorders>
                    <w:tl2br w:val="nil"/>
                    <w:tr2bl w:val="nil"/>
                  </w:tcBorders>
                  <w:vAlign w:val="center"/>
                </w:tcPr>
                <w:p w14:paraId="1CA7E504">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3A002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E9CF196">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04F3659A">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S22</w:t>
                  </w:r>
                </w:p>
              </w:tc>
              <w:tc>
                <w:tcPr>
                  <w:tcW w:w="1779" w:type="pct"/>
                  <w:gridSpan w:val="2"/>
                  <w:tcBorders>
                    <w:tl2br w:val="nil"/>
                    <w:tr2bl w:val="nil"/>
                  </w:tcBorders>
                  <w:vAlign w:val="center"/>
                </w:tcPr>
                <w:p w14:paraId="623AFD2B">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废气治理</w:t>
                  </w:r>
                </w:p>
              </w:tc>
              <w:tc>
                <w:tcPr>
                  <w:tcW w:w="1036" w:type="pct"/>
                  <w:tcBorders>
                    <w:tl2br w:val="nil"/>
                    <w:tr2bl w:val="nil"/>
                  </w:tcBorders>
                  <w:shd w:val="clear" w:color="auto" w:fill="auto"/>
                  <w:vAlign w:val="center"/>
                </w:tcPr>
                <w:p w14:paraId="3F943F79">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喷淋废液</w:t>
                  </w:r>
                </w:p>
              </w:tc>
              <w:tc>
                <w:tcPr>
                  <w:tcW w:w="1391" w:type="pct"/>
                  <w:tcBorders>
                    <w:tl2br w:val="nil"/>
                    <w:tr2bl w:val="nil"/>
                  </w:tcBorders>
                  <w:vAlign w:val="center"/>
                </w:tcPr>
                <w:p w14:paraId="5242965F">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63CAE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D8F81E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77EA9419">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S23</w:t>
                  </w:r>
                </w:p>
              </w:tc>
              <w:tc>
                <w:tcPr>
                  <w:tcW w:w="1779" w:type="pct"/>
                  <w:gridSpan w:val="2"/>
                  <w:tcBorders>
                    <w:tl2br w:val="nil"/>
                    <w:tr2bl w:val="nil"/>
                  </w:tcBorders>
                  <w:vAlign w:val="center"/>
                </w:tcPr>
                <w:p w14:paraId="6F77E3A6">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废气治理</w:t>
                  </w:r>
                </w:p>
              </w:tc>
              <w:tc>
                <w:tcPr>
                  <w:tcW w:w="1036" w:type="pct"/>
                  <w:tcBorders>
                    <w:tl2br w:val="nil"/>
                    <w:tr2bl w:val="nil"/>
                  </w:tcBorders>
                  <w:shd w:val="clear" w:color="auto" w:fill="auto"/>
                  <w:vAlign w:val="center"/>
                </w:tcPr>
                <w:p w14:paraId="75841F81">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回收粉尘</w:t>
                  </w:r>
                </w:p>
              </w:tc>
              <w:tc>
                <w:tcPr>
                  <w:tcW w:w="1391" w:type="pct"/>
                  <w:tcBorders>
                    <w:tl2br w:val="nil"/>
                    <w:tr2bl w:val="nil"/>
                  </w:tcBorders>
                  <w:vAlign w:val="center"/>
                </w:tcPr>
                <w:p w14:paraId="7D18BD2C">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回用</w:t>
                  </w:r>
                </w:p>
              </w:tc>
            </w:tr>
            <w:tr w14:paraId="607CF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427ECABB">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15069942">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S24</w:t>
                  </w:r>
                </w:p>
              </w:tc>
              <w:tc>
                <w:tcPr>
                  <w:tcW w:w="1779" w:type="pct"/>
                  <w:gridSpan w:val="2"/>
                  <w:tcBorders>
                    <w:tl2br w:val="nil"/>
                    <w:tr2bl w:val="nil"/>
                  </w:tcBorders>
                  <w:shd w:val="clear" w:color="auto" w:fill="auto"/>
                  <w:vAlign w:val="center"/>
                </w:tcPr>
                <w:p w14:paraId="4EBCBC25">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废气治理</w:t>
                  </w:r>
                </w:p>
              </w:tc>
              <w:tc>
                <w:tcPr>
                  <w:tcW w:w="1036" w:type="pct"/>
                  <w:tcBorders>
                    <w:tl2br w:val="nil"/>
                    <w:tr2bl w:val="nil"/>
                  </w:tcBorders>
                  <w:shd w:val="clear" w:color="auto" w:fill="auto"/>
                  <w:vAlign w:val="center"/>
                </w:tcPr>
                <w:p w14:paraId="19C4B119">
                  <w:pPr>
                    <w:pStyle w:val="31"/>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废滤芯</w:t>
                  </w:r>
                </w:p>
              </w:tc>
              <w:tc>
                <w:tcPr>
                  <w:tcW w:w="1391" w:type="pct"/>
                  <w:tcBorders>
                    <w:tl2br w:val="nil"/>
                    <w:tr2bl w:val="nil"/>
                  </w:tcBorders>
                  <w:shd w:val="clear" w:color="auto" w:fill="auto"/>
                  <w:vAlign w:val="center"/>
                </w:tcPr>
                <w:p w14:paraId="1963E512">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交由合法合规单位处置</w:t>
                  </w:r>
                </w:p>
              </w:tc>
            </w:tr>
            <w:tr w14:paraId="430AF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55408F4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16AE558E">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S25</w:t>
                  </w:r>
                </w:p>
              </w:tc>
              <w:tc>
                <w:tcPr>
                  <w:tcW w:w="1779" w:type="pct"/>
                  <w:gridSpan w:val="2"/>
                  <w:tcBorders>
                    <w:tl2br w:val="nil"/>
                    <w:tr2bl w:val="nil"/>
                  </w:tcBorders>
                  <w:shd w:val="clear" w:color="auto" w:fill="auto"/>
                  <w:vAlign w:val="center"/>
                </w:tcPr>
                <w:p w14:paraId="54FA60E6">
                  <w:pPr>
                    <w:pStyle w:val="31"/>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废气治理</w:t>
                  </w:r>
                </w:p>
              </w:tc>
              <w:tc>
                <w:tcPr>
                  <w:tcW w:w="1036" w:type="pct"/>
                  <w:tcBorders>
                    <w:tl2br w:val="nil"/>
                    <w:tr2bl w:val="nil"/>
                  </w:tcBorders>
                  <w:shd w:val="clear" w:color="auto" w:fill="auto"/>
                  <w:vAlign w:val="center"/>
                </w:tcPr>
                <w:p w14:paraId="125E608E">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废过滤棉</w:t>
                  </w:r>
                </w:p>
              </w:tc>
              <w:tc>
                <w:tcPr>
                  <w:tcW w:w="1391" w:type="pct"/>
                  <w:tcBorders>
                    <w:tl2br w:val="nil"/>
                    <w:tr2bl w:val="nil"/>
                  </w:tcBorders>
                  <w:shd w:val="clear" w:color="auto" w:fill="auto"/>
                  <w:vAlign w:val="center"/>
                </w:tcPr>
                <w:p w14:paraId="32C2C49E">
                  <w:pPr>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3F7E9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06524746">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22A985AA">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S26</w:t>
                  </w:r>
                </w:p>
              </w:tc>
              <w:tc>
                <w:tcPr>
                  <w:tcW w:w="1779" w:type="pct"/>
                  <w:gridSpan w:val="2"/>
                  <w:tcBorders>
                    <w:tl2br w:val="nil"/>
                    <w:tr2bl w:val="nil"/>
                  </w:tcBorders>
                  <w:vAlign w:val="center"/>
                </w:tcPr>
                <w:p w14:paraId="53ABA7A3">
                  <w:pPr>
                    <w:pStyle w:val="31"/>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废水治理</w:t>
                  </w:r>
                </w:p>
              </w:tc>
              <w:tc>
                <w:tcPr>
                  <w:tcW w:w="1036" w:type="pct"/>
                  <w:tcBorders>
                    <w:tl2br w:val="nil"/>
                    <w:tr2bl w:val="nil"/>
                  </w:tcBorders>
                  <w:shd w:val="clear" w:color="auto" w:fill="auto"/>
                  <w:vAlign w:val="center"/>
                </w:tcPr>
                <w:p w14:paraId="06C54654">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废RO膜</w:t>
                  </w:r>
                </w:p>
              </w:tc>
              <w:tc>
                <w:tcPr>
                  <w:tcW w:w="1391" w:type="pct"/>
                  <w:tcBorders>
                    <w:tl2br w:val="nil"/>
                    <w:tr2bl w:val="nil"/>
                  </w:tcBorders>
                  <w:vAlign w:val="center"/>
                </w:tcPr>
                <w:p w14:paraId="59C8E0CB">
                  <w:pPr>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委托有资质单位处置</w:t>
                  </w:r>
                </w:p>
              </w:tc>
            </w:tr>
            <w:tr w14:paraId="69CE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6325B82">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4200FB6B">
                  <w:pPr>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S2</w:t>
                  </w:r>
                  <w:r>
                    <w:rPr>
                      <w:rFonts w:hint="eastAsia" w:eastAsia="仿宋" w:cs="Times New Roman"/>
                      <w:color w:val="auto"/>
                      <w:kern w:val="2"/>
                      <w:sz w:val="21"/>
                      <w:szCs w:val="21"/>
                      <w:highlight w:val="none"/>
                      <w:lang w:val="en-US" w:eastAsia="zh-CN" w:bidi="ar-SA"/>
                    </w:rPr>
                    <w:t>7</w:t>
                  </w:r>
                </w:p>
              </w:tc>
              <w:tc>
                <w:tcPr>
                  <w:tcW w:w="1779" w:type="pct"/>
                  <w:gridSpan w:val="2"/>
                  <w:tcBorders>
                    <w:tl2br w:val="nil"/>
                    <w:tr2bl w:val="nil"/>
                  </w:tcBorders>
                  <w:shd w:val="clear" w:color="auto" w:fill="auto"/>
                  <w:vAlign w:val="center"/>
                </w:tcPr>
                <w:p w14:paraId="3D81583D">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废水治理</w:t>
                  </w:r>
                </w:p>
              </w:tc>
              <w:tc>
                <w:tcPr>
                  <w:tcW w:w="1036" w:type="pct"/>
                  <w:tcBorders>
                    <w:tl2br w:val="nil"/>
                    <w:tr2bl w:val="nil"/>
                  </w:tcBorders>
                  <w:shd w:val="clear" w:color="auto" w:fill="auto"/>
                  <w:vAlign w:val="center"/>
                </w:tcPr>
                <w:p w14:paraId="68CAC86F">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污泥</w:t>
                  </w:r>
                </w:p>
              </w:tc>
              <w:tc>
                <w:tcPr>
                  <w:tcW w:w="1391" w:type="pct"/>
                  <w:tcBorders>
                    <w:tl2br w:val="nil"/>
                    <w:tr2bl w:val="nil"/>
                  </w:tcBorders>
                  <w:shd w:val="clear" w:color="auto" w:fill="auto"/>
                  <w:vAlign w:val="center"/>
                </w:tcPr>
                <w:p w14:paraId="34ADE460">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3CBB0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7741D8FE">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6089F5EF">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S28</w:t>
                  </w:r>
                </w:p>
              </w:tc>
              <w:tc>
                <w:tcPr>
                  <w:tcW w:w="1779" w:type="pct"/>
                  <w:gridSpan w:val="2"/>
                  <w:tcBorders>
                    <w:tl2br w:val="nil"/>
                    <w:tr2bl w:val="nil"/>
                  </w:tcBorders>
                  <w:shd w:val="clear" w:color="auto" w:fill="auto"/>
                  <w:vAlign w:val="center"/>
                </w:tcPr>
                <w:p w14:paraId="148E3115">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挂具清理</w:t>
                  </w:r>
                </w:p>
              </w:tc>
              <w:tc>
                <w:tcPr>
                  <w:tcW w:w="1036" w:type="pct"/>
                  <w:tcBorders>
                    <w:tl2br w:val="nil"/>
                    <w:tr2bl w:val="nil"/>
                  </w:tcBorders>
                  <w:shd w:val="clear" w:color="auto" w:fill="auto"/>
                  <w:vAlign w:val="center"/>
                </w:tcPr>
                <w:p w14:paraId="1B2AB9F6">
                  <w:pPr>
                    <w:pStyle w:val="31"/>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挂具废渣</w:t>
                  </w:r>
                </w:p>
              </w:tc>
              <w:tc>
                <w:tcPr>
                  <w:tcW w:w="1391" w:type="pct"/>
                  <w:tcBorders>
                    <w:tl2br w:val="nil"/>
                    <w:tr2bl w:val="nil"/>
                  </w:tcBorders>
                  <w:shd w:val="clear" w:color="auto" w:fill="auto"/>
                  <w:vAlign w:val="center"/>
                </w:tcPr>
                <w:p w14:paraId="1CB93E90">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委托有资质单位处置</w:t>
                  </w:r>
                </w:p>
              </w:tc>
            </w:tr>
            <w:tr w14:paraId="336A3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vMerge w:val="continue"/>
                  <w:tcBorders>
                    <w:tl2br w:val="nil"/>
                    <w:tr2bl w:val="nil"/>
                  </w:tcBorders>
                  <w:vAlign w:val="center"/>
                </w:tcPr>
                <w:p w14:paraId="227B16EC">
                  <w:pPr>
                    <w:pStyle w:val="31"/>
                    <w:jc w:val="center"/>
                    <w:rPr>
                      <w:rFonts w:hint="default" w:ascii="Times New Roman" w:hAnsi="Times New Roman" w:eastAsia="仿宋" w:cs="Times New Roman"/>
                      <w:color w:val="auto"/>
                      <w:sz w:val="21"/>
                      <w:szCs w:val="21"/>
                      <w:highlight w:val="none"/>
                    </w:rPr>
                  </w:pPr>
                </w:p>
              </w:tc>
              <w:tc>
                <w:tcPr>
                  <w:tcW w:w="404" w:type="pct"/>
                  <w:tcBorders>
                    <w:tl2br w:val="nil"/>
                    <w:tr2bl w:val="nil"/>
                  </w:tcBorders>
                  <w:shd w:val="clear" w:color="auto" w:fill="auto"/>
                  <w:vAlign w:val="center"/>
                </w:tcPr>
                <w:p w14:paraId="3082DEA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S29</w:t>
                  </w:r>
                </w:p>
              </w:tc>
              <w:tc>
                <w:tcPr>
                  <w:tcW w:w="1779" w:type="pct"/>
                  <w:gridSpan w:val="2"/>
                  <w:tcBorders>
                    <w:tl2br w:val="nil"/>
                    <w:tr2bl w:val="nil"/>
                  </w:tcBorders>
                  <w:vAlign w:val="center"/>
                </w:tcPr>
                <w:p w14:paraId="36ABD90F">
                  <w:pPr>
                    <w:pStyle w:val="31"/>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喷粉车间沉降</w:t>
                  </w:r>
                </w:p>
              </w:tc>
              <w:tc>
                <w:tcPr>
                  <w:tcW w:w="1036" w:type="pct"/>
                  <w:tcBorders>
                    <w:tl2br w:val="nil"/>
                    <w:tr2bl w:val="nil"/>
                  </w:tcBorders>
                  <w:shd w:val="clear" w:color="auto" w:fill="auto"/>
                  <w:vAlign w:val="center"/>
                </w:tcPr>
                <w:p w14:paraId="0A7E4289">
                  <w:pPr>
                    <w:pStyle w:val="31"/>
                    <w:jc w:val="center"/>
                    <w:rPr>
                      <w:rFonts w:hint="default"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沉降粉尘</w:t>
                  </w:r>
                </w:p>
              </w:tc>
              <w:tc>
                <w:tcPr>
                  <w:tcW w:w="1391" w:type="pct"/>
                  <w:tcBorders>
                    <w:tl2br w:val="nil"/>
                    <w:tr2bl w:val="nil"/>
                  </w:tcBorders>
                  <w:vAlign w:val="center"/>
                </w:tcPr>
                <w:p w14:paraId="7A79C8B2">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交由合法合规单位处置</w:t>
                  </w:r>
                </w:p>
              </w:tc>
            </w:tr>
            <w:tr w14:paraId="53EC5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87" w:type="pct"/>
                  <w:tcBorders>
                    <w:tl2br w:val="nil"/>
                    <w:tr2bl w:val="nil"/>
                  </w:tcBorders>
                  <w:vAlign w:val="center"/>
                </w:tcPr>
                <w:p w14:paraId="16A71AFB">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w:t>
                  </w:r>
                </w:p>
              </w:tc>
              <w:tc>
                <w:tcPr>
                  <w:tcW w:w="404" w:type="pct"/>
                  <w:tcBorders>
                    <w:tl2br w:val="nil"/>
                    <w:tr2bl w:val="nil"/>
                  </w:tcBorders>
                  <w:vAlign w:val="center"/>
                </w:tcPr>
                <w:p w14:paraId="23C2C5F5">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w:t>
                  </w:r>
                </w:p>
              </w:tc>
              <w:tc>
                <w:tcPr>
                  <w:tcW w:w="1779" w:type="pct"/>
                  <w:gridSpan w:val="2"/>
                  <w:tcBorders>
                    <w:tl2br w:val="nil"/>
                    <w:tr2bl w:val="nil"/>
                  </w:tcBorders>
                  <w:vAlign w:val="center"/>
                </w:tcPr>
                <w:p w14:paraId="02311961">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运营期</w:t>
                  </w:r>
                  <w:r>
                    <w:rPr>
                      <w:rFonts w:hint="default" w:ascii="Times New Roman" w:hAnsi="Times New Roman" w:eastAsia="仿宋" w:cs="Times New Roman"/>
                      <w:color w:val="auto"/>
                      <w:sz w:val="21"/>
                      <w:szCs w:val="21"/>
                      <w:highlight w:val="none"/>
                      <w:lang w:val="en-US" w:eastAsia="zh-CN"/>
                    </w:rPr>
                    <w:t>设备运行</w:t>
                  </w:r>
                </w:p>
              </w:tc>
              <w:tc>
                <w:tcPr>
                  <w:tcW w:w="1036" w:type="pct"/>
                  <w:tcBorders>
                    <w:tl2br w:val="nil"/>
                    <w:tr2bl w:val="nil"/>
                  </w:tcBorders>
                  <w:vAlign w:val="center"/>
                </w:tcPr>
                <w:p w14:paraId="30A75BC1">
                  <w:pPr>
                    <w:pStyle w:val="31"/>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等效连续噪声A声级</w:t>
                  </w:r>
                </w:p>
              </w:tc>
              <w:tc>
                <w:tcPr>
                  <w:tcW w:w="1391" w:type="pct"/>
                  <w:tcBorders>
                    <w:tl2br w:val="nil"/>
                    <w:tr2bl w:val="nil"/>
                  </w:tcBorders>
                  <w:vAlign w:val="center"/>
                </w:tcPr>
                <w:p w14:paraId="1F77D9D4">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选用低噪声设备、减振、隔声</w:t>
                  </w:r>
                  <w:r>
                    <w:rPr>
                      <w:rFonts w:hint="default" w:ascii="Times New Roman" w:hAnsi="Times New Roman" w:eastAsia="仿宋" w:cs="Times New Roman"/>
                      <w:color w:val="auto"/>
                      <w:sz w:val="21"/>
                      <w:szCs w:val="21"/>
                      <w:highlight w:val="none"/>
                      <w:lang w:val="en-US" w:eastAsia="zh-CN"/>
                    </w:rPr>
                    <w:t>等</w:t>
                  </w:r>
                </w:p>
              </w:tc>
            </w:tr>
          </w:tbl>
          <w:p w14:paraId="42AE21B7">
            <w:pPr>
              <w:adjustRightInd w:val="0"/>
              <w:snapToGrid w:val="0"/>
              <w:rPr>
                <w:bCs/>
                <w:color w:val="auto"/>
                <w:szCs w:val="21"/>
                <w:highlight w:val="none"/>
              </w:rPr>
            </w:pPr>
          </w:p>
        </w:tc>
      </w:tr>
      <w:tr w14:paraId="41381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 w:type="pct"/>
            <w:vAlign w:val="center"/>
          </w:tcPr>
          <w:p w14:paraId="23B23323">
            <w:pPr>
              <w:pStyle w:val="18"/>
              <w:adjustRightInd w:val="0"/>
              <w:snapToGrid w:val="0"/>
              <w:spacing w:before="0" w:beforeAutospacing="0" w:after="0" w:afterAutospacing="0"/>
              <w:jc w:val="center"/>
              <w:rPr>
                <w:rFonts w:ascii="Times New Roman" w:hAnsi="Times New Roman"/>
                <w:color w:val="auto"/>
                <w:sz w:val="21"/>
                <w:szCs w:val="21"/>
                <w:highlight w:val="none"/>
              </w:rPr>
            </w:pPr>
            <w:r>
              <w:rPr>
                <w:rFonts w:ascii="Times New Roman" w:hAnsi="Times New Roman"/>
                <w:bCs/>
                <w:color w:val="auto"/>
                <w:kern w:val="2"/>
                <w:sz w:val="24"/>
                <w:szCs w:val="24"/>
                <w:highlight w:val="none"/>
              </w:rPr>
              <w:t>与项目有关的原有环境污染问题</w:t>
            </w:r>
          </w:p>
        </w:tc>
        <w:tc>
          <w:tcPr>
            <w:tcW w:w="4771" w:type="pct"/>
          </w:tcPr>
          <w:p w14:paraId="7BBDED64">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cs="Times New Roman"/>
                <w:b/>
                <w:bCs/>
                <w:color w:val="auto"/>
                <w:sz w:val="24"/>
                <w:szCs w:val="24"/>
              </w:rPr>
            </w:pPr>
            <w:r>
              <w:rPr>
                <w:b/>
                <w:color w:val="auto"/>
                <w:sz w:val="24"/>
              </w:rPr>
              <w:t>现有工程环保手续履行情况</w:t>
            </w:r>
            <w:r>
              <w:rPr>
                <w:rFonts w:hint="default" w:ascii="Times New Roman" w:hAnsi="Times New Roman" w:cs="Times New Roman"/>
                <w:b/>
                <w:bCs/>
                <w:color w:val="auto"/>
                <w:sz w:val="24"/>
                <w:szCs w:val="24"/>
              </w:rPr>
              <w:t>：</w:t>
            </w:r>
          </w:p>
          <w:p w14:paraId="63D40B0B">
            <w:pPr>
              <w:keepNext w:val="0"/>
              <w:keepLines w:val="0"/>
              <w:pageBreakBefore w:val="0"/>
              <w:numPr>
                <w:ilvl w:val="0"/>
                <w:numId w:val="0"/>
              </w:numPr>
              <w:tabs>
                <w:tab w:val="left" w:pos="0"/>
              </w:tabs>
              <w:kinsoku/>
              <w:wordWrap/>
              <w:overflowPunct/>
              <w:topLinePunct w:val="0"/>
              <w:autoSpaceDE/>
              <w:autoSpaceDN/>
              <w:bidi w:val="0"/>
              <w:snapToGrid w:val="0"/>
              <w:spacing w:line="360" w:lineRule="auto"/>
              <w:ind w:leftChars="0" w:firstLine="0" w:firstLineChars="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现有项目概况</w:t>
            </w:r>
          </w:p>
          <w:p w14:paraId="73F61FF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苏州市利达亿涂饰厂成立于1997年7月</w:t>
            </w:r>
            <w:r>
              <w:rPr>
                <w:rFonts w:hint="default" w:ascii="Times New Roman" w:hAnsi="Times New Roman" w:eastAsia="宋体" w:cs="Times New Roman"/>
                <w:color w:val="auto"/>
                <w:sz w:val="24"/>
                <w:szCs w:val="24"/>
                <w:lang w:val="en-US" w:eastAsia="zh-CN"/>
              </w:rPr>
              <w:t>，</w:t>
            </w:r>
            <w:r>
              <w:rPr>
                <w:rFonts w:hint="default" w:cs="Times New Roman"/>
                <w:color w:val="auto"/>
                <w:sz w:val="24"/>
                <w:szCs w:val="24"/>
                <w:lang w:val="en-US" w:eastAsia="zh-CN"/>
              </w:rPr>
              <w:t>现有项目生</w:t>
            </w:r>
            <w:r>
              <w:rPr>
                <w:rFonts w:hint="default" w:cs="Times New Roman"/>
                <w:color w:val="auto"/>
                <w:sz w:val="24"/>
                <w:szCs w:val="24"/>
                <w:highlight w:val="none"/>
                <w:lang w:val="en-US" w:eastAsia="zh-CN"/>
              </w:rPr>
              <w:t>产地址为</w:t>
            </w:r>
            <w:r>
              <w:rPr>
                <w:rFonts w:hint="eastAsia" w:ascii="Times New Roman" w:hAnsi="Times New Roman" w:eastAsia="宋体" w:cs="Times New Roman"/>
                <w:bCs/>
                <w:color w:val="auto"/>
                <w:sz w:val="24"/>
                <w:szCs w:val="24"/>
                <w:highlight w:val="none"/>
                <w:lang w:val="en-US" w:eastAsia="zh-CN"/>
              </w:rPr>
              <w:t>苏州市相城区太平工业园</w:t>
            </w:r>
            <w:r>
              <w:rPr>
                <w:rFonts w:hint="eastAsia" w:cs="Times New Roman"/>
                <w:color w:val="auto"/>
                <w:sz w:val="24"/>
                <w:szCs w:val="24"/>
                <w:highlight w:val="none"/>
                <w:lang w:val="en-US" w:eastAsia="zh-CN"/>
              </w:rPr>
              <w:t>，年产能为电视机支架配件400t/年，铁支架1万件/年；</w:t>
            </w:r>
            <w:r>
              <w:rPr>
                <w:rFonts w:hint="eastAsia"/>
                <w:color w:val="auto"/>
                <w:sz w:val="24"/>
                <w:highlight w:val="none"/>
              </w:rPr>
              <w:t>全厂职工</w:t>
            </w:r>
            <w:r>
              <w:rPr>
                <w:rFonts w:hint="eastAsia"/>
                <w:color w:val="auto"/>
                <w:sz w:val="24"/>
                <w:highlight w:val="none"/>
                <w:lang w:val="en-US" w:eastAsia="zh-CN"/>
              </w:rPr>
              <w:t>40</w:t>
            </w:r>
            <w:r>
              <w:rPr>
                <w:rFonts w:hint="eastAsia"/>
                <w:color w:val="auto"/>
                <w:sz w:val="24"/>
                <w:highlight w:val="none"/>
              </w:rPr>
              <w:t>人</w:t>
            </w:r>
            <w:r>
              <w:rPr>
                <w:rFonts w:hint="eastAsia"/>
                <w:color w:val="auto"/>
                <w:sz w:val="24"/>
                <w:highlight w:val="none"/>
                <w:lang w:eastAsia="zh-CN"/>
              </w:rPr>
              <w:t>，</w:t>
            </w:r>
            <w:r>
              <w:rPr>
                <w:rFonts w:hint="eastAsia"/>
                <w:color w:val="auto"/>
                <w:sz w:val="24"/>
                <w:highlight w:val="none"/>
              </w:rPr>
              <w:t>全年工作300天，</w:t>
            </w:r>
            <w:r>
              <w:rPr>
                <w:rFonts w:hint="eastAsia"/>
                <w:color w:val="auto"/>
                <w:sz w:val="24"/>
                <w:highlight w:val="none"/>
                <w:lang w:val="en-US" w:eastAsia="zh-CN"/>
              </w:rPr>
              <w:t>1</w:t>
            </w:r>
            <w:r>
              <w:rPr>
                <w:rFonts w:hint="eastAsia"/>
                <w:color w:val="auto"/>
                <w:sz w:val="24"/>
                <w:highlight w:val="none"/>
              </w:rPr>
              <w:t>班制，每班</w:t>
            </w:r>
            <w:r>
              <w:rPr>
                <w:rFonts w:hint="eastAsia"/>
                <w:color w:val="auto"/>
                <w:sz w:val="24"/>
                <w:highlight w:val="none"/>
                <w:lang w:val="en-US" w:eastAsia="zh-CN"/>
              </w:rPr>
              <w:t>10小时；</w:t>
            </w:r>
            <w:r>
              <w:rPr>
                <w:rFonts w:hint="eastAsia"/>
                <w:color w:val="auto"/>
                <w:sz w:val="24"/>
                <w:highlight w:val="none"/>
              </w:rPr>
              <w:t>无食堂，无宿舍，用餐外购</w:t>
            </w:r>
            <w:r>
              <w:rPr>
                <w:rFonts w:hint="eastAsia"/>
                <w:color w:val="auto"/>
                <w:sz w:val="24"/>
                <w:highlight w:val="none"/>
                <w:lang w:val="en-US" w:eastAsia="zh-CN"/>
              </w:rPr>
              <w:t>。</w:t>
            </w:r>
          </w:p>
          <w:p w14:paraId="61FDCFB8">
            <w:pPr>
              <w:keepNext w:val="0"/>
              <w:keepLines w:val="0"/>
              <w:pageBreakBefore w:val="0"/>
              <w:numPr>
                <w:ilvl w:val="0"/>
                <w:numId w:val="0"/>
              </w:numPr>
              <w:tabs>
                <w:tab w:val="left" w:pos="0"/>
              </w:tabs>
              <w:kinsoku/>
              <w:wordWrap/>
              <w:overflowPunct/>
              <w:topLinePunct w:val="0"/>
              <w:autoSpaceDE/>
              <w:autoSpaceDN/>
              <w:bidi w:val="0"/>
              <w:snapToGrid w:val="0"/>
              <w:spacing w:line="360" w:lineRule="auto"/>
              <w:ind w:leftChars="0" w:firstLine="0" w:firstLineChars="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rPr>
              <w:t>现有项目</w:t>
            </w:r>
            <w:r>
              <w:rPr>
                <w:rFonts w:hint="eastAsia" w:cs="Times New Roman"/>
                <w:b/>
                <w:color w:val="auto"/>
                <w:sz w:val="24"/>
                <w:szCs w:val="24"/>
                <w:highlight w:val="none"/>
                <w:lang w:val="en-US" w:eastAsia="zh-CN"/>
              </w:rPr>
              <w:t>审批及验收情况</w:t>
            </w:r>
          </w:p>
          <w:p w14:paraId="189274BC">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现有项目审批及验收情况如下：</w:t>
            </w:r>
          </w:p>
          <w:p w14:paraId="5641088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现有项目审批及验收情况一览表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582"/>
              <w:gridCol w:w="1302"/>
              <w:gridCol w:w="1484"/>
              <w:gridCol w:w="1917"/>
              <w:gridCol w:w="746"/>
            </w:tblGrid>
            <w:tr w14:paraId="6F1C1D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1" w:type="pct"/>
                  <w:tcBorders>
                    <w:tl2br w:val="nil"/>
                    <w:tr2bl w:val="nil"/>
                  </w:tcBorders>
                  <w:noWrap w:val="0"/>
                  <w:vAlign w:val="center"/>
                </w:tcPr>
                <w:p w14:paraId="7ADC98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项目名称</w:t>
                  </w:r>
                </w:p>
              </w:tc>
              <w:tc>
                <w:tcPr>
                  <w:tcW w:w="854" w:type="pct"/>
                  <w:tcBorders>
                    <w:tl2br w:val="nil"/>
                    <w:tr2bl w:val="nil"/>
                  </w:tcBorders>
                  <w:noWrap w:val="0"/>
                  <w:vAlign w:val="center"/>
                </w:tcPr>
                <w:p w14:paraId="1CEBBB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项目地址</w:t>
                  </w:r>
                </w:p>
              </w:tc>
              <w:tc>
                <w:tcPr>
                  <w:tcW w:w="703" w:type="pct"/>
                  <w:tcBorders>
                    <w:tl2br w:val="nil"/>
                    <w:tr2bl w:val="nil"/>
                  </w:tcBorders>
                  <w:noWrap w:val="0"/>
                  <w:vAlign w:val="center"/>
                </w:tcPr>
                <w:p w14:paraId="05CD6E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设计能力</w:t>
                  </w:r>
                </w:p>
              </w:tc>
              <w:tc>
                <w:tcPr>
                  <w:tcW w:w="801" w:type="pct"/>
                  <w:tcBorders>
                    <w:tl2br w:val="nil"/>
                    <w:tr2bl w:val="nil"/>
                  </w:tcBorders>
                  <w:noWrap w:val="0"/>
                  <w:vAlign w:val="center"/>
                </w:tcPr>
                <w:p w14:paraId="022DB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环保批复情况</w:t>
                  </w:r>
                </w:p>
              </w:tc>
              <w:tc>
                <w:tcPr>
                  <w:tcW w:w="1035" w:type="pct"/>
                  <w:tcBorders>
                    <w:tl2br w:val="nil"/>
                    <w:tr2bl w:val="nil"/>
                  </w:tcBorders>
                  <w:noWrap w:val="0"/>
                  <w:vAlign w:val="center"/>
                </w:tcPr>
                <w:p w14:paraId="07C22D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工程验收情况</w:t>
                  </w:r>
                </w:p>
              </w:tc>
              <w:tc>
                <w:tcPr>
                  <w:tcW w:w="403" w:type="pct"/>
                  <w:tcBorders>
                    <w:tl2br w:val="nil"/>
                    <w:tr2bl w:val="nil"/>
                  </w:tcBorders>
                  <w:noWrap w:val="0"/>
                  <w:vAlign w:val="center"/>
                </w:tcPr>
                <w:p w14:paraId="38C92C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备注</w:t>
                  </w:r>
                </w:p>
              </w:tc>
            </w:tr>
            <w:tr w14:paraId="6B2D34F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1" w:type="pct"/>
                  <w:tcBorders>
                    <w:tl2br w:val="nil"/>
                    <w:tr2bl w:val="nil"/>
                  </w:tcBorders>
                  <w:noWrap w:val="0"/>
                  <w:vAlign w:val="center"/>
                </w:tcPr>
                <w:p w14:paraId="04FF029F">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苏州市利达亿涂饰厂年产铁支架1万件（搬迁）项目</w:t>
                  </w:r>
                  <w:r>
                    <w:rPr>
                      <w:rFonts w:hint="eastAsia" w:ascii="Times New Roman" w:hAnsi="Times New Roman" w:eastAsia="仿宋" w:cs="Times New Roman"/>
                      <w:color w:val="auto"/>
                      <w:kern w:val="0"/>
                      <w:sz w:val="21"/>
                      <w:szCs w:val="21"/>
                      <w:highlight w:val="none"/>
                      <w:lang w:eastAsia="zh-CN"/>
                    </w:rPr>
                    <w:t>》</w:t>
                  </w:r>
                </w:p>
              </w:tc>
              <w:tc>
                <w:tcPr>
                  <w:tcW w:w="854" w:type="pct"/>
                  <w:tcBorders>
                    <w:tl2br w:val="nil"/>
                    <w:tr2bl w:val="nil"/>
                  </w:tcBorders>
                  <w:noWrap w:val="0"/>
                  <w:vAlign w:val="center"/>
                </w:tcPr>
                <w:p w14:paraId="04C68D3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苏州市相城区太平工业园元春路353号</w:t>
                  </w:r>
                </w:p>
              </w:tc>
              <w:tc>
                <w:tcPr>
                  <w:tcW w:w="703" w:type="pct"/>
                  <w:tcBorders>
                    <w:tl2br w:val="nil"/>
                    <w:tr2bl w:val="nil"/>
                  </w:tcBorders>
                  <w:noWrap w:val="0"/>
                  <w:vAlign w:val="center"/>
                </w:tcPr>
                <w:p w14:paraId="5C40904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年产铁支架1万件</w:t>
                  </w:r>
                </w:p>
              </w:tc>
              <w:tc>
                <w:tcPr>
                  <w:tcW w:w="801" w:type="pct"/>
                  <w:tcBorders>
                    <w:tl2br w:val="nil"/>
                    <w:tr2bl w:val="nil"/>
                  </w:tcBorders>
                  <w:noWrap w:val="0"/>
                  <w:vAlign w:val="center"/>
                </w:tcPr>
                <w:p w14:paraId="2FE676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苏环建[2007]566</w:t>
                  </w:r>
                  <w:r>
                    <w:rPr>
                      <w:rFonts w:hint="eastAsia"/>
                      <w:color w:val="auto"/>
                      <w:highlight w:val="none"/>
                      <w:lang w:val="en-US" w:eastAsia="zh-CN"/>
                    </w:rPr>
                    <w:t>号</w:t>
                  </w:r>
                </w:p>
              </w:tc>
              <w:tc>
                <w:tcPr>
                  <w:tcW w:w="1035" w:type="pct"/>
                  <w:tcBorders>
                    <w:tl2br w:val="nil"/>
                    <w:tr2bl w:val="nil"/>
                  </w:tcBorders>
                  <w:noWrap w:val="0"/>
                  <w:vAlign w:val="center"/>
                </w:tcPr>
                <w:p w14:paraId="6DD3E17C">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2008年9月15日通过苏州市相城区环保局验收</w:t>
                  </w:r>
                </w:p>
              </w:tc>
              <w:tc>
                <w:tcPr>
                  <w:tcW w:w="403" w:type="pct"/>
                  <w:tcBorders>
                    <w:tl2br w:val="nil"/>
                    <w:tr2bl w:val="nil"/>
                  </w:tcBorders>
                  <w:noWrap w:val="0"/>
                  <w:vAlign w:val="center"/>
                </w:tcPr>
                <w:p w14:paraId="6207072C">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正常运行</w:t>
                  </w:r>
                </w:p>
              </w:tc>
            </w:tr>
            <w:tr w14:paraId="69DA4AF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1" w:type="pct"/>
                  <w:tcBorders>
                    <w:tl2br w:val="nil"/>
                    <w:tr2bl w:val="nil"/>
                  </w:tcBorders>
                  <w:noWrap w:val="0"/>
                  <w:vAlign w:val="center"/>
                </w:tcPr>
                <w:p w14:paraId="73C40C3E">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苏州市利达亿涂饰厂</w:t>
                  </w:r>
                  <w:r>
                    <w:rPr>
                      <w:rFonts w:hint="eastAsia" w:ascii="Times New Roman" w:hAnsi="Times New Roman" w:eastAsia="仿宋" w:cs="Times New Roman"/>
                      <w:color w:val="auto"/>
                      <w:kern w:val="0"/>
                      <w:sz w:val="21"/>
                      <w:szCs w:val="21"/>
                      <w:highlight w:val="none"/>
                      <w:lang w:val="en-US" w:eastAsia="zh-CN"/>
                    </w:rPr>
                    <w:t>新建生产家用电器配件400吨</w:t>
                  </w:r>
                  <w:r>
                    <w:rPr>
                      <w:rFonts w:hint="default" w:ascii="Times New Roman" w:hAnsi="Times New Roman" w:eastAsia="仿宋" w:cs="Times New Roman"/>
                      <w:color w:val="auto"/>
                      <w:kern w:val="0"/>
                      <w:sz w:val="21"/>
                      <w:szCs w:val="21"/>
                      <w:highlight w:val="none"/>
                    </w:rPr>
                    <w:t>项目</w:t>
                  </w:r>
                  <w:r>
                    <w:rPr>
                      <w:rFonts w:hint="eastAsia" w:ascii="Times New Roman" w:hAnsi="Times New Roman" w:eastAsia="仿宋" w:cs="Times New Roman"/>
                      <w:color w:val="auto"/>
                      <w:kern w:val="0"/>
                      <w:sz w:val="21"/>
                      <w:szCs w:val="21"/>
                      <w:highlight w:val="none"/>
                      <w:lang w:eastAsia="zh-CN"/>
                    </w:rPr>
                    <w:t>》</w:t>
                  </w:r>
                </w:p>
              </w:tc>
              <w:tc>
                <w:tcPr>
                  <w:tcW w:w="854" w:type="pct"/>
                  <w:tcBorders>
                    <w:tl2br w:val="nil"/>
                    <w:tr2bl w:val="nil"/>
                  </w:tcBorders>
                  <w:noWrap w:val="0"/>
                  <w:vAlign w:val="center"/>
                </w:tcPr>
                <w:p w14:paraId="200C31A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苏州市相城区太平工业园元春路353号</w:t>
                  </w:r>
                </w:p>
              </w:tc>
              <w:tc>
                <w:tcPr>
                  <w:tcW w:w="703" w:type="pct"/>
                  <w:tcBorders>
                    <w:tl2br w:val="nil"/>
                    <w:tr2bl w:val="nil"/>
                  </w:tcBorders>
                  <w:noWrap w:val="0"/>
                  <w:vAlign w:val="center"/>
                </w:tcPr>
                <w:p w14:paraId="4CAAE9C4">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kern w:val="0"/>
                      <w:sz w:val="21"/>
                      <w:szCs w:val="21"/>
                      <w:highlight w:val="none"/>
                      <w:lang w:val="en-US" w:eastAsia="zh-CN"/>
                    </w:rPr>
                    <w:t>电视机支架配件400吨</w:t>
                  </w:r>
                </w:p>
              </w:tc>
              <w:tc>
                <w:tcPr>
                  <w:tcW w:w="801" w:type="pct"/>
                  <w:tcBorders>
                    <w:tl2br w:val="nil"/>
                    <w:tr2bl w:val="nil"/>
                  </w:tcBorders>
                  <w:noWrap w:val="0"/>
                  <w:vAlign w:val="center"/>
                </w:tcPr>
                <w:p w14:paraId="56EC45B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苏行审环评</w:t>
                  </w:r>
                  <w:r>
                    <w:rPr>
                      <w:rFonts w:hint="eastAsia" w:ascii="Times New Roman" w:hAnsi="Times New Roman" w:eastAsia="仿宋" w:cs="Times New Roman"/>
                      <w:color w:val="auto"/>
                      <w:kern w:val="0"/>
                      <w:sz w:val="21"/>
                      <w:szCs w:val="21"/>
                      <w:highlight w:val="none"/>
                      <w:lang w:val="en-US" w:eastAsia="zh-CN"/>
                    </w:rPr>
                    <w:t>[2020]70072号</w:t>
                  </w:r>
                </w:p>
              </w:tc>
              <w:tc>
                <w:tcPr>
                  <w:tcW w:w="1035" w:type="pct"/>
                  <w:tcBorders>
                    <w:tl2br w:val="nil"/>
                    <w:tr2bl w:val="nil"/>
                  </w:tcBorders>
                  <w:noWrap w:val="0"/>
                  <w:vAlign w:val="center"/>
                </w:tcPr>
                <w:p w14:paraId="392F67DB">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2022年1月25日进行自主验收</w:t>
                  </w:r>
                </w:p>
              </w:tc>
              <w:tc>
                <w:tcPr>
                  <w:tcW w:w="403" w:type="pct"/>
                  <w:tcBorders>
                    <w:tl2br w:val="nil"/>
                    <w:tr2bl w:val="nil"/>
                  </w:tcBorders>
                  <w:noWrap w:val="0"/>
                  <w:vAlign w:val="center"/>
                </w:tcPr>
                <w:p w14:paraId="3015EAF0">
                  <w:pPr>
                    <w:keepNext w:val="0"/>
                    <w:keepLines w:val="0"/>
                    <w:suppressLineNumbers w:val="0"/>
                    <w:spacing w:before="0" w:beforeAutospacing="0" w:after="0" w:afterAutospacing="0"/>
                    <w:ind w:left="0" w:right="0"/>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正常运行</w:t>
                  </w:r>
                </w:p>
              </w:tc>
            </w:tr>
          </w:tbl>
          <w:p w14:paraId="60B68C54">
            <w:pPr>
              <w:keepNext w:val="0"/>
              <w:keepLines w:val="0"/>
              <w:pageBreakBefore w:val="0"/>
              <w:numPr>
                <w:ilvl w:val="0"/>
                <w:numId w:val="0"/>
              </w:numPr>
              <w:tabs>
                <w:tab w:val="left" w:pos="0"/>
              </w:tabs>
              <w:kinsoku/>
              <w:wordWrap/>
              <w:overflowPunct/>
              <w:topLinePunct w:val="0"/>
              <w:autoSpaceDE/>
              <w:autoSpaceDN/>
              <w:bidi w:val="0"/>
              <w:snapToGrid w:val="0"/>
              <w:spacing w:line="360" w:lineRule="auto"/>
              <w:ind w:leftChars="0" w:firstLine="0" w:firstLineChars="0"/>
              <w:textAlignment w:val="auto"/>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现有项目</w:t>
            </w:r>
            <w:r>
              <w:rPr>
                <w:rFonts w:hint="eastAsia" w:eastAsia="宋体" w:cs="Times New Roman"/>
                <w:b/>
                <w:color w:val="auto"/>
                <w:sz w:val="24"/>
                <w:szCs w:val="24"/>
                <w:lang w:val="en-US" w:eastAsia="zh-CN"/>
              </w:rPr>
              <w:t>实际建设情况</w:t>
            </w:r>
          </w:p>
          <w:p w14:paraId="231AF2BA">
            <w:pPr>
              <w:keepNext w:val="0"/>
              <w:keepLines w:val="0"/>
              <w:pageBreakBefore w:val="0"/>
              <w:numPr>
                <w:ilvl w:val="0"/>
                <w:numId w:val="0"/>
              </w:numPr>
              <w:tabs>
                <w:tab w:val="left" w:pos="0"/>
              </w:tabs>
              <w:kinsoku/>
              <w:wordWrap/>
              <w:overflowPunct/>
              <w:topLinePunct w:val="0"/>
              <w:autoSpaceDE/>
              <w:autoSpaceDN/>
              <w:bidi w:val="0"/>
              <w:snapToGrid w:val="0"/>
              <w:spacing w:line="360" w:lineRule="auto"/>
              <w:ind w:leftChars="0" w:firstLine="0" w:firstLineChars="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3.1</w:t>
            </w:r>
            <w:r>
              <w:rPr>
                <w:rFonts w:hint="eastAsia" w:cs="Times New Roman"/>
                <w:b/>
                <w:color w:val="auto"/>
                <w:sz w:val="24"/>
                <w:szCs w:val="24"/>
                <w:lang w:val="en-US" w:eastAsia="zh-CN"/>
              </w:rPr>
              <w:t xml:space="preserve">  </w:t>
            </w:r>
            <w:r>
              <w:rPr>
                <w:rFonts w:hint="eastAsia" w:ascii="Times New Roman" w:hAnsi="Times New Roman" w:eastAsia="宋体" w:cs="Times New Roman"/>
                <w:b/>
                <w:color w:val="auto"/>
                <w:sz w:val="24"/>
                <w:szCs w:val="24"/>
              </w:rPr>
              <w:t>现有项目产品方案</w:t>
            </w:r>
          </w:p>
          <w:p w14:paraId="235A1268">
            <w:pPr>
              <w:autoSpaceDE w:val="0"/>
              <w:autoSpaceDN w:val="0"/>
              <w:adjustRightInd w:val="0"/>
              <w:spacing w:line="360" w:lineRule="auto"/>
              <w:ind w:firstLine="480" w:firstLineChars="200"/>
              <w:rPr>
                <w:rFonts w:hint="default" w:ascii="Times New Roman" w:hAnsi="Times New Roman" w:eastAsia="宋体" w:cs="Times New Roman"/>
                <w:b w:val="0"/>
                <w:color w:val="auto"/>
                <w:kern w:val="2"/>
                <w:sz w:val="24"/>
                <w:szCs w:val="22"/>
                <w:lang w:eastAsia="zh-CN"/>
              </w:rPr>
            </w:pPr>
            <w:r>
              <w:rPr>
                <w:rFonts w:hint="default" w:ascii="Times New Roman" w:hAnsi="Times New Roman" w:cs="Times New Roman"/>
                <w:bCs w:val="0"/>
                <w:color w:val="auto"/>
                <w:kern w:val="2"/>
                <w:sz w:val="24"/>
                <w:szCs w:val="22"/>
              </w:rPr>
              <w:t>现有项目产品方案</w:t>
            </w:r>
            <w:r>
              <w:rPr>
                <w:rFonts w:hint="default" w:cs="Times New Roman"/>
                <w:bCs w:val="0"/>
                <w:color w:val="auto"/>
                <w:kern w:val="2"/>
                <w:sz w:val="24"/>
                <w:szCs w:val="22"/>
                <w:lang w:val="en-US" w:eastAsia="zh-CN"/>
              </w:rPr>
              <w:t>详见表2-3</w:t>
            </w:r>
            <w:r>
              <w:rPr>
                <w:rFonts w:hint="default" w:cs="Times New Roman"/>
                <w:bCs w:val="0"/>
                <w:color w:val="auto"/>
                <w:kern w:val="2"/>
                <w:sz w:val="24"/>
                <w:szCs w:val="22"/>
                <w:lang w:eastAsia="zh-CN"/>
              </w:rPr>
              <w:t>。</w:t>
            </w:r>
          </w:p>
          <w:p w14:paraId="293F81BF">
            <w:pPr>
              <w:keepNext w:val="0"/>
              <w:keepLines w:val="0"/>
              <w:suppressLineNumbers w:val="0"/>
              <w:autoSpaceDE w:val="0"/>
              <w:autoSpaceDN w:val="0"/>
              <w:adjustRightInd w:val="0"/>
              <w:spacing w:before="0" w:beforeAutospacing="0" w:after="0" w:afterAutospacing="0" w:line="360" w:lineRule="auto"/>
              <w:ind w:left="0" w:right="0" w:firstLine="0" w:firstLineChars="0"/>
              <w:rPr>
                <w:rFonts w:hint="eastAsia" w:cs="Times New Roman"/>
                <w:color w:val="auto"/>
                <w:sz w:val="24"/>
                <w:szCs w:val="24"/>
                <w:highlight w:val="none"/>
                <w:lang w:val="en-US" w:eastAsia="zh-CN"/>
              </w:rPr>
            </w:pPr>
            <w:r>
              <w:rPr>
                <w:rFonts w:hint="eastAsia" w:ascii="Times New Roman" w:hAnsi="Times New Roman" w:eastAsia="宋体"/>
                <w:b/>
                <w:color w:val="auto"/>
                <w:kern w:val="0"/>
                <w:sz w:val="24"/>
                <w:szCs w:val="24"/>
                <w:lang w:val="en-US" w:eastAsia="zh-CN"/>
              </w:rPr>
              <w:t>3.2</w:t>
            </w:r>
            <w:r>
              <w:rPr>
                <w:rFonts w:hint="eastAsia"/>
                <w:b/>
                <w:color w:val="auto"/>
                <w:kern w:val="0"/>
                <w:sz w:val="24"/>
                <w:szCs w:val="24"/>
                <w:lang w:val="en-US" w:eastAsia="zh-CN"/>
              </w:rPr>
              <w:t xml:space="preserve">  </w:t>
            </w:r>
            <w:r>
              <w:rPr>
                <w:rFonts w:hint="eastAsia" w:ascii="Times New Roman" w:hAnsi="Times New Roman" w:eastAsia="宋体"/>
                <w:b/>
                <w:color w:val="auto"/>
                <w:kern w:val="0"/>
                <w:sz w:val="24"/>
                <w:szCs w:val="24"/>
                <w:lang w:val="en-US" w:eastAsia="zh-CN"/>
              </w:rPr>
              <w:t>现有项目原辅材料使用情况</w:t>
            </w:r>
          </w:p>
          <w:p w14:paraId="11562D0B">
            <w:pPr>
              <w:autoSpaceDE w:val="0"/>
              <w:autoSpaceDN w:val="0"/>
              <w:adjustRightInd w:val="0"/>
              <w:spacing w:line="360" w:lineRule="auto"/>
              <w:ind w:firstLine="480"/>
              <w:rPr>
                <w:rFonts w:hint="eastAsia"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eastAsia="zh-CN"/>
              </w:rPr>
              <w:t>现有项目原辅材</w:t>
            </w:r>
            <w:r>
              <w:rPr>
                <w:rFonts w:hint="default" w:ascii="Times New Roman" w:hAnsi="Times New Roman" w:cs="Times New Roman"/>
                <w:color w:val="auto"/>
                <w:sz w:val="24"/>
                <w:szCs w:val="22"/>
                <w:lang w:val="en-US" w:eastAsia="zh-CN"/>
              </w:rPr>
              <w:t>料使用</w:t>
            </w:r>
            <w:r>
              <w:rPr>
                <w:rFonts w:hint="eastAsia" w:ascii="Times New Roman" w:hAnsi="Times New Roman" w:cs="Times New Roman"/>
                <w:color w:val="auto"/>
                <w:sz w:val="24"/>
                <w:szCs w:val="22"/>
                <w:lang w:val="en-US" w:eastAsia="zh-CN"/>
              </w:rPr>
              <w:t>量</w:t>
            </w:r>
            <w:r>
              <w:rPr>
                <w:rFonts w:hint="default" w:cs="Times New Roman"/>
                <w:color w:val="auto"/>
                <w:sz w:val="24"/>
                <w:szCs w:val="22"/>
                <w:lang w:val="en-US" w:eastAsia="zh-CN"/>
              </w:rPr>
              <w:t>详见表2-</w:t>
            </w:r>
            <w:r>
              <w:rPr>
                <w:rFonts w:hint="eastAsia" w:cs="Times New Roman"/>
                <w:color w:val="auto"/>
                <w:sz w:val="24"/>
                <w:szCs w:val="22"/>
                <w:lang w:val="en-US" w:eastAsia="zh-CN"/>
              </w:rPr>
              <w:t>6</w:t>
            </w:r>
            <w:r>
              <w:rPr>
                <w:rFonts w:hint="default" w:cs="Times New Roman"/>
                <w:color w:val="auto"/>
                <w:sz w:val="24"/>
                <w:szCs w:val="22"/>
                <w:lang w:val="en-US" w:eastAsia="zh-CN"/>
              </w:rPr>
              <w:t>。</w:t>
            </w:r>
          </w:p>
          <w:p w14:paraId="49B0E7E2">
            <w:pPr>
              <w:keepNext w:val="0"/>
              <w:keepLines w:val="0"/>
              <w:numPr>
                <w:ilvl w:val="0"/>
                <w:numId w:val="0"/>
              </w:numPr>
              <w:suppressLineNumbers w:val="0"/>
              <w:tabs>
                <w:tab w:val="left" w:pos="0"/>
              </w:tabs>
              <w:autoSpaceDE/>
              <w:autoSpaceDN/>
              <w:adjustRightInd/>
              <w:snapToGrid w:val="0"/>
              <w:spacing w:before="0" w:beforeAutospacing="0" w:after="0" w:afterAutospacing="0" w:line="360" w:lineRule="auto"/>
              <w:ind w:left="0" w:right="0" w:firstLine="0" w:firstLineChars="0"/>
              <w:rPr>
                <w:rFonts w:hint="eastAsia" w:ascii="Times New Roman" w:hAnsi="Times New Roman" w:eastAsia="宋体"/>
                <w:b/>
                <w:color w:val="auto"/>
                <w:sz w:val="24"/>
                <w:szCs w:val="24"/>
                <w:lang w:val="en-US" w:eastAsia="zh-CN"/>
              </w:rPr>
            </w:pPr>
            <w:r>
              <w:rPr>
                <w:rFonts w:hint="eastAsia" w:ascii="Times New Roman" w:hAnsi="Times New Roman" w:eastAsia="宋体"/>
                <w:b/>
                <w:color w:val="auto"/>
                <w:sz w:val="24"/>
                <w:szCs w:val="24"/>
                <w:lang w:val="en-US" w:eastAsia="zh-CN"/>
              </w:rPr>
              <w:t>3.3</w:t>
            </w:r>
            <w:r>
              <w:rPr>
                <w:rFonts w:hint="eastAsia"/>
                <w:b/>
                <w:color w:val="auto"/>
                <w:sz w:val="24"/>
                <w:szCs w:val="24"/>
                <w:lang w:val="en-US" w:eastAsia="zh-CN"/>
              </w:rPr>
              <w:t xml:space="preserve">  </w:t>
            </w:r>
            <w:r>
              <w:rPr>
                <w:rFonts w:hint="eastAsia" w:ascii="Times New Roman" w:hAnsi="Times New Roman" w:eastAsia="宋体"/>
                <w:b/>
                <w:color w:val="auto"/>
                <w:sz w:val="24"/>
                <w:szCs w:val="24"/>
                <w:lang w:val="en-US" w:eastAsia="zh-CN"/>
              </w:rPr>
              <w:t>现有项目生产设备</w:t>
            </w:r>
          </w:p>
          <w:p w14:paraId="34FDAFFA">
            <w:pPr>
              <w:autoSpaceDE w:val="0"/>
              <w:autoSpaceDN w:val="0"/>
              <w:adjustRightInd w:val="0"/>
              <w:spacing w:line="360" w:lineRule="auto"/>
              <w:ind w:firstLine="480" w:firstLineChars="0"/>
              <w:rPr>
                <w:rFonts w:hint="default" w:cs="Times New Roman"/>
                <w:color w:val="auto"/>
                <w:sz w:val="24"/>
                <w:szCs w:val="22"/>
                <w:lang w:val="en-US" w:eastAsia="zh-CN"/>
              </w:rPr>
            </w:pPr>
            <w:r>
              <w:rPr>
                <w:rFonts w:hint="default" w:ascii="Times New Roman" w:hAnsi="Times New Roman" w:cs="Times New Roman"/>
                <w:color w:val="auto"/>
                <w:sz w:val="24"/>
                <w:szCs w:val="22"/>
                <w:lang w:val="en-US" w:eastAsia="zh-CN"/>
              </w:rPr>
              <w:t>现有项目生产设备</w:t>
            </w:r>
            <w:r>
              <w:rPr>
                <w:rFonts w:hint="default" w:cs="Times New Roman"/>
                <w:color w:val="auto"/>
                <w:sz w:val="24"/>
                <w:szCs w:val="22"/>
                <w:lang w:val="en-US" w:eastAsia="zh-CN"/>
              </w:rPr>
              <w:t>详见表2-</w:t>
            </w:r>
            <w:r>
              <w:rPr>
                <w:rFonts w:hint="eastAsia" w:cs="Times New Roman"/>
                <w:color w:val="auto"/>
                <w:sz w:val="24"/>
                <w:szCs w:val="22"/>
                <w:lang w:val="en-US" w:eastAsia="zh-CN"/>
              </w:rPr>
              <w:t>12</w:t>
            </w:r>
            <w:r>
              <w:rPr>
                <w:rFonts w:hint="default" w:cs="Times New Roman"/>
                <w:color w:val="auto"/>
                <w:sz w:val="24"/>
                <w:szCs w:val="22"/>
                <w:lang w:val="en-US" w:eastAsia="zh-CN"/>
              </w:rPr>
              <w:t>。</w:t>
            </w:r>
          </w:p>
          <w:p w14:paraId="35E66B7D">
            <w:pPr>
              <w:keepNext w:val="0"/>
              <w:keepLines w:val="0"/>
              <w:suppressLineNumbers w:val="0"/>
              <w:autoSpaceDE w:val="0"/>
              <w:autoSpaceDN w:val="0"/>
              <w:adjustRightInd w:val="0"/>
              <w:spacing w:before="0" w:beforeAutospacing="0" w:after="0" w:afterAutospacing="0" w:line="360" w:lineRule="auto"/>
              <w:ind w:left="0" w:right="0" w:firstLine="0" w:firstLineChars="0"/>
              <w:rPr>
                <w:rFonts w:hint="eastAsia" w:ascii="Times New Roman" w:hAnsi="Times New Roman" w:eastAsia="宋体"/>
                <w:b/>
                <w:color w:val="auto"/>
                <w:sz w:val="24"/>
                <w:szCs w:val="24"/>
                <w:lang w:val="en-US" w:eastAsia="zh-CN"/>
              </w:rPr>
            </w:pPr>
            <w:r>
              <w:rPr>
                <w:rFonts w:hint="eastAsia" w:ascii="Times New Roman" w:hAnsi="Times New Roman" w:eastAsia="宋体"/>
                <w:b/>
                <w:color w:val="auto"/>
                <w:sz w:val="24"/>
                <w:szCs w:val="24"/>
                <w:lang w:val="en-US" w:eastAsia="zh-CN"/>
              </w:rPr>
              <w:t>3.</w:t>
            </w:r>
            <w:r>
              <w:rPr>
                <w:rFonts w:hint="eastAsia"/>
                <w:b/>
                <w:color w:val="auto"/>
                <w:sz w:val="24"/>
                <w:szCs w:val="24"/>
                <w:lang w:val="en-US" w:eastAsia="zh-CN"/>
              </w:rPr>
              <w:t xml:space="preserve">4  </w:t>
            </w:r>
            <w:r>
              <w:rPr>
                <w:rFonts w:hint="eastAsia" w:ascii="Times New Roman" w:hAnsi="Times New Roman" w:eastAsia="宋体"/>
                <w:b/>
                <w:color w:val="auto"/>
                <w:sz w:val="24"/>
                <w:szCs w:val="24"/>
                <w:lang w:val="en-US" w:eastAsia="zh-CN"/>
              </w:rPr>
              <w:t>现有项目工艺</w:t>
            </w:r>
          </w:p>
          <w:p w14:paraId="2A66CB77">
            <w:pPr>
              <w:autoSpaceDE w:val="0"/>
              <w:autoSpaceDN w:val="0"/>
              <w:adjustRightInd w:val="0"/>
              <w:spacing w:line="360" w:lineRule="auto"/>
              <w:ind w:firstLine="480" w:firstLineChars="0"/>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现有项目产品工艺具体如下。</w:t>
            </w:r>
          </w:p>
          <w:p w14:paraId="7EE3610B">
            <w:pPr>
              <w:keepNext w:val="0"/>
              <w:keepLines w:val="0"/>
              <w:numPr>
                <w:ilvl w:val="0"/>
                <w:numId w:val="0"/>
              </w:numPr>
              <w:suppressLineNumbers w:val="0"/>
              <w:autoSpaceDE w:val="0"/>
              <w:autoSpaceDN w:val="0"/>
              <w:adjustRightInd w:val="0"/>
              <w:spacing w:before="0" w:beforeAutospacing="0" w:after="0" w:afterAutospacing="0" w:line="360" w:lineRule="auto"/>
              <w:ind w:left="0" w:leftChars="0" w:right="0" w:rightChars="0" w:firstLine="0" w:firstLineChars="0"/>
              <w:rPr>
                <w:rFonts w:hint="eastAsia" w:ascii="Times New Roman" w:hAnsi="Times New Roman" w:eastAsia="宋体"/>
                <w:b/>
                <w:color w:val="auto"/>
                <w:sz w:val="24"/>
                <w:szCs w:val="24"/>
                <w:lang w:val="en-US" w:eastAsia="zh-CN"/>
              </w:rPr>
            </w:pPr>
            <w:r>
              <w:rPr>
                <w:rFonts w:hint="eastAsia" w:cs="Times New Roman"/>
                <w:b/>
                <w:color w:val="auto"/>
                <w:kern w:val="2"/>
                <w:sz w:val="24"/>
                <w:szCs w:val="24"/>
                <w:lang w:val="en-US" w:eastAsia="zh-CN" w:bidi="ar-SA"/>
              </w:rPr>
              <w:t>3.4.1  铁支架</w:t>
            </w:r>
            <w:r>
              <w:rPr>
                <w:rFonts w:hint="eastAsia" w:ascii="Times New Roman" w:hAnsi="Times New Roman" w:eastAsia="宋体"/>
                <w:b/>
                <w:color w:val="auto"/>
                <w:sz w:val="24"/>
                <w:szCs w:val="24"/>
                <w:lang w:val="en-US" w:eastAsia="zh-CN"/>
              </w:rPr>
              <w:t>：</w:t>
            </w:r>
          </w:p>
          <w:p w14:paraId="39FE3C36">
            <w:pPr>
              <w:spacing w:line="360" w:lineRule="auto"/>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object>
                <v:shape id="_x0000_i1029" o:spt="75" type="#_x0000_t75" style="height:123.15pt;width:325.9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p>
          <w:p w14:paraId="427252EF">
            <w:pPr>
              <w:spacing w:line="360" w:lineRule="auto"/>
              <w:jc w:val="center"/>
              <w:rPr>
                <w:rFonts w:hint="eastAsia" w:ascii="Times New Roman" w:hAnsi="Times New Roman" w:cs="Times New Roman"/>
                <w:b/>
                <w:bCs/>
                <w:color w:val="auto"/>
                <w:sz w:val="24"/>
                <w:szCs w:val="24"/>
              </w:rPr>
            </w:pPr>
            <w:r>
              <w:rPr>
                <w:rFonts w:ascii="Times New Roman" w:hAnsi="Times New Roman"/>
                <w:b/>
                <w:color w:val="auto"/>
                <w:sz w:val="24"/>
              </w:rPr>
              <w:t>图</w:t>
            </w:r>
            <w:r>
              <w:rPr>
                <w:rFonts w:hint="eastAsia" w:ascii="Times New Roman" w:hAnsi="Times New Roman"/>
                <w:b/>
                <w:color w:val="auto"/>
                <w:sz w:val="24"/>
              </w:rPr>
              <w:t>2</w:t>
            </w:r>
            <w:r>
              <w:rPr>
                <w:rFonts w:ascii="Times New Roman" w:hAnsi="Times New Roman"/>
                <w:b/>
                <w:color w:val="auto"/>
                <w:sz w:val="24"/>
              </w:rPr>
              <w:t>-</w:t>
            </w:r>
            <w:r>
              <w:rPr>
                <w:rFonts w:hint="eastAsia"/>
                <w:b/>
                <w:color w:val="auto"/>
                <w:sz w:val="24"/>
                <w:lang w:val="en-US" w:eastAsia="zh-CN"/>
              </w:rPr>
              <w:t>6</w:t>
            </w:r>
            <w:r>
              <w:rPr>
                <w:rFonts w:ascii="Times New Roman" w:hAnsi="Times New Roman"/>
                <w:b/>
                <w:color w:val="auto"/>
                <w:sz w:val="24"/>
              </w:rPr>
              <w:t xml:space="preserve">  </w:t>
            </w:r>
            <w:r>
              <w:rPr>
                <w:rFonts w:hint="eastAsia" w:ascii="Times New Roman" w:hAnsi="Times New Roman"/>
                <w:b/>
                <w:color w:val="auto"/>
                <w:sz w:val="24"/>
                <w:lang w:val="en-US" w:eastAsia="zh-CN"/>
              </w:rPr>
              <w:t>铁支架</w:t>
            </w:r>
            <w:r>
              <w:rPr>
                <w:rFonts w:hint="eastAsia" w:ascii="Times New Roman" w:hAnsi="Times New Roman"/>
                <w:b/>
                <w:color w:val="auto"/>
                <w:sz w:val="24"/>
              </w:rPr>
              <w:t>生产</w:t>
            </w:r>
            <w:r>
              <w:rPr>
                <w:rFonts w:ascii="Times New Roman" w:hAnsi="Times New Roman"/>
                <w:b/>
                <w:color w:val="auto"/>
                <w:sz w:val="24"/>
              </w:rPr>
              <w:t>工艺流程图</w:t>
            </w:r>
          </w:p>
          <w:p w14:paraId="056A8A9A">
            <w:pPr>
              <w:spacing w:line="360" w:lineRule="auto"/>
              <w:ind w:firstLine="482" w:firstLineChars="200"/>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rPr>
              <w:t>工艺流程简述：</w:t>
            </w:r>
          </w:p>
          <w:p w14:paraId="2128282D">
            <w:pPr>
              <w:spacing w:line="360" w:lineRule="auto"/>
              <w:ind w:firstLine="482" w:firstLineChars="200"/>
              <w:rPr>
                <w:rFonts w:hint="eastAsia" w:ascii="Times New Roman" w:hAnsi="Times New Roman" w:eastAsia="宋体" w:cs="Times New Roman"/>
                <w:color w:val="auto"/>
                <w:sz w:val="24"/>
                <w:szCs w:val="24"/>
              </w:rPr>
            </w:pPr>
            <w:bookmarkStart w:id="9" w:name="_Hlk127045112"/>
            <w:r>
              <w:rPr>
                <w:rFonts w:hint="eastAsia" w:ascii="Times New Roman" w:hAnsi="Times New Roman" w:eastAsia="宋体" w:cs="Times New Roman"/>
                <w:b/>
                <w:bCs/>
                <w:color w:val="auto"/>
                <w:sz w:val="24"/>
                <w:szCs w:val="24"/>
              </w:rPr>
              <w:t>切割、剪</w:t>
            </w:r>
            <w:r>
              <w:rPr>
                <w:rFonts w:hint="eastAsia" w:cs="Times New Roman"/>
                <w:b/>
                <w:bCs/>
                <w:color w:val="auto"/>
                <w:sz w:val="24"/>
                <w:szCs w:val="24"/>
                <w:lang w:eastAsia="zh-CN"/>
              </w:rPr>
              <w:t>板</w:t>
            </w: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color w:val="auto"/>
                <w:sz w:val="24"/>
                <w:szCs w:val="24"/>
              </w:rPr>
              <w:t>项目原料经切割机、剪板机裁切成所需规格尺寸要求，该工序产生噪声及废边角料S1。</w:t>
            </w:r>
            <w:bookmarkEnd w:id="9"/>
          </w:p>
          <w:p w14:paraId="48F36A6C">
            <w:pPr>
              <w:spacing w:line="360" w:lineRule="auto"/>
              <w:ind w:firstLine="482" w:firstLineChars="200"/>
              <w:rPr>
                <w:rFonts w:hint="eastAsia" w:ascii="Times New Roman" w:hAnsi="Times New Roman" w:eastAsia="宋体" w:cs="Times New Roman"/>
                <w:color w:val="auto"/>
                <w:sz w:val="24"/>
                <w:szCs w:val="24"/>
              </w:rPr>
            </w:pPr>
            <w:bookmarkStart w:id="10" w:name="_Hlk127028515"/>
            <w:bookmarkStart w:id="11" w:name="_Hlk127031721"/>
            <w:r>
              <w:rPr>
                <w:rFonts w:hint="eastAsia" w:ascii="Times New Roman" w:hAnsi="Times New Roman" w:eastAsia="宋体" w:cs="Times New Roman"/>
                <w:b/>
                <w:bCs/>
                <w:color w:val="auto"/>
                <w:sz w:val="24"/>
                <w:szCs w:val="24"/>
              </w:rPr>
              <w:t>委外酸洗：</w:t>
            </w:r>
            <w:r>
              <w:rPr>
                <w:rFonts w:hint="eastAsia" w:ascii="Times New Roman" w:hAnsi="Times New Roman" w:eastAsia="宋体" w:cs="Times New Roman"/>
                <w:color w:val="auto"/>
                <w:sz w:val="24"/>
                <w:szCs w:val="24"/>
              </w:rPr>
              <w:t>机加工后的工件委外进行酸洗等表面处理。</w:t>
            </w:r>
          </w:p>
          <w:p w14:paraId="18467865">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静电喷粉：</w:t>
            </w:r>
            <w:r>
              <w:rPr>
                <w:rFonts w:hint="eastAsia" w:ascii="Times New Roman" w:hAnsi="Times New Roman" w:eastAsia="宋体" w:cs="Times New Roman"/>
                <w:color w:val="auto"/>
                <w:sz w:val="24"/>
                <w:szCs w:val="24"/>
              </w:rPr>
              <w:t>委外处理后的工件经喷粉房进行静电喷粉作业。静电发生器通过喷枪枪口的电极针向工件方向释放高压静电（负极），该高压静电使得从喷枪</w:t>
            </w:r>
            <w:bookmarkEnd w:id="10"/>
            <w:bookmarkEnd w:id="11"/>
            <w:r>
              <w:rPr>
                <w:rFonts w:hint="eastAsia" w:ascii="Times New Roman" w:hAnsi="Times New Roman" w:eastAsia="宋体" w:cs="Times New Roman"/>
                <w:color w:val="auto"/>
                <w:sz w:val="24"/>
                <w:szCs w:val="24"/>
              </w:rPr>
              <w:t>口喷出的粉末涂料、压缩空气混合物以及电极周围空气电离，工件经过挂具输送系统（接地），这样就在喷枪和工件之间形成电场，粉末涂料在电场力和压缩空气双重推动下到达工件表面，从而在工件表面形成一层均匀的涂层。该工序产生废气G</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，主要污染物为颗粒物。</w:t>
            </w:r>
          </w:p>
          <w:p w14:paraId="42E01945">
            <w:pPr>
              <w:spacing w:line="360" w:lineRule="auto"/>
              <w:ind w:firstLine="482"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烘干：</w:t>
            </w:r>
            <w:r>
              <w:rPr>
                <w:rFonts w:hint="eastAsia" w:ascii="Times New Roman" w:hAnsi="Times New Roman" w:eastAsia="宋体" w:cs="Times New Roman"/>
                <w:color w:val="auto"/>
                <w:sz w:val="24"/>
                <w:szCs w:val="24"/>
              </w:rPr>
              <w:t>喷粉结束后经固化烘道固化，现有项目烘干采用电加热</w:t>
            </w:r>
            <w:r>
              <w:rPr>
                <w:rFonts w:hint="eastAsia" w:cs="Times New Roman"/>
                <w:color w:val="auto"/>
                <w:sz w:val="24"/>
                <w:szCs w:val="24"/>
                <w:lang w:eastAsia="zh-CN"/>
              </w:rPr>
              <w:t>。</w:t>
            </w:r>
          </w:p>
          <w:p w14:paraId="5C2783D5">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检验包装：</w:t>
            </w:r>
            <w:r>
              <w:rPr>
                <w:rFonts w:hint="eastAsia" w:ascii="Times New Roman" w:hAnsi="Times New Roman" w:eastAsia="宋体" w:cs="Times New Roman"/>
                <w:color w:val="auto"/>
                <w:sz w:val="24"/>
                <w:szCs w:val="24"/>
              </w:rPr>
              <w:t>人工检验包装，即为成品。</w:t>
            </w:r>
          </w:p>
          <w:p w14:paraId="71F29391">
            <w:pPr>
              <w:spacing w:line="360" w:lineRule="auto"/>
              <w:rPr>
                <w:rFonts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3.4.2  </w:t>
            </w:r>
            <w:r>
              <w:rPr>
                <w:rFonts w:hint="eastAsia" w:ascii="Times New Roman" w:hAnsi="Times New Roman" w:cs="Times New Roman"/>
                <w:b/>
                <w:bCs/>
                <w:color w:val="auto"/>
                <w:sz w:val="24"/>
                <w:szCs w:val="24"/>
              </w:rPr>
              <w:t>电视机支架配件：</w:t>
            </w:r>
          </w:p>
          <w:p w14:paraId="68B301A8">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根据制作要求的不同，分为静电喷粉和电泳涂装两种工艺。具体如下：</w:t>
            </w:r>
          </w:p>
          <w:p w14:paraId="0EDBCC3B">
            <w:pPr>
              <w:numPr>
                <w:ilvl w:val="0"/>
                <w:numId w:val="0"/>
              </w:numPr>
              <w:spacing w:line="360" w:lineRule="auto"/>
              <w:ind w:firstLine="482" w:firstLineChars="200"/>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ascii="Times New Roman" w:hAnsi="Times New Roman" w:cs="Times New Roman"/>
                <w:b/>
                <w:bCs/>
                <w:color w:val="auto"/>
                <w:sz w:val="24"/>
                <w:szCs w:val="24"/>
                <w:lang w:val="en-US" w:eastAsia="zh-CN"/>
              </w:rPr>
              <w:t>静电喷粉工艺：</w:t>
            </w:r>
          </w:p>
          <w:p w14:paraId="48429A04">
            <w:pPr>
              <w:numPr>
                <w:ilvl w:val="0"/>
                <w:numId w:val="0"/>
              </w:numPr>
              <w:spacing w:line="360" w:lineRule="auto"/>
              <w:jc w:val="center"/>
              <w:rPr>
                <w:rFonts w:hint="eastAsia"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object>
                <v:shape id="_x0000_i1030" o:spt="75" type="#_x0000_t75" style="height:162.2pt;width:469.4pt;" o:ole="t" filled="f" o:preferrelative="t" stroked="f" coordsize="21600,21600">
                  <v:path/>
                  <v:fill on="f" focussize="0,0"/>
                  <v:stroke on="f"/>
                  <v:imagedata r:id="rId20" o:title=""/>
                  <o:lock v:ext="edit" aspectratio="f"/>
                  <w10:wrap type="none"/>
                  <w10:anchorlock/>
                </v:shape>
                <o:OLEObject Type="Embed" ProgID="Visio.Drawing.15" ShapeID="_x0000_i1030" DrawAspect="Content" ObjectID="_1468075730" r:id="rId19">
                  <o:LockedField>false</o:LockedField>
                </o:OLEObject>
              </w:object>
            </w:r>
            <w:r>
              <w:rPr>
                <w:rFonts w:ascii="Times New Roman" w:hAnsi="Times New Roman"/>
                <w:b/>
                <w:color w:val="auto"/>
                <w:sz w:val="24"/>
              </w:rPr>
              <w:t>图</w:t>
            </w:r>
            <w:r>
              <w:rPr>
                <w:rFonts w:hint="eastAsia" w:ascii="Times New Roman" w:hAnsi="Times New Roman"/>
                <w:b/>
                <w:color w:val="auto"/>
                <w:sz w:val="24"/>
              </w:rPr>
              <w:t>2</w:t>
            </w:r>
            <w:r>
              <w:rPr>
                <w:rFonts w:ascii="Times New Roman" w:hAnsi="Times New Roman"/>
                <w:b/>
                <w:color w:val="auto"/>
                <w:sz w:val="24"/>
              </w:rPr>
              <w:t>-</w:t>
            </w:r>
            <w:r>
              <w:rPr>
                <w:rFonts w:hint="eastAsia"/>
                <w:b/>
                <w:color w:val="auto"/>
                <w:sz w:val="24"/>
                <w:lang w:val="en-US" w:eastAsia="zh-CN"/>
              </w:rPr>
              <w:t>7</w:t>
            </w:r>
            <w:r>
              <w:rPr>
                <w:rFonts w:ascii="Times New Roman" w:hAnsi="Times New Roman"/>
                <w:b/>
                <w:color w:val="auto"/>
                <w:sz w:val="24"/>
              </w:rPr>
              <w:t xml:space="preserve">  </w:t>
            </w:r>
            <w:r>
              <w:rPr>
                <w:rFonts w:hint="eastAsia" w:ascii="Times New Roman" w:hAnsi="Times New Roman"/>
                <w:b/>
                <w:color w:val="auto"/>
                <w:sz w:val="24"/>
                <w:lang w:val="en-US" w:eastAsia="zh-CN"/>
              </w:rPr>
              <w:t>电视机支架（静电喷粉）</w:t>
            </w:r>
            <w:r>
              <w:rPr>
                <w:rFonts w:hint="eastAsia" w:ascii="Times New Roman" w:hAnsi="Times New Roman"/>
                <w:b/>
                <w:color w:val="auto"/>
                <w:sz w:val="24"/>
              </w:rPr>
              <w:t>生产</w:t>
            </w:r>
            <w:r>
              <w:rPr>
                <w:rFonts w:ascii="Times New Roman" w:hAnsi="Times New Roman"/>
                <w:b/>
                <w:color w:val="auto"/>
                <w:sz w:val="24"/>
              </w:rPr>
              <w:t>工艺流程图</w:t>
            </w:r>
          </w:p>
          <w:p w14:paraId="0D5F22D5">
            <w:pPr>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工艺流程简述</w:t>
            </w:r>
            <w:r>
              <w:rPr>
                <w:rFonts w:hint="eastAsia" w:ascii="Times New Roman" w:hAnsi="Times New Roman" w:eastAsia="宋体" w:cs="Times New Roman"/>
                <w:b/>
                <w:bCs/>
                <w:color w:val="auto"/>
                <w:sz w:val="24"/>
                <w:szCs w:val="24"/>
              </w:rPr>
              <w:t>：</w:t>
            </w:r>
          </w:p>
          <w:p w14:paraId="0407F9BD">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脱脂（脱脂1、脱脂2、脱脂3）：</w:t>
            </w:r>
            <w:r>
              <w:rPr>
                <w:rFonts w:hint="eastAsia" w:ascii="Times New Roman" w:hAnsi="Times New Roman" w:eastAsia="宋体" w:cs="Times New Roman"/>
                <w:color w:val="auto"/>
                <w:sz w:val="24"/>
                <w:szCs w:val="24"/>
              </w:rPr>
              <w:t>脱脂是清除工件表面残留的油脂油污、金属碎屑、灰尘等，该工序在脱脂槽内进行。首先在脱脂槽内加入一定量的脱脂剂，然后按比例加入自来水配</w:t>
            </w:r>
            <w:r>
              <w:rPr>
                <w:rFonts w:hint="eastAsia" w:cs="Times New Roman"/>
                <w:color w:val="auto"/>
                <w:sz w:val="24"/>
                <w:szCs w:val="24"/>
                <w:lang w:val="en-US" w:eastAsia="zh-CN"/>
              </w:rPr>
              <w:t>制</w:t>
            </w:r>
            <w:r>
              <w:rPr>
                <w:rFonts w:hint="eastAsia" w:ascii="Times New Roman" w:hAnsi="Times New Roman" w:eastAsia="宋体" w:cs="Times New Roman"/>
                <w:color w:val="auto"/>
                <w:sz w:val="24"/>
                <w:szCs w:val="24"/>
              </w:rPr>
              <w:t>脱脂液。放入支架配件，3级脱脂，常温浸泡式脱脂，脱脂槽容积1.8m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，储液体积为1.6m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，脱脂时间约3min。脱脂液循环使用，定期补充水和脱脂剂。脱脂液每年倒槽1次，倒槽前槽液静止沉淀3天，上清液回用，下层浊液作为危废处理。该工序产生脱脂废液L1。</w:t>
            </w:r>
          </w:p>
          <w:p w14:paraId="2037FEB3">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水洗（水洗1、水洗2）：</w:t>
            </w:r>
            <w:r>
              <w:rPr>
                <w:rFonts w:hint="eastAsia" w:ascii="Times New Roman" w:hAnsi="Times New Roman" w:eastAsia="宋体" w:cs="Times New Roman"/>
                <w:color w:val="auto"/>
                <w:sz w:val="24"/>
                <w:szCs w:val="24"/>
              </w:rPr>
              <w:t>将脱脂后的工件在水洗槽中用自来水进行浸泡清洗，分两次水洗，水洗槽1储液体积为1.6m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，水洗槽2储液体积为1.6m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，均采用浸泡清洗，两次工件水洗时间均为1min。水洗槽中的水每日更换一次。该工序产生水洗废水W1</w:t>
            </w:r>
            <w:r>
              <w:rPr>
                <w:rFonts w:hint="eastAsia" w:cs="Times New Roman"/>
                <w:color w:val="auto"/>
                <w:sz w:val="24"/>
                <w:szCs w:val="24"/>
                <w:lang w:eastAsia="zh-CN"/>
              </w:rPr>
              <w:t>。</w:t>
            </w:r>
          </w:p>
          <w:p w14:paraId="5149DA6C">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酸洗：</w:t>
            </w:r>
            <w:r>
              <w:rPr>
                <w:rFonts w:hint="eastAsia" w:ascii="Times New Roman" w:hAnsi="Times New Roman" w:eastAsia="宋体" w:cs="Times New Roman"/>
                <w:color w:val="auto"/>
                <w:sz w:val="24"/>
                <w:szCs w:val="24"/>
              </w:rPr>
              <w:t>酸洗槽中先加入自来水，然后投加硫酸、盐酸。在酸液的作用下，工件表面的氧化层发生化学反应，生成金属盐，从而达到除锈的目的。常温酸洗，酸洗时间15min。酸洗槽有效容积为1.6m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，酸洗液定期补充稀硫酸、盐酸，每年倒槽</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次，倒槽前槽液静止沉淀3天，上清液回用，下层浊液作为危废处理。该工序产生酸洗废液L2，酸雾G</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w:t>
            </w:r>
          </w:p>
          <w:p w14:paraId="235E9042">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水洗：</w:t>
            </w:r>
            <w:r>
              <w:rPr>
                <w:rFonts w:hint="eastAsia" w:ascii="Times New Roman" w:hAnsi="Times New Roman" w:eastAsia="宋体" w:cs="Times New Roman"/>
                <w:color w:val="auto"/>
                <w:sz w:val="24"/>
                <w:szCs w:val="24"/>
              </w:rPr>
              <w:t>为去除工件表面残留酸液，酸洗后的工件进行水洗1次，常温水洗。水洗槽储液体积为1.6m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，浸泡清洗，水洗时间为2min。水洗槽中的水循环使用，每日更换一次。该工序产生水洗废水W1。</w:t>
            </w:r>
          </w:p>
          <w:p w14:paraId="03DBABA8">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硅烷处理：</w:t>
            </w:r>
            <w:r>
              <w:rPr>
                <w:rFonts w:hint="eastAsia" w:ascii="Times New Roman" w:hAnsi="Times New Roman" w:eastAsia="宋体" w:cs="Times New Roman"/>
                <w:color w:val="auto"/>
                <w:sz w:val="24"/>
                <w:szCs w:val="24"/>
              </w:rPr>
              <w:t>硅烷化处理是以有机硅烷水溶液为主要成分对金属工件进行表面处理的过程。项目硅烷化处理在硅烷槽中进行，在硅烷槽内加入一定量的硅烷处理剂，再加自来水</w:t>
            </w:r>
            <w:r>
              <w:rPr>
                <w:rFonts w:hint="eastAsia" w:cs="Times New Roman"/>
                <w:color w:val="auto"/>
                <w:sz w:val="24"/>
                <w:szCs w:val="24"/>
                <w:lang w:eastAsia="zh-CN"/>
              </w:rPr>
              <w:t>配制一定浓度</w:t>
            </w:r>
            <w:r>
              <w:rPr>
                <w:rFonts w:hint="eastAsia" w:ascii="Times New Roman" w:hAnsi="Times New Roman" w:eastAsia="宋体" w:cs="Times New Roman"/>
                <w:color w:val="auto"/>
                <w:sz w:val="24"/>
                <w:szCs w:val="24"/>
              </w:rPr>
              <w:t>的硅烷处理液，工件浸泡1min。硅烷槽储液体积为1.5m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，定期补充硅烷处理剂，硅烷槽液每年倒槽一次。该工序产生硅烷处理废液L3；</w:t>
            </w:r>
          </w:p>
          <w:p w14:paraId="4D55B665">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水洗（水洗1、2）：</w:t>
            </w:r>
            <w:r>
              <w:rPr>
                <w:rFonts w:hint="eastAsia" w:ascii="Times New Roman" w:hAnsi="Times New Roman" w:eastAsia="宋体" w:cs="Times New Roman"/>
                <w:color w:val="auto"/>
                <w:sz w:val="24"/>
                <w:szCs w:val="24"/>
              </w:rPr>
              <w:t>脱脂后的工件在水洗槽中用自来水进行浸泡清洗，分两次水洗，水洗槽1、2储液体积均为1.6m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，均采用浸泡清洗，两次工件水洗时间均为2min。水洗槽中的水循环使用，每日更换一次。该工序产生水洗废水W1；</w:t>
            </w:r>
          </w:p>
          <w:p w14:paraId="4A48A4C2">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纯水洗：</w:t>
            </w:r>
            <w:r>
              <w:rPr>
                <w:rFonts w:hint="eastAsia" w:ascii="Times New Roman" w:hAnsi="Times New Roman" w:eastAsia="宋体" w:cs="Times New Roman"/>
                <w:color w:val="auto"/>
                <w:sz w:val="24"/>
                <w:szCs w:val="24"/>
              </w:rPr>
              <w:t>纯水清洗，水洗槽储液体积为1.6m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，水洗时间为2min。水洗槽中的水循环使用，每日更换一次。该工序产生水洗废水W1。</w:t>
            </w:r>
          </w:p>
          <w:p w14:paraId="40493D60">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静电喷粉：</w:t>
            </w:r>
            <w:r>
              <w:rPr>
                <w:rFonts w:hint="eastAsia" w:ascii="Times New Roman" w:hAnsi="Times New Roman" w:eastAsia="宋体" w:cs="Times New Roman"/>
                <w:color w:val="auto"/>
                <w:sz w:val="24"/>
                <w:szCs w:val="24"/>
              </w:rPr>
              <w:t>项目喷粉采用静电喷粉方式，喷粉工序在常温下进行。喷粉房工作时，工件通过输送系统进入喷粉房，经喷枪进行喷粉作业。静电发生器通过喷枪枪口的电极针向工件方向释放高压静电（负极），该高压静电使得从喷枪口喷出的粉末涂料、压缩空气混合物以及电极周围空气电离，工件经过挂具输送系统（接地），这样就在喷枪和工件之间形成电场，粉末涂料在电场力和压缩空气双重推动下到达工件表面，从而在工件表面形成一层均匀的涂层。该工序产生喷粉废气G</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，主要污染物为颗粒物，未被利用的</w:t>
            </w:r>
            <w:r>
              <w:rPr>
                <w:rFonts w:hint="eastAsia" w:cs="Times New Roman"/>
                <w:color w:val="auto"/>
                <w:sz w:val="24"/>
                <w:szCs w:val="24"/>
                <w:lang w:val="en-US" w:eastAsia="zh-CN"/>
              </w:rPr>
              <w:t>塑粉</w:t>
            </w:r>
            <w:r>
              <w:rPr>
                <w:rFonts w:hint="eastAsia" w:ascii="Times New Roman" w:hAnsi="Times New Roman" w:eastAsia="宋体" w:cs="Times New Roman"/>
                <w:color w:val="auto"/>
                <w:sz w:val="24"/>
                <w:szCs w:val="24"/>
              </w:rPr>
              <w:t>S</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w:t>
            </w:r>
          </w:p>
          <w:p w14:paraId="6EAEE78E">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检测：</w:t>
            </w:r>
            <w:r>
              <w:rPr>
                <w:rFonts w:hint="eastAsia" w:ascii="Times New Roman" w:hAnsi="Times New Roman" w:eastAsia="宋体" w:cs="Times New Roman"/>
                <w:color w:val="auto"/>
                <w:sz w:val="24"/>
                <w:szCs w:val="24"/>
              </w:rPr>
              <w:t>进行品检，主要检测外观、厚度等。</w:t>
            </w:r>
          </w:p>
          <w:p w14:paraId="73975714">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固化：</w:t>
            </w:r>
            <w:r>
              <w:rPr>
                <w:rFonts w:hint="eastAsia" w:ascii="Times New Roman" w:hAnsi="Times New Roman" w:eastAsia="宋体" w:cs="Times New Roman"/>
                <w:color w:val="auto"/>
                <w:sz w:val="24"/>
                <w:szCs w:val="24"/>
              </w:rPr>
              <w:t>喷粉好的工件置于烘道中进行固化，以使粉末熔化、流平、最后固化形成坚固的粉末涂层。该工序固化温度约180-200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，固化时间为15-20min，该工序产生有机废气G</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rPr>
              <w:t>。固化采用液化气燃烧加热，产生燃烧废气G</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rPr>
              <w:t>。</w:t>
            </w:r>
          </w:p>
          <w:p w14:paraId="0F5C3754">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组装：</w:t>
            </w:r>
            <w:r>
              <w:rPr>
                <w:rFonts w:hint="eastAsia" w:ascii="Times New Roman" w:hAnsi="Times New Roman" w:eastAsia="宋体" w:cs="Times New Roman"/>
                <w:color w:val="auto"/>
                <w:sz w:val="24"/>
                <w:szCs w:val="24"/>
              </w:rPr>
              <w:t>手工将工件进行组装，即为成品。</w:t>
            </w:r>
          </w:p>
          <w:p w14:paraId="1C33B396">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电泳涂装工艺：</w:t>
            </w:r>
          </w:p>
          <w:p w14:paraId="3AA62E0A">
            <w:pPr>
              <w:spacing w:line="360" w:lineRule="auto"/>
              <w:jc w:val="center"/>
              <w:rPr>
                <w:rFonts w:hint="eastAsia"/>
                <w:color w:val="auto"/>
              </w:rPr>
            </w:pPr>
            <w:r>
              <w:rPr>
                <w:color w:val="auto"/>
              </w:rPr>
              <w:object>
                <v:shape id="_x0000_i1031" o:spt="75" type="#_x0000_t75" style="height:168.35pt;width:469.4pt;" o:ole="t" filled="f" o:preferrelative="t" stroked="f" coordsize="21600,21600">
                  <v:path/>
                  <v:fill on="f" focussize="0,0"/>
                  <v:stroke on="f"/>
                  <v:imagedata r:id="rId22" o:title=""/>
                  <o:lock v:ext="edit" aspectratio="f"/>
                  <w10:wrap type="none"/>
                  <w10:anchorlock/>
                </v:shape>
                <o:OLEObject Type="Embed" ProgID="Visio.Drawing.15" ShapeID="_x0000_i1031" DrawAspect="Content" ObjectID="_1468075731" r:id="rId21">
                  <o:LockedField>false</o:LockedField>
                </o:OLEObject>
              </w:object>
            </w:r>
            <w:r>
              <w:rPr>
                <w:rFonts w:ascii="Times New Roman" w:hAnsi="Times New Roman"/>
                <w:b/>
                <w:color w:val="auto"/>
                <w:sz w:val="24"/>
              </w:rPr>
              <w:t>图</w:t>
            </w:r>
            <w:r>
              <w:rPr>
                <w:rFonts w:hint="eastAsia" w:ascii="Times New Roman" w:hAnsi="Times New Roman"/>
                <w:b/>
                <w:color w:val="auto"/>
                <w:sz w:val="24"/>
              </w:rPr>
              <w:t>2</w:t>
            </w:r>
            <w:r>
              <w:rPr>
                <w:rFonts w:ascii="Times New Roman" w:hAnsi="Times New Roman"/>
                <w:b/>
                <w:color w:val="auto"/>
                <w:sz w:val="24"/>
              </w:rPr>
              <w:t>-</w:t>
            </w:r>
            <w:r>
              <w:rPr>
                <w:rFonts w:hint="eastAsia"/>
                <w:b/>
                <w:color w:val="auto"/>
                <w:sz w:val="24"/>
                <w:lang w:val="en-US" w:eastAsia="zh-CN"/>
              </w:rPr>
              <w:t>8</w:t>
            </w:r>
            <w:r>
              <w:rPr>
                <w:rFonts w:ascii="Times New Roman" w:hAnsi="Times New Roman"/>
                <w:b/>
                <w:color w:val="auto"/>
                <w:sz w:val="24"/>
              </w:rPr>
              <w:t xml:space="preserve">  </w:t>
            </w:r>
            <w:r>
              <w:rPr>
                <w:rFonts w:hint="eastAsia" w:ascii="Times New Roman" w:hAnsi="Times New Roman"/>
                <w:b/>
                <w:color w:val="auto"/>
                <w:sz w:val="24"/>
                <w:lang w:val="en-US" w:eastAsia="zh-CN"/>
              </w:rPr>
              <w:t>电视机支架（电泳涂装）</w:t>
            </w:r>
            <w:r>
              <w:rPr>
                <w:rFonts w:hint="eastAsia" w:ascii="Times New Roman" w:hAnsi="Times New Roman"/>
                <w:b/>
                <w:color w:val="auto"/>
                <w:sz w:val="24"/>
              </w:rPr>
              <w:t>生产</w:t>
            </w:r>
            <w:r>
              <w:rPr>
                <w:rFonts w:ascii="Times New Roman" w:hAnsi="Times New Roman"/>
                <w:b/>
                <w:color w:val="auto"/>
                <w:sz w:val="24"/>
              </w:rPr>
              <w:t>工艺流程图</w:t>
            </w:r>
          </w:p>
          <w:p w14:paraId="0398F100">
            <w:pPr>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工艺</w:t>
            </w:r>
            <w:r>
              <w:rPr>
                <w:rFonts w:hint="eastAsia" w:ascii="Times New Roman" w:hAnsi="Times New Roman" w:eastAsia="宋体" w:cs="Times New Roman"/>
                <w:b/>
                <w:bCs/>
                <w:color w:val="auto"/>
                <w:sz w:val="24"/>
                <w:szCs w:val="24"/>
                <w:lang w:val="en-US" w:eastAsia="zh-CN"/>
              </w:rPr>
              <w:t>流程简述</w:t>
            </w:r>
            <w:r>
              <w:rPr>
                <w:rFonts w:hint="eastAsia" w:ascii="Times New Roman" w:hAnsi="Times New Roman" w:eastAsia="宋体" w:cs="Times New Roman"/>
                <w:b/>
                <w:bCs/>
                <w:color w:val="auto"/>
                <w:sz w:val="24"/>
                <w:szCs w:val="24"/>
              </w:rPr>
              <w:t>：</w:t>
            </w:r>
          </w:p>
          <w:p w14:paraId="2700AF2B">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脱脂：</w:t>
            </w:r>
            <w:r>
              <w:rPr>
                <w:rFonts w:hint="eastAsia" w:ascii="Times New Roman" w:hAnsi="Times New Roman" w:eastAsia="宋体" w:cs="Times New Roman"/>
                <w:color w:val="auto"/>
                <w:sz w:val="24"/>
                <w:szCs w:val="24"/>
              </w:rPr>
              <w:t>脱脂工序分为预脱脂和主脱脂两部分，浸泡式。预脱脂、主脱脂使用的脱脂剂完全相同，预脱脂是将支架配件表面上的大部分油污、灰尘等清理干净，以降低主脱脂槽液脱脂压力。预脱脂槽、主脱脂槽储液体积均为1.6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。脱脂时间均为2min。预脱脂液每半年倒槽1次，主脱脂槽液每年倒槽1次，倒槽前槽液静止沉淀3天，上清液回用，下层浊液作为危废处理。该工序产生脱脂废液L1。</w:t>
            </w:r>
          </w:p>
          <w:p w14:paraId="526A7215">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水洗：</w:t>
            </w:r>
            <w:r>
              <w:rPr>
                <w:rFonts w:hint="eastAsia" w:ascii="Times New Roman" w:hAnsi="Times New Roman" w:eastAsia="宋体" w:cs="Times New Roman"/>
                <w:color w:val="auto"/>
                <w:sz w:val="24"/>
                <w:szCs w:val="24"/>
              </w:rPr>
              <w:t>脱脂后的工件在水洗槽中用自来水进行喷淋清洗，以去除表面残留的脱脂液。分两级水洗喷淋清洗，水洗槽有效容积均为2m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常温水洗，清洗时间均为2min。一级水洗槽溢流水进入厂区污水站，二级水洗槽溢流水进入一级水洗槽，作为第一级水洗槽的补水，二级水洗槽加入自来水补水；水洗槽中的水循环使用，每月更换一次。该工序产生水洗废水W1。</w:t>
            </w:r>
          </w:p>
          <w:p w14:paraId="33096F23">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酸洗：</w:t>
            </w:r>
            <w:r>
              <w:rPr>
                <w:rFonts w:hint="eastAsia" w:ascii="Times New Roman" w:hAnsi="Times New Roman" w:eastAsia="宋体" w:cs="Times New Roman"/>
                <w:color w:val="auto"/>
                <w:sz w:val="24"/>
                <w:szCs w:val="24"/>
              </w:rPr>
              <w:t>外购硫酸、盐酸、水按比例加入酸洗槽中，工件在酸洗槽中酸洗除锈。酸洗时间15min。酸洗槽有效容积为1m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，酸洗液定期补充，每年倒槽一次。该工序产生酸洗废液L2，酸雾G</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rPr>
              <w:t>。</w:t>
            </w:r>
          </w:p>
          <w:p w14:paraId="0785F07C">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水洗：</w:t>
            </w:r>
            <w:r>
              <w:rPr>
                <w:rFonts w:hint="eastAsia" w:ascii="Times New Roman" w:hAnsi="Times New Roman" w:eastAsia="宋体" w:cs="Times New Roman"/>
                <w:color w:val="auto"/>
                <w:sz w:val="24"/>
                <w:szCs w:val="24"/>
              </w:rPr>
              <w:t>酸洗后的工件经自来水喷淋水洗以去除表面残留的酸液，水洗1次，常温喷淋清洗，喷淋水洗槽有效容积为1m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，水洗槽溢流水产生量约0.2t/d，溢流水采用自来水补充，水洗槽中的水每月更换一次，该工序产生水洗废水W1。</w:t>
            </w:r>
          </w:p>
          <w:p w14:paraId="5062A322">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硅烷处理：</w:t>
            </w:r>
            <w:r>
              <w:rPr>
                <w:rFonts w:hint="eastAsia" w:ascii="Times New Roman" w:hAnsi="Times New Roman" w:eastAsia="宋体" w:cs="Times New Roman"/>
                <w:color w:val="auto"/>
                <w:sz w:val="24"/>
                <w:szCs w:val="24"/>
              </w:rPr>
              <w:t>硅烷化处理在硅烷槽中进行，在硅烷槽内加入一定量的硅烷处理剂，再加一定量的自来水</w:t>
            </w:r>
            <w:r>
              <w:rPr>
                <w:rFonts w:hint="eastAsia" w:cs="Times New Roman"/>
                <w:color w:val="auto"/>
                <w:sz w:val="24"/>
                <w:szCs w:val="24"/>
                <w:lang w:eastAsia="zh-CN"/>
              </w:rPr>
              <w:t>配制一定浓度</w:t>
            </w:r>
            <w:r>
              <w:rPr>
                <w:rFonts w:hint="eastAsia" w:ascii="Times New Roman" w:hAnsi="Times New Roman" w:eastAsia="宋体" w:cs="Times New Roman"/>
                <w:color w:val="auto"/>
                <w:sz w:val="24"/>
                <w:szCs w:val="24"/>
              </w:rPr>
              <w:t>的硅烷处理液（浓度约5-6%）。硅烷槽有效容积为1m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。定期补充硅烷处理剂，硅烷槽液每年倒槽一次。该工序产生硅烷处理废液L3。</w:t>
            </w:r>
          </w:p>
          <w:p w14:paraId="1D0C40B1">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纯水洗：</w:t>
            </w:r>
            <w:r>
              <w:rPr>
                <w:rFonts w:hint="eastAsia" w:ascii="Times New Roman" w:hAnsi="Times New Roman" w:eastAsia="宋体" w:cs="Times New Roman"/>
                <w:color w:val="auto"/>
                <w:sz w:val="24"/>
                <w:szCs w:val="24"/>
              </w:rPr>
              <w:t>喷淋清洗，纯水水洗槽溢流水量约0.2t/d，经污水管排入厂内污水站处理，水洗槽中的水每月更换一次；纯水槽有效容积为1m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，纯水水洗槽溢流水量约0.2t/d，纯水水洗槽溢流出水作为水洗槽的补水。纯水槽中纯水每月更换一次。该工序产生清洗废水W1。</w:t>
            </w:r>
          </w:p>
          <w:p w14:paraId="1F1751A9">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电泳：</w:t>
            </w:r>
            <w:r>
              <w:rPr>
                <w:rFonts w:hint="eastAsia" w:ascii="Times New Roman" w:hAnsi="Times New Roman" w:eastAsia="宋体" w:cs="Times New Roman"/>
                <w:color w:val="auto"/>
                <w:sz w:val="24"/>
                <w:szCs w:val="24"/>
              </w:rPr>
              <w:t>电泳是在外加电场的作用下，以金属工件作为阴极，与电泳槽两侧及底部的阳极间形成电场，驱动带使电泳槽中的涂料微粒定向迁移，并在金属工件表面沉积，形成一层高防腐蚀性能的涂膜。电泳漆与纯水按1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4的比例加入电泳槽，电泳时间4min，电泳槽液无需更换，定期补充电泳漆和蒸发损失水分。每年定期清除槽内沉渣，产生电泳槽渣S</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w:t>
            </w:r>
          </w:p>
          <w:p w14:paraId="7AB6ECA6">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UF水洗：</w:t>
            </w:r>
            <w:r>
              <w:rPr>
                <w:rFonts w:hint="eastAsia" w:ascii="Times New Roman" w:hAnsi="Times New Roman" w:eastAsia="宋体" w:cs="Times New Roman"/>
                <w:color w:val="auto"/>
                <w:sz w:val="24"/>
                <w:szCs w:val="24"/>
              </w:rPr>
              <w:t>即超滤水洗。电泳后的工件表面带有较多的电泳漆，设置超滤系统回收电泳漆。使用纯水清洗工件，去除表面残留的电泳漆，经超滤装置，电泳漆浓液回用到电泳槽内，过滤后的超滤清液回用于UF水洗环节，该工序无废水产生。</w:t>
            </w:r>
          </w:p>
          <w:p w14:paraId="4D45CBB7">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纯水洗：</w:t>
            </w:r>
            <w:r>
              <w:rPr>
                <w:rFonts w:hint="eastAsia" w:ascii="Times New Roman" w:hAnsi="Times New Roman" w:eastAsia="宋体" w:cs="Times New Roman"/>
                <w:color w:val="auto"/>
                <w:sz w:val="24"/>
                <w:szCs w:val="24"/>
              </w:rPr>
              <w:t>纯水喷淋清洗，常温，水洗槽储液体积为1.8m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，水洗时间为2min。水洗槽中的水循环使用，每月更换一次。该工序产生水洗废水W1。</w:t>
            </w:r>
          </w:p>
          <w:p w14:paraId="123B1CFD">
            <w:pPr>
              <w:spacing w:line="360" w:lineRule="auto"/>
              <w:ind w:firstLine="482"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烘干：</w:t>
            </w:r>
            <w:r>
              <w:rPr>
                <w:rFonts w:hint="eastAsia" w:ascii="Times New Roman" w:hAnsi="Times New Roman" w:eastAsia="宋体" w:cs="Times New Roman"/>
                <w:color w:val="auto"/>
                <w:sz w:val="24"/>
                <w:szCs w:val="24"/>
              </w:rPr>
              <w:t>烘干在烘道中进行，清洗后的工件经沥水后进入烘干线，采用液化气为燃料，在烘道内燃烧，使炉内空气加热，加热温度约</w:t>
            </w:r>
            <w:r>
              <w:rPr>
                <w:rFonts w:hint="default" w:ascii="Times New Roman" w:hAnsi="Times New Roman" w:eastAsia="宋体" w:cs="Times New Roman"/>
                <w:color w:val="auto"/>
                <w:sz w:val="24"/>
                <w:szCs w:val="24"/>
              </w:rPr>
              <w:t>180℃-200℃</w:t>
            </w:r>
            <w:r>
              <w:rPr>
                <w:rFonts w:hint="eastAsia" w:ascii="Times New Roman" w:hAnsi="Times New Roman" w:eastAsia="宋体" w:cs="Times New Roman"/>
                <w:color w:val="auto"/>
                <w:sz w:val="24"/>
                <w:szCs w:val="24"/>
              </w:rPr>
              <w:t>，加热后的空气通过循环风机在烘道内循环，烘干时间约30min，漆层固化成膜并牢固附着于工件表面。该工程产生烘干有机废气G</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rPr>
              <w:t>，燃烧废气G</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rPr>
              <w:t>。</w:t>
            </w:r>
          </w:p>
          <w:p w14:paraId="1C22DF00">
            <w:pPr>
              <w:spacing w:line="360" w:lineRule="auto"/>
              <w:ind w:firstLine="482"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自然冷却：</w:t>
            </w:r>
            <w:r>
              <w:rPr>
                <w:rFonts w:hint="eastAsia" w:ascii="Times New Roman" w:hAnsi="Times New Roman" w:eastAsia="宋体" w:cs="Times New Roman"/>
                <w:color w:val="auto"/>
                <w:sz w:val="24"/>
                <w:szCs w:val="24"/>
              </w:rPr>
              <w:t>烘干好的工件出炉自然冷却，冷却至常温后工件下挂，即为成品</w:t>
            </w:r>
            <w:r>
              <w:rPr>
                <w:rFonts w:hint="eastAsia" w:ascii="Times New Roman" w:hAnsi="Times New Roman" w:eastAsia="宋体" w:cs="Times New Roman"/>
                <w:color w:val="auto"/>
                <w:sz w:val="24"/>
                <w:szCs w:val="24"/>
                <w:lang w:eastAsia="zh-CN"/>
              </w:rPr>
              <w:t>。</w:t>
            </w:r>
          </w:p>
          <w:p w14:paraId="3C48402F">
            <w:pPr>
              <w:spacing w:line="360" w:lineRule="auto"/>
              <w:ind w:firstLine="482" w:firstLineChars="200"/>
              <w:rPr>
                <w:rFonts w:hint="eastAsia" w:ascii="Times New Roman" w:hAnsi="Times New Roman" w:eastAsia="宋体" w:cs="Times New Roman"/>
                <w:b/>
                <w:bCs/>
                <w:color w:val="auto"/>
                <w:sz w:val="24"/>
                <w:szCs w:val="24"/>
                <w:lang w:eastAsia="zh-CN"/>
              </w:rPr>
            </w:pPr>
            <w:r>
              <w:rPr>
                <w:rFonts w:hint="eastAsia" w:cs="Times New Roman"/>
                <w:b/>
                <w:bCs/>
                <w:color w:val="auto"/>
                <w:sz w:val="24"/>
                <w:szCs w:val="24"/>
                <w:lang w:val="en-US" w:eastAsia="zh-CN"/>
              </w:rPr>
              <w:t>现有</w:t>
            </w:r>
            <w:r>
              <w:rPr>
                <w:rFonts w:hint="eastAsia" w:ascii="Times New Roman" w:hAnsi="Times New Roman" w:eastAsia="宋体" w:cs="Times New Roman"/>
                <w:b/>
                <w:bCs/>
                <w:color w:val="auto"/>
                <w:sz w:val="24"/>
                <w:szCs w:val="24"/>
                <w:lang w:eastAsia="zh-CN"/>
              </w:rPr>
              <w:t>项目纯水由自来水采用纯化水制水设备制备，制备工艺为：</w:t>
            </w:r>
          </w:p>
          <w:p w14:paraId="42CA2340">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自来水→纯化水制水设备（石英砂过滤→活性炭滤芯→精密滤芯→RO反渗透膜→水箱储存）→纯化水。</w:t>
            </w:r>
          </w:p>
          <w:p w14:paraId="193ED5E0">
            <w:pPr>
              <w:spacing w:line="360" w:lineRule="auto"/>
              <w:ind w:firstLine="482"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工艺说明：</w:t>
            </w:r>
            <w:r>
              <w:rPr>
                <w:rFonts w:hint="eastAsia" w:ascii="Times New Roman" w:hAnsi="Times New Roman" w:eastAsia="宋体" w:cs="Times New Roman"/>
                <w:color w:val="auto"/>
                <w:sz w:val="24"/>
                <w:szCs w:val="24"/>
                <w:lang w:eastAsia="zh-CN"/>
              </w:rPr>
              <w:t>自来水进入石英砂过滤器用来去除自来水中大分子物质，然后进入活性炭过滤器，可以吸附自来水中的余氯，去除自来水异味，还可吸附颜色物质，还原自来水的透彻；接着进入精密过滤器过滤，用于过滤自来水中的细菌、病毒等小分子物质；最后进入RO膜系统，在半透膜的作用下，进一步去除水中的无机盐、有机物、胶体等物质，从而制备纯化水</w:t>
            </w:r>
          </w:p>
          <w:p w14:paraId="003E4731">
            <w:pPr>
              <w:keepNext w:val="0"/>
              <w:keepLines w:val="0"/>
              <w:suppressLineNumbers w:val="0"/>
              <w:autoSpaceDE w:val="0"/>
              <w:autoSpaceDN w:val="0"/>
              <w:adjustRightInd w:val="0"/>
              <w:spacing w:before="0" w:beforeAutospacing="0" w:after="0" w:afterAutospacing="0" w:line="360" w:lineRule="auto"/>
              <w:ind w:left="0" w:right="0" w:firstLine="0" w:firstLineChars="0"/>
              <w:rPr>
                <w:rFonts w:hint="eastAsia"/>
                <w:b/>
                <w:color w:val="auto"/>
                <w:sz w:val="24"/>
                <w:szCs w:val="24"/>
                <w:lang w:val="en-US" w:eastAsia="zh-CN"/>
              </w:rPr>
            </w:pPr>
            <w:r>
              <w:rPr>
                <w:rFonts w:hint="eastAsia"/>
                <w:b/>
                <w:color w:val="auto"/>
                <w:sz w:val="24"/>
                <w:szCs w:val="24"/>
                <w:lang w:val="en-US" w:eastAsia="zh-CN"/>
              </w:rPr>
              <w:t>4、现有项目污染物排放、治理措施及达标情况简述</w:t>
            </w:r>
          </w:p>
          <w:p w14:paraId="4B46CB0E">
            <w:pPr>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szCs w:val="24"/>
                <w:lang w:val="en-US" w:eastAsia="zh-CN"/>
              </w:rPr>
              <w:t>废水</w:t>
            </w:r>
          </w:p>
          <w:p w14:paraId="56934E3F">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现有项目运行后产生生活污水和生产废水。生活污水来源于员工日常生活办公。生产废水为纯水制备浓水及工业清洗水，工业清洗废水由厂内水处理设施处理后循环使用，不外排；生活污水和纯水制备浓水经市政污水管网排入苏州高铁新城污水处理厂处理。</w:t>
            </w:r>
          </w:p>
          <w:p w14:paraId="72ECF23E">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现有项目废水站设计处理能力为15t/d，处理工艺流程见下图。</w:t>
            </w:r>
          </w:p>
          <w:p w14:paraId="2C975328">
            <w:pPr>
              <w:keepNext w:val="0"/>
              <w:keepLines w:val="0"/>
              <w:suppressLineNumbers w:val="0"/>
              <w:spacing w:before="0" w:beforeAutospacing="0" w:after="0" w:afterAutospacing="0" w:line="360" w:lineRule="auto"/>
              <w:ind w:right="0"/>
              <w:jc w:val="center"/>
              <w:rPr>
                <w:rFonts w:hint="default"/>
                <w:color w:val="auto"/>
                <w:sz w:val="24"/>
                <w:szCs w:val="24"/>
                <w:lang w:val="en-US" w:eastAsia="zh-CN"/>
              </w:rPr>
            </w:pPr>
            <w:r>
              <w:rPr>
                <w:rFonts w:hint="default"/>
                <w:color w:val="auto"/>
                <w:sz w:val="24"/>
                <w:szCs w:val="24"/>
                <w:lang w:val="en-US" w:eastAsia="zh-CN"/>
              </w:rPr>
              <w:object>
                <v:shape id="_x0000_i1032" o:spt="75" type="#_x0000_t75" style="height:539.2pt;width:460.8pt;" o:ole="t" filled="f" o:preferrelative="t" stroked="f" coordsize="21600,21600">
                  <v:path/>
                  <v:fill on="f" focussize="0,0"/>
                  <v:stroke on="f"/>
                  <v:imagedata r:id="rId24" o:title=""/>
                  <o:lock v:ext="edit" aspectratio="f"/>
                  <w10:wrap type="none"/>
                  <w10:anchorlock/>
                </v:shape>
                <o:OLEObject Type="Embed" ProgID="Visio.Drawing.15" ShapeID="_x0000_i1032" DrawAspect="Content" ObjectID="_1468075732" r:id="rId23">
                  <o:LockedField>false</o:LockedField>
                </o:OLEObject>
              </w:object>
            </w:r>
          </w:p>
          <w:p w14:paraId="43F54AD1">
            <w:pPr>
              <w:keepNext w:val="0"/>
              <w:keepLines w:val="0"/>
              <w:suppressLineNumbers w:val="0"/>
              <w:spacing w:before="0" w:beforeAutospacing="0" w:after="0" w:afterAutospacing="0" w:line="360" w:lineRule="auto"/>
              <w:ind w:right="0"/>
              <w:jc w:val="center"/>
              <w:rPr>
                <w:rFonts w:hint="default"/>
                <w:color w:val="auto"/>
                <w:sz w:val="24"/>
                <w:szCs w:val="24"/>
                <w:lang w:val="en-US" w:eastAsia="zh-CN"/>
              </w:rPr>
            </w:pPr>
            <w:r>
              <w:rPr>
                <w:rFonts w:ascii="Times New Roman" w:hAnsi="Times New Roman"/>
                <w:b/>
                <w:color w:val="auto"/>
                <w:sz w:val="24"/>
              </w:rPr>
              <w:t>图</w:t>
            </w:r>
            <w:r>
              <w:rPr>
                <w:rFonts w:hint="eastAsia" w:ascii="Times New Roman" w:hAnsi="Times New Roman"/>
                <w:b/>
                <w:color w:val="auto"/>
                <w:sz w:val="24"/>
              </w:rPr>
              <w:t>2</w:t>
            </w:r>
            <w:r>
              <w:rPr>
                <w:rFonts w:ascii="Times New Roman" w:hAnsi="Times New Roman"/>
                <w:b/>
                <w:color w:val="auto"/>
                <w:sz w:val="24"/>
              </w:rPr>
              <w:t>-</w:t>
            </w:r>
            <w:r>
              <w:rPr>
                <w:rFonts w:hint="eastAsia"/>
                <w:b/>
                <w:color w:val="auto"/>
                <w:sz w:val="24"/>
                <w:lang w:val="en-US" w:eastAsia="zh-CN"/>
              </w:rPr>
              <w:t>9</w:t>
            </w:r>
            <w:r>
              <w:rPr>
                <w:rFonts w:ascii="Times New Roman" w:hAnsi="Times New Roman"/>
                <w:b/>
                <w:color w:val="auto"/>
                <w:sz w:val="24"/>
              </w:rPr>
              <w:t xml:space="preserve">  </w:t>
            </w:r>
            <w:r>
              <w:rPr>
                <w:rFonts w:hint="eastAsia"/>
                <w:b/>
                <w:color w:val="auto"/>
                <w:sz w:val="24"/>
                <w:lang w:val="en-US" w:eastAsia="zh-CN"/>
              </w:rPr>
              <w:t>现有项目废水站处理工艺流程图</w:t>
            </w:r>
          </w:p>
          <w:p w14:paraId="70A4908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废水产生及治理排放情况</w:t>
            </w:r>
          </w:p>
          <w:tbl>
            <w:tblPr>
              <w:tblStyle w:val="21"/>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334"/>
              <w:gridCol w:w="1804"/>
              <w:gridCol w:w="2439"/>
              <w:gridCol w:w="1197"/>
            </w:tblGrid>
            <w:tr w14:paraId="15E6238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Align w:val="center"/>
                </w:tcPr>
                <w:p w14:paraId="3FB65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产物类别</w:t>
                  </w:r>
                </w:p>
              </w:tc>
              <w:tc>
                <w:tcPr>
                  <w:tcW w:w="1260" w:type="pct"/>
                  <w:vAlign w:val="center"/>
                </w:tcPr>
                <w:p w14:paraId="21D4A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污染因子</w:t>
                  </w:r>
                </w:p>
              </w:tc>
              <w:tc>
                <w:tcPr>
                  <w:tcW w:w="974" w:type="pct"/>
                  <w:vAlign w:val="center"/>
                </w:tcPr>
                <w:p w14:paraId="177C9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产生量（t/a）</w:t>
                  </w:r>
                </w:p>
              </w:tc>
              <w:tc>
                <w:tcPr>
                  <w:tcW w:w="1317" w:type="pct"/>
                  <w:vAlign w:val="center"/>
                </w:tcPr>
                <w:p w14:paraId="00BFF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治理措施</w:t>
                  </w:r>
                </w:p>
              </w:tc>
              <w:tc>
                <w:tcPr>
                  <w:tcW w:w="646" w:type="pct"/>
                  <w:vAlign w:val="center"/>
                </w:tcPr>
                <w:p w14:paraId="164F9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排放去向</w:t>
                  </w:r>
                </w:p>
              </w:tc>
            </w:tr>
            <w:tr w14:paraId="7C5F1D4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restart"/>
                  <w:vAlign w:val="center"/>
                </w:tcPr>
                <w:p w14:paraId="02E6F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生活污水</w:t>
                  </w:r>
                </w:p>
              </w:tc>
              <w:tc>
                <w:tcPr>
                  <w:tcW w:w="1260" w:type="pct"/>
                  <w:vAlign w:val="center"/>
                </w:tcPr>
                <w:p w14:paraId="361C3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化学需氧量</w:t>
                  </w:r>
                </w:p>
              </w:tc>
              <w:tc>
                <w:tcPr>
                  <w:tcW w:w="974" w:type="pct"/>
                  <w:vMerge w:val="restart"/>
                  <w:vAlign w:val="center"/>
                </w:tcPr>
                <w:p w14:paraId="7A190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1080</w:t>
                  </w:r>
                </w:p>
              </w:tc>
              <w:tc>
                <w:tcPr>
                  <w:tcW w:w="1317" w:type="pct"/>
                  <w:vAlign w:val="center"/>
                </w:tcPr>
                <w:p w14:paraId="5E1A2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restart"/>
                  <w:vAlign w:val="center"/>
                </w:tcPr>
                <w:p w14:paraId="72D66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苏州高铁新城污水处理厂</w:t>
                  </w:r>
                </w:p>
              </w:tc>
            </w:tr>
            <w:tr w14:paraId="1E214FF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3E0D3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24EA1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悬浮物</w:t>
                  </w:r>
                </w:p>
              </w:tc>
              <w:tc>
                <w:tcPr>
                  <w:tcW w:w="974" w:type="pct"/>
                  <w:vMerge w:val="continue"/>
                  <w:vAlign w:val="center"/>
                </w:tcPr>
                <w:p w14:paraId="293E2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3AF41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75B97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22B6C75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1F9CD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327C9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氨氮</w:t>
                  </w:r>
                </w:p>
              </w:tc>
              <w:tc>
                <w:tcPr>
                  <w:tcW w:w="974" w:type="pct"/>
                  <w:vMerge w:val="continue"/>
                  <w:vAlign w:val="center"/>
                </w:tcPr>
                <w:p w14:paraId="119CB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0D879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28F83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6FAEAF0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2CDAB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0C614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总磷</w:t>
                  </w:r>
                </w:p>
              </w:tc>
              <w:tc>
                <w:tcPr>
                  <w:tcW w:w="974" w:type="pct"/>
                  <w:vMerge w:val="continue"/>
                  <w:vAlign w:val="center"/>
                </w:tcPr>
                <w:p w14:paraId="2A201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73964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040A6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393FA03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3510B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09B6F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总氮</w:t>
                  </w:r>
                </w:p>
              </w:tc>
              <w:tc>
                <w:tcPr>
                  <w:tcW w:w="974" w:type="pct"/>
                  <w:vMerge w:val="continue"/>
                  <w:vAlign w:val="center"/>
                </w:tcPr>
                <w:p w14:paraId="3F336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588B4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17461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28D819A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04D470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19908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pH</w:t>
                  </w:r>
                </w:p>
              </w:tc>
              <w:tc>
                <w:tcPr>
                  <w:tcW w:w="974" w:type="pct"/>
                  <w:vMerge w:val="continue"/>
                  <w:vAlign w:val="center"/>
                </w:tcPr>
                <w:p w14:paraId="195E3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40B01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1F334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079E59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restart"/>
                  <w:vAlign w:val="center"/>
                </w:tcPr>
                <w:p w14:paraId="50543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制纯浓水</w:t>
                  </w:r>
                </w:p>
              </w:tc>
              <w:tc>
                <w:tcPr>
                  <w:tcW w:w="1260" w:type="pct"/>
                  <w:vAlign w:val="center"/>
                </w:tcPr>
                <w:p w14:paraId="1CFE8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化学需氧量</w:t>
                  </w:r>
                </w:p>
              </w:tc>
              <w:tc>
                <w:tcPr>
                  <w:tcW w:w="974" w:type="pct"/>
                  <w:vMerge w:val="restart"/>
                  <w:vAlign w:val="center"/>
                </w:tcPr>
                <w:p w14:paraId="706CD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1000</w:t>
                  </w:r>
                </w:p>
              </w:tc>
              <w:tc>
                <w:tcPr>
                  <w:tcW w:w="1317" w:type="pct"/>
                  <w:vAlign w:val="center"/>
                </w:tcPr>
                <w:p w14:paraId="40F80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0F7F0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4369CD1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3DD42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6AE8F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悬浮物</w:t>
                  </w:r>
                </w:p>
              </w:tc>
              <w:tc>
                <w:tcPr>
                  <w:tcW w:w="974" w:type="pct"/>
                  <w:vMerge w:val="continue"/>
                  <w:vAlign w:val="center"/>
                </w:tcPr>
                <w:p w14:paraId="752A8D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Align w:val="center"/>
                </w:tcPr>
                <w:p w14:paraId="5A544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w:t>
                  </w:r>
                </w:p>
              </w:tc>
              <w:tc>
                <w:tcPr>
                  <w:tcW w:w="646" w:type="pct"/>
                  <w:vMerge w:val="continue"/>
                  <w:vAlign w:val="center"/>
                </w:tcPr>
                <w:p w14:paraId="678E5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553A6F2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restart"/>
                  <w:vAlign w:val="center"/>
                </w:tcPr>
                <w:p w14:paraId="4DB49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工业废水</w:t>
                  </w:r>
                </w:p>
              </w:tc>
              <w:tc>
                <w:tcPr>
                  <w:tcW w:w="1260" w:type="pct"/>
                  <w:vAlign w:val="center"/>
                </w:tcPr>
                <w:p w14:paraId="0CA73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化学需氧量</w:t>
                  </w:r>
                </w:p>
              </w:tc>
              <w:tc>
                <w:tcPr>
                  <w:tcW w:w="974" w:type="pct"/>
                  <w:vMerge w:val="restart"/>
                  <w:vAlign w:val="center"/>
                </w:tcPr>
                <w:p w14:paraId="63EBC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3960</w:t>
                  </w:r>
                </w:p>
              </w:tc>
              <w:tc>
                <w:tcPr>
                  <w:tcW w:w="1317" w:type="pct"/>
                  <w:vMerge w:val="restart"/>
                  <w:vAlign w:val="center"/>
                </w:tcPr>
                <w:p w14:paraId="6B365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厂内污水处理站</w:t>
                  </w:r>
                </w:p>
              </w:tc>
              <w:tc>
                <w:tcPr>
                  <w:tcW w:w="646" w:type="pct"/>
                  <w:vMerge w:val="restart"/>
                  <w:vAlign w:val="center"/>
                </w:tcPr>
                <w:p w14:paraId="54372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回用</w:t>
                  </w:r>
                </w:p>
              </w:tc>
            </w:tr>
            <w:tr w14:paraId="7A0A212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64DA3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5D4B3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悬浮物</w:t>
                  </w:r>
                </w:p>
              </w:tc>
              <w:tc>
                <w:tcPr>
                  <w:tcW w:w="974" w:type="pct"/>
                  <w:vMerge w:val="continue"/>
                  <w:vAlign w:val="center"/>
                </w:tcPr>
                <w:p w14:paraId="28F417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Merge w:val="continue"/>
                  <w:vAlign w:val="center"/>
                </w:tcPr>
                <w:p w14:paraId="0A590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646" w:type="pct"/>
                  <w:vMerge w:val="continue"/>
                  <w:vAlign w:val="center"/>
                </w:tcPr>
                <w:p w14:paraId="637B9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2447CF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0" w:type="pct"/>
                  <w:vMerge w:val="continue"/>
                  <w:vAlign w:val="center"/>
                </w:tcPr>
                <w:p w14:paraId="3E838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shd w:val="clear" w:color="auto" w:fill="auto"/>
                  <w:vAlign w:val="center"/>
                </w:tcPr>
                <w:p w14:paraId="295D5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仿宋" w:cs="Times New Roman"/>
                      <w:color w:val="auto"/>
                      <w:sz w:val="21"/>
                      <w:szCs w:val="21"/>
                      <w:vertAlign w:val="baseline"/>
                      <w:lang w:val="en-US" w:eastAsia="zh-CN"/>
                    </w:rPr>
                    <w:t>pH</w:t>
                  </w:r>
                </w:p>
              </w:tc>
              <w:tc>
                <w:tcPr>
                  <w:tcW w:w="974" w:type="pct"/>
                  <w:vMerge w:val="continue"/>
                  <w:vAlign w:val="center"/>
                </w:tcPr>
                <w:p w14:paraId="6588D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Merge w:val="continue"/>
                  <w:vAlign w:val="center"/>
                </w:tcPr>
                <w:p w14:paraId="3E178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646" w:type="pct"/>
                  <w:vMerge w:val="continue"/>
                  <w:vAlign w:val="center"/>
                </w:tcPr>
                <w:p w14:paraId="736B4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173ECCC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5CAAF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shd w:val="clear" w:color="auto" w:fill="auto"/>
                  <w:vAlign w:val="center"/>
                </w:tcPr>
                <w:p w14:paraId="3CF1A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仿宋" w:cs="Times New Roman"/>
                      <w:color w:val="auto"/>
                      <w:sz w:val="21"/>
                      <w:szCs w:val="21"/>
                      <w:vertAlign w:val="baseline"/>
                      <w:lang w:val="en-US" w:eastAsia="zh-CN"/>
                    </w:rPr>
                    <w:t>石油类</w:t>
                  </w:r>
                </w:p>
              </w:tc>
              <w:tc>
                <w:tcPr>
                  <w:tcW w:w="974" w:type="pct"/>
                  <w:vMerge w:val="continue"/>
                  <w:vAlign w:val="center"/>
                </w:tcPr>
                <w:p w14:paraId="2B167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Merge w:val="continue"/>
                  <w:vAlign w:val="center"/>
                </w:tcPr>
                <w:p w14:paraId="45308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646" w:type="pct"/>
                  <w:vMerge w:val="continue"/>
                  <w:vAlign w:val="center"/>
                </w:tcPr>
                <w:p w14:paraId="3AA7F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19506BA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0" w:type="pct"/>
                  <w:vMerge w:val="continue"/>
                  <w:vAlign w:val="center"/>
                </w:tcPr>
                <w:p w14:paraId="6BFF4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260" w:type="pct"/>
                  <w:vAlign w:val="center"/>
                </w:tcPr>
                <w:p w14:paraId="5E48D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LAS</w:t>
                  </w:r>
                </w:p>
              </w:tc>
              <w:tc>
                <w:tcPr>
                  <w:tcW w:w="974" w:type="pct"/>
                  <w:vMerge w:val="continue"/>
                  <w:vAlign w:val="center"/>
                </w:tcPr>
                <w:p w14:paraId="0F673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17" w:type="pct"/>
                  <w:vMerge w:val="continue"/>
                  <w:vAlign w:val="center"/>
                </w:tcPr>
                <w:p w14:paraId="18D42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646" w:type="pct"/>
                  <w:vMerge w:val="continue"/>
                  <w:vAlign w:val="center"/>
                </w:tcPr>
                <w:p w14:paraId="58B01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bl>
          <w:p w14:paraId="48F8CE0A">
            <w:pPr>
              <w:spacing w:before="0" w:after="0" w:line="360" w:lineRule="auto"/>
              <w:ind w:right="0"/>
              <w:jc w:val="center"/>
              <w:rPr>
                <w:rFonts w:hint="eastAsia"/>
                <w:color w:val="auto"/>
                <w:sz w:val="24"/>
                <w:szCs w:val="24"/>
                <w:lang w:val="en-US" w:eastAsia="zh-CN"/>
              </w:rPr>
            </w:pPr>
            <w:r>
              <w:rPr>
                <w:rFonts w:hint="eastAsia"/>
                <w:color w:val="auto"/>
                <w:sz w:val="24"/>
                <w:szCs w:val="24"/>
                <w:lang w:val="en-US" w:eastAsia="zh-CN"/>
              </w:rPr>
              <w:object>
                <v:shape id="_x0000_i1033" o:spt="75" type="#_x0000_t75" style="height:398.45pt;width:420.3pt;" o:ole="t" filled="f" o:preferrelative="t" stroked="f" coordsize="21600,21600">
                  <v:path/>
                  <v:fill on="f" focussize="0,0"/>
                  <v:stroke on="f"/>
                  <v:imagedata r:id="rId26" o:title=""/>
                  <o:lock v:ext="edit" aspectratio="f"/>
                  <w10:wrap type="none"/>
                  <w10:anchorlock/>
                </v:shape>
                <o:OLEObject Type="Embed" ProgID="Visio.Drawing.15" ShapeID="_x0000_i1033" DrawAspect="Content" ObjectID="_1468075733" r:id="rId25">
                  <o:LockedField>false</o:LockedField>
                </o:OLEObject>
              </w:object>
            </w:r>
          </w:p>
          <w:p w14:paraId="1CCC53C0">
            <w:pPr>
              <w:spacing w:before="0" w:after="0" w:line="360" w:lineRule="auto"/>
              <w:ind w:right="0"/>
              <w:jc w:val="center"/>
              <w:rPr>
                <w:rFonts w:hint="eastAsia" w:ascii="Times New Roman" w:hAnsi="Times New Roman" w:eastAsia="宋体"/>
                <w:color w:val="auto"/>
                <w:sz w:val="24"/>
                <w:szCs w:val="24"/>
                <w:lang w:eastAsia="zh-CN"/>
              </w:rPr>
            </w:pPr>
            <w:r>
              <w:rPr>
                <w:rFonts w:ascii="Times New Roman" w:hAnsi="Times New Roman"/>
                <w:b/>
                <w:color w:val="auto"/>
                <w:sz w:val="24"/>
              </w:rPr>
              <w:t>图</w:t>
            </w:r>
            <w:r>
              <w:rPr>
                <w:rFonts w:hint="eastAsia" w:ascii="Times New Roman" w:hAnsi="Times New Roman"/>
                <w:b/>
                <w:color w:val="auto"/>
                <w:sz w:val="24"/>
              </w:rPr>
              <w:t>2</w:t>
            </w:r>
            <w:r>
              <w:rPr>
                <w:rFonts w:ascii="Times New Roman" w:hAnsi="Times New Roman"/>
                <w:b/>
                <w:color w:val="auto"/>
                <w:sz w:val="24"/>
              </w:rPr>
              <w:t>-</w:t>
            </w:r>
            <w:r>
              <w:rPr>
                <w:rFonts w:hint="eastAsia"/>
                <w:b/>
                <w:color w:val="auto"/>
                <w:sz w:val="24"/>
                <w:lang w:val="en-US" w:eastAsia="zh-CN"/>
              </w:rPr>
              <w:t>10</w:t>
            </w:r>
            <w:r>
              <w:rPr>
                <w:rFonts w:ascii="Times New Roman" w:hAnsi="Times New Roman"/>
                <w:b/>
                <w:color w:val="auto"/>
                <w:sz w:val="24"/>
              </w:rPr>
              <w:t xml:space="preserve">  </w:t>
            </w:r>
            <w:r>
              <w:rPr>
                <w:rFonts w:hint="eastAsia"/>
                <w:b/>
                <w:color w:val="auto"/>
                <w:sz w:val="24"/>
                <w:lang w:val="en-US" w:eastAsia="zh-CN"/>
              </w:rPr>
              <w:t>现有项目水平衡</w:t>
            </w:r>
            <w:r>
              <w:rPr>
                <w:rFonts w:ascii="Times New Roman" w:hAnsi="Times New Roman"/>
                <w:b/>
                <w:color w:val="auto"/>
                <w:sz w:val="24"/>
              </w:rPr>
              <w:t>图</w:t>
            </w:r>
            <w:r>
              <w:rPr>
                <w:rFonts w:hint="eastAsia"/>
                <w:b/>
                <w:color w:val="auto"/>
                <w:sz w:val="24"/>
                <w:lang w:eastAsia="zh-CN"/>
              </w:rPr>
              <w:t>（</w:t>
            </w:r>
            <w:r>
              <w:rPr>
                <w:rFonts w:hint="eastAsia"/>
                <w:b/>
                <w:color w:val="auto"/>
                <w:sz w:val="24"/>
                <w:lang w:val="en-US" w:eastAsia="zh-CN"/>
              </w:rPr>
              <w:t>单位：t/a</w:t>
            </w:r>
            <w:r>
              <w:rPr>
                <w:rFonts w:hint="eastAsia"/>
                <w:b/>
                <w:color w:val="auto"/>
                <w:sz w:val="24"/>
                <w:lang w:eastAsia="zh-CN"/>
              </w:rPr>
              <w:t>）</w:t>
            </w:r>
          </w:p>
          <w:p w14:paraId="36F4F3DF">
            <w:pPr>
              <w:spacing w:before="0" w:after="0" w:line="360" w:lineRule="auto"/>
              <w:ind w:right="0" w:firstLine="480" w:firstLineChars="200"/>
              <w:rPr>
                <w:rFonts w:hint="eastAsia"/>
                <w:color w:val="auto"/>
                <w:lang w:eastAsia="zh-CN"/>
              </w:rPr>
            </w:pPr>
            <w:r>
              <w:rPr>
                <w:rFonts w:hint="eastAsia" w:ascii="Times New Roman" w:hAnsi="Times New Roman"/>
                <w:color w:val="auto"/>
                <w:sz w:val="24"/>
                <w:szCs w:val="24"/>
              </w:rPr>
              <w:t>现有项目各废水处理设施均正常运行，</w:t>
            </w:r>
            <w:r>
              <w:rPr>
                <w:rFonts w:hint="eastAsia"/>
                <w:color w:val="auto"/>
                <w:sz w:val="24"/>
                <w:szCs w:val="24"/>
                <w:lang w:val="en-US" w:eastAsia="zh-CN"/>
              </w:rPr>
              <w:t>本次引用企业例行检测（2025）环检（QZ）字第（25061823）号中相关数据，具体数据如下</w:t>
            </w:r>
            <w:r>
              <w:rPr>
                <w:rFonts w:hint="eastAsia"/>
                <w:color w:val="auto"/>
                <w:sz w:val="24"/>
                <w:szCs w:val="24"/>
                <w:lang w:eastAsia="zh-CN"/>
              </w:rPr>
              <w:t>。</w:t>
            </w:r>
          </w:p>
          <w:p w14:paraId="3D0EA648">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现有项目废水检测结果一览表</w:t>
            </w:r>
          </w:p>
          <w:tbl>
            <w:tblPr>
              <w:tblStyle w:val="20"/>
              <w:tblW w:w="4996" w:type="pct"/>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316"/>
              <w:gridCol w:w="1516"/>
              <w:gridCol w:w="1399"/>
              <w:gridCol w:w="1314"/>
              <w:gridCol w:w="1266"/>
              <w:gridCol w:w="1189"/>
            </w:tblGrid>
            <w:tr w14:paraId="086F636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78" w:type="pct"/>
                  <w:tcBorders>
                    <w:tl2br w:val="nil"/>
                    <w:tr2bl w:val="nil"/>
                  </w:tcBorders>
                  <w:noWrap w:val="0"/>
                  <w:vAlign w:val="center"/>
                </w:tcPr>
                <w:p w14:paraId="6EFE5279">
                  <w:pPr>
                    <w:widowControl/>
                    <w:jc w:val="center"/>
                    <w:rPr>
                      <w:rFonts w:hint="default" w:ascii="Times New Roman" w:hAnsi="Times New Roman" w:eastAsia="仿宋" w:cs="Times New Roman"/>
                      <w:b/>
                      <w:bCs/>
                      <w:color w:val="auto"/>
                      <w:kern w:val="0"/>
                      <w:sz w:val="21"/>
                      <w:szCs w:val="21"/>
                      <w:lang w:val="en-US" w:eastAsia="zh-CN"/>
                    </w:rPr>
                  </w:pPr>
                  <w:r>
                    <w:rPr>
                      <w:rFonts w:hint="default" w:ascii="Times New Roman" w:hAnsi="Times New Roman" w:eastAsia="仿宋" w:cs="Times New Roman"/>
                      <w:b/>
                      <w:bCs/>
                      <w:color w:val="auto"/>
                      <w:kern w:val="0"/>
                      <w:sz w:val="21"/>
                      <w:szCs w:val="21"/>
                      <w:lang w:val="en-US" w:eastAsia="zh-CN"/>
                    </w:rPr>
                    <w:t>采样时间</w:t>
                  </w:r>
                </w:p>
              </w:tc>
              <w:tc>
                <w:tcPr>
                  <w:tcW w:w="711" w:type="pct"/>
                  <w:tcBorders>
                    <w:tl2br w:val="nil"/>
                    <w:tr2bl w:val="nil"/>
                  </w:tcBorders>
                  <w:noWrap w:val="0"/>
                  <w:vAlign w:val="center"/>
                </w:tcPr>
                <w:p w14:paraId="32122080">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检测点位</w:t>
                  </w:r>
                </w:p>
              </w:tc>
              <w:tc>
                <w:tcPr>
                  <w:tcW w:w="819" w:type="pct"/>
                  <w:tcBorders>
                    <w:tl2br w:val="nil"/>
                    <w:tr2bl w:val="nil"/>
                  </w:tcBorders>
                  <w:noWrap w:val="0"/>
                  <w:vAlign w:val="center"/>
                </w:tcPr>
                <w:p w14:paraId="3E3E64A2">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检测项目</w:t>
                  </w:r>
                </w:p>
              </w:tc>
              <w:tc>
                <w:tcPr>
                  <w:tcW w:w="756" w:type="pct"/>
                  <w:tcBorders>
                    <w:tl2br w:val="nil"/>
                    <w:tr2bl w:val="nil"/>
                  </w:tcBorders>
                  <w:noWrap w:val="0"/>
                  <w:vAlign w:val="center"/>
                </w:tcPr>
                <w:p w14:paraId="58DABA68">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单位</w:t>
                  </w:r>
                </w:p>
              </w:tc>
              <w:tc>
                <w:tcPr>
                  <w:tcW w:w="710" w:type="pct"/>
                  <w:tcBorders>
                    <w:tl2br w:val="nil"/>
                    <w:tr2bl w:val="nil"/>
                  </w:tcBorders>
                  <w:noWrap w:val="0"/>
                  <w:vAlign w:val="center"/>
                </w:tcPr>
                <w:p w14:paraId="599512B0">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检测结果</w:t>
                  </w:r>
                </w:p>
              </w:tc>
              <w:tc>
                <w:tcPr>
                  <w:tcW w:w="684" w:type="pct"/>
                  <w:tcBorders>
                    <w:tl2br w:val="nil"/>
                    <w:tr2bl w:val="nil"/>
                  </w:tcBorders>
                  <w:noWrap w:val="0"/>
                  <w:vAlign w:val="center"/>
                </w:tcPr>
                <w:p w14:paraId="7749382F">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限值标准</w:t>
                  </w:r>
                </w:p>
              </w:tc>
              <w:tc>
                <w:tcPr>
                  <w:tcW w:w="639" w:type="pct"/>
                  <w:tcBorders>
                    <w:tl2br w:val="nil"/>
                    <w:tr2bl w:val="nil"/>
                  </w:tcBorders>
                  <w:noWrap w:val="0"/>
                  <w:vAlign w:val="center"/>
                </w:tcPr>
                <w:p w14:paraId="319C14DC">
                  <w:pPr>
                    <w:widowControl/>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达标情况</w:t>
                  </w:r>
                </w:p>
              </w:tc>
            </w:tr>
            <w:tr w14:paraId="30A1E7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restart"/>
                  <w:tcBorders>
                    <w:tl2br w:val="nil"/>
                    <w:tr2bl w:val="nil"/>
                  </w:tcBorders>
                  <w:noWrap w:val="0"/>
                  <w:vAlign w:val="center"/>
                </w:tcPr>
                <w:p w14:paraId="0294B5C6">
                  <w:pPr>
                    <w:widowControl/>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202</w:t>
                  </w:r>
                  <w:r>
                    <w:rPr>
                      <w:rFonts w:hint="eastAsia" w:eastAsia="仿宋" w:cs="Times New Roman"/>
                      <w:color w:val="auto"/>
                      <w:kern w:val="0"/>
                      <w:sz w:val="21"/>
                      <w:szCs w:val="21"/>
                      <w:lang w:val="en-US" w:eastAsia="zh-CN"/>
                    </w:rPr>
                    <w:t>5.06.18</w:t>
                  </w:r>
                </w:p>
              </w:tc>
              <w:tc>
                <w:tcPr>
                  <w:tcW w:w="711" w:type="pct"/>
                  <w:vMerge w:val="restart"/>
                  <w:tcBorders>
                    <w:tl2br w:val="nil"/>
                    <w:tr2bl w:val="nil"/>
                  </w:tcBorders>
                  <w:noWrap w:val="0"/>
                  <w:vAlign w:val="center"/>
                </w:tcPr>
                <w:p w14:paraId="49D32FEE">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DW001</w:t>
                  </w:r>
                </w:p>
              </w:tc>
              <w:tc>
                <w:tcPr>
                  <w:tcW w:w="819" w:type="pct"/>
                  <w:tcBorders>
                    <w:tl2br w:val="nil"/>
                    <w:tr2bl w:val="nil"/>
                  </w:tcBorders>
                  <w:noWrap w:val="0"/>
                  <w:vAlign w:val="center"/>
                </w:tcPr>
                <w:p w14:paraId="20CB46F4">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pH值</w:t>
                  </w:r>
                </w:p>
              </w:tc>
              <w:tc>
                <w:tcPr>
                  <w:tcW w:w="756" w:type="pct"/>
                  <w:tcBorders>
                    <w:tl2br w:val="nil"/>
                    <w:tr2bl w:val="nil"/>
                  </w:tcBorders>
                  <w:noWrap w:val="0"/>
                  <w:vAlign w:val="center"/>
                </w:tcPr>
                <w:p w14:paraId="64367465">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无量纲</w:t>
                  </w:r>
                </w:p>
              </w:tc>
              <w:tc>
                <w:tcPr>
                  <w:tcW w:w="710" w:type="pct"/>
                  <w:tcBorders>
                    <w:tl2br w:val="nil"/>
                    <w:tr2bl w:val="nil"/>
                  </w:tcBorders>
                  <w:noWrap w:val="0"/>
                  <w:vAlign w:val="center"/>
                </w:tcPr>
                <w:p w14:paraId="0080778C">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7.2</w:t>
                  </w:r>
                </w:p>
              </w:tc>
              <w:tc>
                <w:tcPr>
                  <w:tcW w:w="684" w:type="pct"/>
                  <w:tcBorders>
                    <w:tl2br w:val="nil"/>
                    <w:tr2bl w:val="nil"/>
                  </w:tcBorders>
                  <w:noWrap w:val="0"/>
                  <w:vAlign w:val="center"/>
                </w:tcPr>
                <w:p w14:paraId="3D74CD37">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6~9</w:t>
                  </w:r>
                </w:p>
              </w:tc>
              <w:tc>
                <w:tcPr>
                  <w:tcW w:w="639" w:type="pct"/>
                  <w:tcBorders>
                    <w:tl2br w:val="nil"/>
                    <w:tr2bl w:val="nil"/>
                  </w:tcBorders>
                  <w:noWrap w:val="0"/>
                  <w:vAlign w:val="center"/>
                </w:tcPr>
                <w:p w14:paraId="1397DF85">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达标</w:t>
                  </w:r>
                </w:p>
              </w:tc>
            </w:tr>
            <w:tr w14:paraId="0AA135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continue"/>
                  <w:tcBorders>
                    <w:tl2br w:val="nil"/>
                    <w:tr2bl w:val="nil"/>
                  </w:tcBorders>
                  <w:noWrap w:val="0"/>
                  <w:vAlign w:val="center"/>
                </w:tcPr>
                <w:p w14:paraId="2140FC6A">
                  <w:pPr>
                    <w:widowControl/>
                    <w:jc w:val="center"/>
                    <w:rPr>
                      <w:rFonts w:hint="default" w:ascii="Times New Roman" w:hAnsi="Times New Roman" w:eastAsia="仿宋" w:cs="Times New Roman"/>
                      <w:color w:val="auto"/>
                      <w:kern w:val="0"/>
                      <w:sz w:val="21"/>
                      <w:szCs w:val="21"/>
                      <w:lang w:val="en-US" w:eastAsia="zh-CN"/>
                    </w:rPr>
                  </w:pPr>
                </w:p>
              </w:tc>
              <w:tc>
                <w:tcPr>
                  <w:tcW w:w="711" w:type="pct"/>
                  <w:vMerge w:val="continue"/>
                  <w:tcBorders>
                    <w:tl2br w:val="nil"/>
                    <w:tr2bl w:val="nil"/>
                  </w:tcBorders>
                  <w:noWrap w:val="0"/>
                  <w:vAlign w:val="center"/>
                </w:tcPr>
                <w:p w14:paraId="6F0E229B">
                  <w:pPr>
                    <w:widowControl/>
                    <w:jc w:val="center"/>
                    <w:rPr>
                      <w:rFonts w:hint="eastAsia" w:eastAsia="仿宋" w:cs="Times New Roman"/>
                      <w:color w:val="auto"/>
                      <w:kern w:val="0"/>
                      <w:sz w:val="21"/>
                      <w:szCs w:val="21"/>
                      <w:lang w:val="en-US" w:eastAsia="zh-CN"/>
                    </w:rPr>
                  </w:pPr>
                </w:p>
              </w:tc>
              <w:tc>
                <w:tcPr>
                  <w:tcW w:w="819" w:type="pct"/>
                  <w:tcBorders>
                    <w:tl2br w:val="nil"/>
                    <w:tr2bl w:val="nil"/>
                  </w:tcBorders>
                  <w:shd w:val="clear" w:color="auto" w:fill="auto"/>
                  <w:noWrap w:val="0"/>
                  <w:vAlign w:val="center"/>
                </w:tcPr>
                <w:p w14:paraId="0900CE61">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化学需氧量</w:t>
                  </w:r>
                </w:p>
              </w:tc>
              <w:tc>
                <w:tcPr>
                  <w:tcW w:w="756" w:type="pct"/>
                  <w:tcBorders>
                    <w:tl2br w:val="nil"/>
                    <w:tr2bl w:val="nil"/>
                  </w:tcBorders>
                  <w:shd w:val="clear" w:color="auto" w:fill="auto"/>
                  <w:noWrap w:val="0"/>
                  <w:vAlign w:val="center"/>
                </w:tcPr>
                <w:p w14:paraId="46463BA5">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mg/L</w:t>
                  </w:r>
                </w:p>
              </w:tc>
              <w:tc>
                <w:tcPr>
                  <w:tcW w:w="710" w:type="pct"/>
                  <w:tcBorders>
                    <w:tl2br w:val="nil"/>
                    <w:tr2bl w:val="nil"/>
                  </w:tcBorders>
                  <w:shd w:val="clear" w:color="auto" w:fill="auto"/>
                  <w:noWrap w:val="0"/>
                  <w:vAlign w:val="center"/>
                </w:tcPr>
                <w:p w14:paraId="2730A2F7">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215</w:t>
                  </w:r>
                </w:p>
              </w:tc>
              <w:tc>
                <w:tcPr>
                  <w:tcW w:w="684" w:type="pct"/>
                  <w:tcBorders>
                    <w:tl2br w:val="nil"/>
                    <w:tr2bl w:val="nil"/>
                  </w:tcBorders>
                  <w:shd w:val="clear" w:color="auto" w:fill="auto"/>
                  <w:noWrap w:val="0"/>
                  <w:vAlign w:val="center"/>
                </w:tcPr>
                <w:p w14:paraId="57EC265A">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rPr>
                    <w:t>400</w:t>
                  </w:r>
                </w:p>
              </w:tc>
              <w:tc>
                <w:tcPr>
                  <w:tcW w:w="639" w:type="pct"/>
                  <w:tcBorders>
                    <w:tl2br w:val="nil"/>
                    <w:tr2bl w:val="nil"/>
                  </w:tcBorders>
                  <w:shd w:val="clear" w:color="auto" w:fill="auto"/>
                  <w:noWrap w:val="0"/>
                  <w:vAlign w:val="center"/>
                </w:tcPr>
                <w:p w14:paraId="0EEFAC5A">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达标</w:t>
                  </w:r>
                </w:p>
              </w:tc>
            </w:tr>
            <w:tr w14:paraId="5F01D86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continue"/>
                  <w:tcBorders>
                    <w:tl2br w:val="nil"/>
                    <w:tr2bl w:val="nil"/>
                  </w:tcBorders>
                  <w:noWrap w:val="0"/>
                  <w:vAlign w:val="center"/>
                </w:tcPr>
                <w:p w14:paraId="7BA99D3D">
                  <w:pPr>
                    <w:widowControl/>
                    <w:jc w:val="center"/>
                    <w:rPr>
                      <w:rFonts w:hint="default" w:ascii="Times New Roman" w:hAnsi="Times New Roman" w:eastAsia="仿宋" w:cs="Times New Roman"/>
                      <w:color w:val="auto"/>
                      <w:kern w:val="0"/>
                      <w:sz w:val="21"/>
                      <w:szCs w:val="21"/>
                    </w:rPr>
                  </w:pPr>
                </w:p>
              </w:tc>
              <w:tc>
                <w:tcPr>
                  <w:tcW w:w="711" w:type="pct"/>
                  <w:vMerge w:val="continue"/>
                  <w:tcBorders>
                    <w:tl2br w:val="nil"/>
                    <w:tr2bl w:val="nil"/>
                  </w:tcBorders>
                  <w:noWrap w:val="0"/>
                  <w:vAlign w:val="center"/>
                </w:tcPr>
                <w:p w14:paraId="0612F157">
                  <w:pPr>
                    <w:widowControl/>
                    <w:jc w:val="center"/>
                    <w:rPr>
                      <w:rFonts w:hint="default" w:ascii="Times New Roman" w:hAnsi="Times New Roman" w:eastAsia="仿宋" w:cs="Times New Roman"/>
                      <w:color w:val="auto"/>
                      <w:kern w:val="0"/>
                      <w:sz w:val="21"/>
                      <w:szCs w:val="21"/>
                    </w:rPr>
                  </w:pPr>
                </w:p>
              </w:tc>
              <w:tc>
                <w:tcPr>
                  <w:tcW w:w="819" w:type="pct"/>
                  <w:tcBorders>
                    <w:tl2br w:val="nil"/>
                    <w:tr2bl w:val="nil"/>
                  </w:tcBorders>
                  <w:noWrap w:val="0"/>
                  <w:vAlign w:val="center"/>
                </w:tcPr>
                <w:p w14:paraId="5A4329B3">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悬浮物</w:t>
                  </w:r>
                </w:p>
              </w:tc>
              <w:tc>
                <w:tcPr>
                  <w:tcW w:w="756" w:type="pct"/>
                  <w:tcBorders>
                    <w:tl2br w:val="nil"/>
                    <w:tr2bl w:val="nil"/>
                  </w:tcBorders>
                  <w:noWrap w:val="0"/>
                  <w:vAlign w:val="center"/>
                </w:tcPr>
                <w:p w14:paraId="173EF72C">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mg/L</w:t>
                  </w:r>
                </w:p>
              </w:tc>
              <w:tc>
                <w:tcPr>
                  <w:tcW w:w="710" w:type="pct"/>
                  <w:tcBorders>
                    <w:tl2br w:val="nil"/>
                    <w:tr2bl w:val="nil"/>
                  </w:tcBorders>
                  <w:noWrap w:val="0"/>
                  <w:vAlign w:val="center"/>
                </w:tcPr>
                <w:p w14:paraId="6B6D518C">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121</w:t>
                  </w:r>
                </w:p>
              </w:tc>
              <w:tc>
                <w:tcPr>
                  <w:tcW w:w="684" w:type="pct"/>
                  <w:tcBorders>
                    <w:tl2br w:val="nil"/>
                    <w:tr2bl w:val="nil"/>
                  </w:tcBorders>
                  <w:noWrap w:val="0"/>
                  <w:vAlign w:val="center"/>
                </w:tcPr>
                <w:p w14:paraId="35F063BB">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250</w:t>
                  </w:r>
                </w:p>
              </w:tc>
              <w:tc>
                <w:tcPr>
                  <w:tcW w:w="639" w:type="pct"/>
                  <w:tcBorders>
                    <w:tl2br w:val="nil"/>
                    <w:tr2bl w:val="nil"/>
                  </w:tcBorders>
                  <w:noWrap w:val="0"/>
                  <w:vAlign w:val="center"/>
                </w:tcPr>
                <w:p w14:paraId="1C94D6DC">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达标</w:t>
                  </w:r>
                </w:p>
              </w:tc>
            </w:tr>
            <w:tr w14:paraId="11637AD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continue"/>
                  <w:tcBorders>
                    <w:tl2br w:val="nil"/>
                    <w:tr2bl w:val="nil"/>
                  </w:tcBorders>
                  <w:noWrap w:val="0"/>
                  <w:vAlign w:val="center"/>
                </w:tcPr>
                <w:p w14:paraId="249C3C9F">
                  <w:pPr>
                    <w:widowControl/>
                    <w:jc w:val="center"/>
                    <w:rPr>
                      <w:rFonts w:hint="default" w:ascii="Times New Roman" w:hAnsi="Times New Roman" w:eastAsia="仿宋" w:cs="Times New Roman"/>
                      <w:color w:val="auto"/>
                      <w:kern w:val="0"/>
                      <w:sz w:val="21"/>
                      <w:szCs w:val="21"/>
                    </w:rPr>
                  </w:pPr>
                </w:p>
              </w:tc>
              <w:tc>
                <w:tcPr>
                  <w:tcW w:w="711" w:type="pct"/>
                  <w:vMerge w:val="continue"/>
                  <w:tcBorders>
                    <w:tl2br w:val="nil"/>
                    <w:tr2bl w:val="nil"/>
                  </w:tcBorders>
                  <w:noWrap w:val="0"/>
                  <w:vAlign w:val="center"/>
                </w:tcPr>
                <w:p w14:paraId="7CB47925">
                  <w:pPr>
                    <w:widowControl/>
                    <w:jc w:val="center"/>
                    <w:rPr>
                      <w:rFonts w:hint="default" w:ascii="Times New Roman" w:hAnsi="Times New Roman" w:eastAsia="仿宋" w:cs="Times New Roman"/>
                      <w:color w:val="auto"/>
                      <w:kern w:val="0"/>
                      <w:sz w:val="21"/>
                      <w:szCs w:val="21"/>
                    </w:rPr>
                  </w:pPr>
                </w:p>
              </w:tc>
              <w:tc>
                <w:tcPr>
                  <w:tcW w:w="819" w:type="pct"/>
                  <w:tcBorders>
                    <w:tl2br w:val="nil"/>
                    <w:tr2bl w:val="nil"/>
                  </w:tcBorders>
                  <w:noWrap w:val="0"/>
                  <w:vAlign w:val="center"/>
                </w:tcPr>
                <w:p w14:paraId="2D9E9B6D">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氨氮</w:t>
                  </w:r>
                </w:p>
              </w:tc>
              <w:tc>
                <w:tcPr>
                  <w:tcW w:w="756" w:type="pct"/>
                  <w:tcBorders>
                    <w:tl2br w:val="nil"/>
                    <w:tr2bl w:val="nil"/>
                  </w:tcBorders>
                  <w:noWrap w:val="0"/>
                  <w:vAlign w:val="center"/>
                </w:tcPr>
                <w:p w14:paraId="2BBEBCDC">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mg/L</w:t>
                  </w:r>
                </w:p>
              </w:tc>
              <w:tc>
                <w:tcPr>
                  <w:tcW w:w="710" w:type="pct"/>
                  <w:tcBorders>
                    <w:tl2br w:val="nil"/>
                    <w:tr2bl w:val="nil"/>
                  </w:tcBorders>
                  <w:noWrap w:val="0"/>
                  <w:vAlign w:val="center"/>
                </w:tcPr>
                <w:p w14:paraId="50A04A4F">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15.3</w:t>
                  </w:r>
                </w:p>
              </w:tc>
              <w:tc>
                <w:tcPr>
                  <w:tcW w:w="684" w:type="pct"/>
                  <w:tcBorders>
                    <w:tl2br w:val="nil"/>
                    <w:tr2bl w:val="nil"/>
                  </w:tcBorders>
                  <w:noWrap w:val="0"/>
                  <w:vAlign w:val="center"/>
                </w:tcPr>
                <w:p w14:paraId="204B062F">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35</w:t>
                  </w:r>
                </w:p>
              </w:tc>
              <w:tc>
                <w:tcPr>
                  <w:tcW w:w="639" w:type="pct"/>
                  <w:tcBorders>
                    <w:tl2br w:val="nil"/>
                    <w:tr2bl w:val="nil"/>
                  </w:tcBorders>
                  <w:noWrap w:val="0"/>
                  <w:vAlign w:val="center"/>
                </w:tcPr>
                <w:p w14:paraId="70B7C16A">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达标</w:t>
                  </w:r>
                </w:p>
              </w:tc>
            </w:tr>
            <w:tr w14:paraId="2F5E0E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continue"/>
                  <w:tcBorders>
                    <w:tl2br w:val="nil"/>
                    <w:tr2bl w:val="nil"/>
                  </w:tcBorders>
                  <w:noWrap w:val="0"/>
                  <w:vAlign w:val="center"/>
                </w:tcPr>
                <w:p w14:paraId="13ED402E">
                  <w:pPr>
                    <w:widowControl/>
                    <w:jc w:val="center"/>
                    <w:rPr>
                      <w:rFonts w:hint="default" w:ascii="Times New Roman" w:hAnsi="Times New Roman" w:eastAsia="仿宋" w:cs="Times New Roman"/>
                      <w:color w:val="auto"/>
                      <w:kern w:val="0"/>
                      <w:sz w:val="21"/>
                      <w:szCs w:val="21"/>
                    </w:rPr>
                  </w:pPr>
                </w:p>
              </w:tc>
              <w:tc>
                <w:tcPr>
                  <w:tcW w:w="711" w:type="pct"/>
                  <w:vMerge w:val="continue"/>
                  <w:tcBorders>
                    <w:tl2br w:val="nil"/>
                    <w:tr2bl w:val="nil"/>
                  </w:tcBorders>
                  <w:noWrap w:val="0"/>
                  <w:vAlign w:val="center"/>
                </w:tcPr>
                <w:p w14:paraId="5F145ADA">
                  <w:pPr>
                    <w:widowControl/>
                    <w:jc w:val="center"/>
                    <w:rPr>
                      <w:rFonts w:hint="default" w:ascii="Times New Roman" w:hAnsi="Times New Roman" w:eastAsia="仿宋" w:cs="Times New Roman"/>
                      <w:color w:val="auto"/>
                      <w:kern w:val="0"/>
                      <w:sz w:val="21"/>
                      <w:szCs w:val="21"/>
                    </w:rPr>
                  </w:pPr>
                </w:p>
              </w:tc>
              <w:tc>
                <w:tcPr>
                  <w:tcW w:w="819" w:type="pct"/>
                  <w:tcBorders>
                    <w:tl2br w:val="nil"/>
                    <w:tr2bl w:val="nil"/>
                  </w:tcBorders>
                  <w:shd w:val="clear" w:color="auto" w:fill="auto"/>
                  <w:noWrap w:val="0"/>
                  <w:vAlign w:val="center"/>
                </w:tcPr>
                <w:p w14:paraId="5B441D65">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总氮</w:t>
                  </w:r>
                </w:p>
              </w:tc>
              <w:tc>
                <w:tcPr>
                  <w:tcW w:w="756" w:type="pct"/>
                  <w:tcBorders>
                    <w:tl2br w:val="nil"/>
                    <w:tr2bl w:val="nil"/>
                  </w:tcBorders>
                  <w:shd w:val="clear" w:color="auto" w:fill="auto"/>
                  <w:noWrap w:val="0"/>
                  <w:vAlign w:val="center"/>
                </w:tcPr>
                <w:p w14:paraId="5870FC47">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mg/L</w:t>
                  </w:r>
                </w:p>
              </w:tc>
              <w:tc>
                <w:tcPr>
                  <w:tcW w:w="710" w:type="pct"/>
                  <w:tcBorders>
                    <w:tl2br w:val="nil"/>
                    <w:tr2bl w:val="nil"/>
                  </w:tcBorders>
                  <w:shd w:val="clear" w:color="auto" w:fill="auto"/>
                  <w:noWrap w:val="0"/>
                  <w:vAlign w:val="center"/>
                </w:tcPr>
                <w:p w14:paraId="20FBB705">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20.9</w:t>
                  </w:r>
                </w:p>
              </w:tc>
              <w:tc>
                <w:tcPr>
                  <w:tcW w:w="684" w:type="pct"/>
                  <w:tcBorders>
                    <w:tl2br w:val="nil"/>
                    <w:tr2bl w:val="nil"/>
                  </w:tcBorders>
                  <w:shd w:val="clear" w:color="auto" w:fill="auto"/>
                  <w:noWrap w:val="0"/>
                  <w:vAlign w:val="center"/>
                </w:tcPr>
                <w:p w14:paraId="29EC0DC5">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45</w:t>
                  </w:r>
                </w:p>
              </w:tc>
              <w:tc>
                <w:tcPr>
                  <w:tcW w:w="639" w:type="pct"/>
                  <w:tcBorders>
                    <w:tl2br w:val="nil"/>
                    <w:tr2bl w:val="nil"/>
                  </w:tcBorders>
                  <w:shd w:val="clear" w:color="auto" w:fill="auto"/>
                  <w:noWrap w:val="0"/>
                  <w:vAlign w:val="center"/>
                </w:tcPr>
                <w:p w14:paraId="390C8AF9">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达标</w:t>
                  </w:r>
                </w:p>
              </w:tc>
            </w:tr>
            <w:tr w14:paraId="32B89C9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78" w:type="pct"/>
                  <w:vMerge w:val="continue"/>
                  <w:tcBorders>
                    <w:tl2br w:val="nil"/>
                    <w:tr2bl w:val="nil"/>
                  </w:tcBorders>
                  <w:noWrap w:val="0"/>
                  <w:vAlign w:val="center"/>
                </w:tcPr>
                <w:p w14:paraId="0EF92AFE">
                  <w:pPr>
                    <w:widowControl/>
                    <w:jc w:val="center"/>
                    <w:rPr>
                      <w:rFonts w:hint="default" w:ascii="Times New Roman" w:hAnsi="Times New Roman" w:eastAsia="仿宋" w:cs="Times New Roman"/>
                      <w:color w:val="auto"/>
                      <w:kern w:val="0"/>
                      <w:sz w:val="21"/>
                      <w:szCs w:val="21"/>
                    </w:rPr>
                  </w:pPr>
                </w:p>
              </w:tc>
              <w:tc>
                <w:tcPr>
                  <w:tcW w:w="711" w:type="pct"/>
                  <w:vMerge w:val="continue"/>
                  <w:tcBorders>
                    <w:tl2br w:val="nil"/>
                    <w:tr2bl w:val="nil"/>
                  </w:tcBorders>
                  <w:noWrap w:val="0"/>
                  <w:vAlign w:val="center"/>
                </w:tcPr>
                <w:p w14:paraId="61139A3C">
                  <w:pPr>
                    <w:widowControl/>
                    <w:jc w:val="center"/>
                    <w:rPr>
                      <w:rFonts w:hint="default" w:ascii="Times New Roman" w:hAnsi="Times New Roman" w:eastAsia="仿宋" w:cs="Times New Roman"/>
                      <w:color w:val="auto"/>
                      <w:kern w:val="0"/>
                      <w:sz w:val="21"/>
                      <w:szCs w:val="21"/>
                    </w:rPr>
                  </w:pPr>
                </w:p>
              </w:tc>
              <w:tc>
                <w:tcPr>
                  <w:tcW w:w="819" w:type="pct"/>
                  <w:tcBorders>
                    <w:tl2br w:val="nil"/>
                    <w:tr2bl w:val="nil"/>
                  </w:tcBorders>
                  <w:noWrap w:val="0"/>
                  <w:vAlign w:val="center"/>
                </w:tcPr>
                <w:p w14:paraId="4DCB346F">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总磷</w:t>
                  </w:r>
                </w:p>
              </w:tc>
              <w:tc>
                <w:tcPr>
                  <w:tcW w:w="756" w:type="pct"/>
                  <w:tcBorders>
                    <w:tl2br w:val="nil"/>
                    <w:tr2bl w:val="nil"/>
                  </w:tcBorders>
                  <w:noWrap w:val="0"/>
                  <w:vAlign w:val="center"/>
                </w:tcPr>
                <w:p w14:paraId="29D7CD39">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mg/L</w:t>
                  </w:r>
                </w:p>
              </w:tc>
              <w:tc>
                <w:tcPr>
                  <w:tcW w:w="710" w:type="pct"/>
                  <w:tcBorders>
                    <w:tl2br w:val="nil"/>
                    <w:tr2bl w:val="nil"/>
                  </w:tcBorders>
                  <w:noWrap w:val="0"/>
                  <w:vAlign w:val="center"/>
                </w:tcPr>
                <w:p w14:paraId="46102DD1">
                  <w:pPr>
                    <w:widowControl/>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0.67</w:t>
                  </w:r>
                </w:p>
              </w:tc>
              <w:tc>
                <w:tcPr>
                  <w:tcW w:w="684" w:type="pct"/>
                  <w:tcBorders>
                    <w:tl2br w:val="nil"/>
                    <w:tr2bl w:val="nil"/>
                  </w:tcBorders>
                  <w:noWrap w:val="0"/>
                  <w:vAlign w:val="center"/>
                </w:tcPr>
                <w:p w14:paraId="1D3E5DAF">
                  <w:pPr>
                    <w:widowControl/>
                    <w:jc w:val="center"/>
                    <w:rPr>
                      <w:rFonts w:hint="eastAsia"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6</w:t>
                  </w:r>
                </w:p>
              </w:tc>
              <w:tc>
                <w:tcPr>
                  <w:tcW w:w="639" w:type="pct"/>
                  <w:tcBorders>
                    <w:tl2br w:val="nil"/>
                    <w:tr2bl w:val="nil"/>
                  </w:tcBorders>
                  <w:noWrap w:val="0"/>
                  <w:vAlign w:val="center"/>
                </w:tcPr>
                <w:p w14:paraId="30D21686">
                  <w:pPr>
                    <w:widowControl/>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达标</w:t>
                  </w:r>
                </w:p>
              </w:tc>
            </w:tr>
            <w:tr w14:paraId="4DF5A80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noWrap w:val="0"/>
                  <w:vAlign w:val="center"/>
                </w:tcPr>
                <w:p w14:paraId="295EBB82">
                  <w:pPr>
                    <w:widowControl/>
                    <w:jc w:val="both"/>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注：pH值、悬浮物、化学需氧量、氨氮、总磷、总氮均满足</w:t>
                  </w:r>
                  <w:r>
                    <w:rPr>
                      <w:rFonts w:hint="default" w:ascii="Times New Roman" w:hAnsi="Times New Roman" w:eastAsia="仿宋" w:cs="Times New Roman"/>
                      <w:color w:val="auto"/>
                      <w:kern w:val="0"/>
                      <w:sz w:val="21"/>
                      <w:szCs w:val="21"/>
                    </w:rPr>
                    <w:t>苏州高铁新城污水处理厂接管标准。</w:t>
                  </w:r>
                </w:p>
              </w:tc>
            </w:tr>
          </w:tbl>
          <w:p w14:paraId="26914312">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现有项目废水污染物排放总量核算表</w:t>
            </w:r>
          </w:p>
          <w:tbl>
            <w:tblPr>
              <w:tblStyle w:val="21"/>
              <w:tblW w:w="4997" w:type="pct"/>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383"/>
              <w:gridCol w:w="1300"/>
              <w:gridCol w:w="1366"/>
              <w:gridCol w:w="1566"/>
              <w:gridCol w:w="1364"/>
              <w:gridCol w:w="1205"/>
            </w:tblGrid>
            <w:tr w14:paraId="1931CA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79" w:type="pct"/>
                  <w:vAlign w:val="center"/>
                </w:tcPr>
                <w:p w14:paraId="24525BB3">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监测点位</w:t>
                  </w:r>
                </w:p>
              </w:tc>
              <w:tc>
                <w:tcPr>
                  <w:tcW w:w="747" w:type="pct"/>
                  <w:vAlign w:val="center"/>
                </w:tcPr>
                <w:p w14:paraId="2EBAA33F">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污染物名称</w:t>
                  </w:r>
                </w:p>
              </w:tc>
              <w:tc>
                <w:tcPr>
                  <w:tcW w:w="702" w:type="pct"/>
                  <w:vAlign w:val="center"/>
                </w:tcPr>
                <w:p w14:paraId="402A12F7">
                  <w:pPr>
                    <w:jc w:val="center"/>
                    <w:rPr>
                      <w:rFonts w:hint="default" w:ascii="Times New Roman" w:hAnsi="Times New Roman" w:eastAsia="仿宋" w:cs="Times New Roman"/>
                      <w:b/>
                      <w:bCs/>
                      <w:color w:val="auto"/>
                      <w:sz w:val="21"/>
                      <w:szCs w:val="21"/>
                      <w:vertAlign w:val="baseline"/>
                    </w:rPr>
                  </w:pPr>
                  <w:r>
                    <w:rPr>
                      <w:rFonts w:hint="default" w:ascii="Times New Roman" w:hAnsi="Times New Roman" w:eastAsia="仿宋" w:cs="Times New Roman"/>
                      <w:b/>
                      <w:bCs/>
                      <w:color w:val="auto"/>
                      <w:sz w:val="21"/>
                      <w:szCs w:val="21"/>
                      <w:vertAlign w:val="baseline"/>
                      <w:lang w:val="en-US" w:eastAsia="zh-CN"/>
                    </w:rPr>
                    <w:t>排放浓度（mg/L）</w:t>
                  </w:r>
                </w:p>
              </w:tc>
              <w:tc>
                <w:tcPr>
                  <w:tcW w:w="738" w:type="pct"/>
                  <w:vAlign w:val="center"/>
                </w:tcPr>
                <w:p w14:paraId="58FFE6CF">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年排水量（m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vertAlign w:val="baseline"/>
                      <w:lang w:val="en-US" w:eastAsia="zh-CN"/>
                    </w:rPr>
                    <w:t>/a）</w:t>
                  </w:r>
                </w:p>
              </w:tc>
              <w:tc>
                <w:tcPr>
                  <w:tcW w:w="846" w:type="pct"/>
                  <w:vAlign w:val="center"/>
                </w:tcPr>
                <w:p w14:paraId="67399489">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实际排放总量（t/a）</w:t>
                  </w:r>
                </w:p>
              </w:tc>
              <w:tc>
                <w:tcPr>
                  <w:tcW w:w="737" w:type="pct"/>
                  <w:vAlign w:val="center"/>
                </w:tcPr>
                <w:p w14:paraId="2315BE0F">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批复总量（t/a）</w:t>
                  </w:r>
                </w:p>
              </w:tc>
              <w:tc>
                <w:tcPr>
                  <w:tcW w:w="649" w:type="pct"/>
                  <w:vAlign w:val="center"/>
                </w:tcPr>
                <w:p w14:paraId="11E8C55E">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达标情况</w:t>
                  </w:r>
                </w:p>
              </w:tc>
            </w:tr>
            <w:tr w14:paraId="6C73A2B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79" w:type="pct"/>
                  <w:vMerge w:val="restart"/>
                  <w:vAlign w:val="center"/>
                </w:tcPr>
                <w:p w14:paraId="65EB218B">
                  <w:pPr>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厂区污水总排口</w:t>
                  </w:r>
                </w:p>
              </w:tc>
              <w:tc>
                <w:tcPr>
                  <w:tcW w:w="747" w:type="pct"/>
                  <w:shd w:val="clear" w:color="auto" w:fill="auto"/>
                  <w:vAlign w:val="center"/>
                </w:tcPr>
                <w:p w14:paraId="77AAAF82">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悬浮物</w:t>
                  </w:r>
                </w:p>
              </w:tc>
              <w:tc>
                <w:tcPr>
                  <w:tcW w:w="702" w:type="pct"/>
                  <w:vAlign w:val="center"/>
                </w:tcPr>
                <w:p w14:paraId="32E12005">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121</w:t>
                  </w:r>
                </w:p>
              </w:tc>
              <w:tc>
                <w:tcPr>
                  <w:tcW w:w="738" w:type="pct"/>
                  <w:vMerge w:val="restart"/>
                  <w:vAlign w:val="center"/>
                </w:tcPr>
                <w:p w14:paraId="7DC6C240">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2080</w:t>
                  </w:r>
                </w:p>
              </w:tc>
              <w:tc>
                <w:tcPr>
                  <w:tcW w:w="1567" w:type="dxa"/>
                  <w:vAlign w:val="center"/>
                </w:tcPr>
                <w:p w14:paraId="5DCEF380">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0.25168</w:t>
                  </w:r>
                </w:p>
              </w:tc>
              <w:tc>
                <w:tcPr>
                  <w:tcW w:w="1364" w:type="dxa"/>
                  <w:vAlign w:val="center"/>
                </w:tcPr>
                <w:p w14:paraId="0EBE8CCB">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649" w:type="pct"/>
                  <w:vAlign w:val="center"/>
                </w:tcPr>
                <w:p w14:paraId="46BDD30A">
                  <w:pPr>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达标</w:t>
                  </w:r>
                </w:p>
              </w:tc>
            </w:tr>
            <w:tr w14:paraId="1F1047F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14:paraId="718BCB32">
                  <w:pPr>
                    <w:jc w:val="center"/>
                    <w:rPr>
                      <w:rFonts w:hint="default" w:ascii="Times New Roman" w:hAnsi="Times New Roman" w:eastAsia="仿宋" w:cs="Times New Roman"/>
                      <w:color w:val="auto"/>
                      <w:sz w:val="21"/>
                      <w:szCs w:val="21"/>
                      <w:vertAlign w:val="baseline"/>
                    </w:rPr>
                  </w:pPr>
                </w:p>
              </w:tc>
              <w:tc>
                <w:tcPr>
                  <w:tcW w:w="747" w:type="pct"/>
                  <w:shd w:val="clear" w:color="auto" w:fill="auto"/>
                  <w:vAlign w:val="center"/>
                </w:tcPr>
                <w:p w14:paraId="042ABD5E">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化学需氧量</w:t>
                  </w:r>
                </w:p>
              </w:tc>
              <w:tc>
                <w:tcPr>
                  <w:tcW w:w="702" w:type="pct"/>
                  <w:vAlign w:val="center"/>
                </w:tcPr>
                <w:p w14:paraId="18139220">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215</w:t>
                  </w:r>
                </w:p>
              </w:tc>
              <w:tc>
                <w:tcPr>
                  <w:tcW w:w="738" w:type="pct"/>
                  <w:vMerge w:val="continue"/>
                  <w:vAlign w:val="center"/>
                </w:tcPr>
                <w:p w14:paraId="174844F5">
                  <w:pPr>
                    <w:jc w:val="center"/>
                    <w:rPr>
                      <w:rFonts w:hint="default" w:ascii="Times New Roman" w:hAnsi="Times New Roman" w:eastAsia="仿宋" w:cs="Times New Roman"/>
                      <w:color w:val="auto"/>
                      <w:sz w:val="21"/>
                      <w:szCs w:val="21"/>
                      <w:vertAlign w:val="baseline"/>
                    </w:rPr>
                  </w:pPr>
                </w:p>
              </w:tc>
              <w:tc>
                <w:tcPr>
                  <w:tcW w:w="1567" w:type="dxa"/>
                  <w:vAlign w:val="center"/>
                </w:tcPr>
                <w:p w14:paraId="28E7388C">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0.4472</w:t>
                  </w:r>
                </w:p>
              </w:tc>
              <w:tc>
                <w:tcPr>
                  <w:tcW w:w="1364" w:type="dxa"/>
                  <w:vAlign w:val="center"/>
                </w:tcPr>
                <w:p w14:paraId="3DA2D914">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0.572</w:t>
                  </w:r>
                </w:p>
              </w:tc>
              <w:tc>
                <w:tcPr>
                  <w:tcW w:w="649" w:type="pct"/>
                  <w:vAlign w:val="center"/>
                </w:tcPr>
                <w:p w14:paraId="305A36AB">
                  <w:pPr>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达标</w:t>
                  </w:r>
                </w:p>
              </w:tc>
            </w:tr>
            <w:tr w14:paraId="79B8146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14:paraId="2BB518C5">
                  <w:pPr>
                    <w:jc w:val="center"/>
                    <w:rPr>
                      <w:rFonts w:hint="default" w:ascii="Times New Roman" w:hAnsi="Times New Roman" w:eastAsia="仿宋" w:cs="Times New Roman"/>
                      <w:color w:val="auto"/>
                      <w:sz w:val="21"/>
                      <w:szCs w:val="21"/>
                      <w:vertAlign w:val="baseline"/>
                    </w:rPr>
                  </w:pPr>
                </w:p>
              </w:tc>
              <w:tc>
                <w:tcPr>
                  <w:tcW w:w="747" w:type="pct"/>
                  <w:shd w:val="clear" w:color="auto" w:fill="auto"/>
                  <w:vAlign w:val="center"/>
                </w:tcPr>
                <w:p w14:paraId="6316B6DC">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氨氮</w:t>
                  </w:r>
                </w:p>
              </w:tc>
              <w:tc>
                <w:tcPr>
                  <w:tcW w:w="702" w:type="pct"/>
                  <w:vAlign w:val="center"/>
                </w:tcPr>
                <w:p w14:paraId="49086F57">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15.3</w:t>
                  </w:r>
                </w:p>
              </w:tc>
              <w:tc>
                <w:tcPr>
                  <w:tcW w:w="738" w:type="pct"/>
                  <w:vMerge w:val="restart"/>
                  <w:vAlign w:val="center"/>
                </w:tcPr>
                <w:p w14:paraId="1BD28F51">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1080</w:t>
                  </w:r>
                </w:p>
              </w:tc>
              <w:tc>
                <w:tcPr>
                  <w:tcW w:w="1567" w:type="dxa"/>
                  <w:vAlign w:val="center"/>
                </w:tcPr>
                <w:p w14:paraId="2FB8C445">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0.016524</w:t>
                  </w:r>
                </w:p>
              </w:tc>
              <w:tc>
                <w:tcPr>
                  <w:tcW w:w="1364" w:type="dxa"/>
                  <w:vAlign w:val="center"/>
                </w:tcPr>
                <w:p w14:paraId="1ACAD86D">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0.0348</w:t>
                  </w:r>
                </w:p>
              </w:tc>
              <w:tc>
                <w:tcPr>
                  <w:tcW w:w="649" w:type="pct"/>
                  <w:vAlign w:val="center"/>
                </w:tcPr>
                <w:p w14:paraId="45B7F5D9">
                  <w:pPr>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lang w:val="en-US" w:eastAsia="zh-CN"/>
                    </w:rPr>
                    <w:t>达标</w:t>
                  </w:r>
                </w:p>
              </w:tc>
            </w:tr>
            <w:tr w14:paraId="2737015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79" w:type="pct"/>
                  <w:vMerge w:val="continue"/>
                  <w:vAlign w:val="center"/>
                </w:tcPr>
                <w:p w14:paraId="779FD262">
                  <w:pPr>
                    <w:jc w:val="center"/>
                    <w:rPr>
                      <w:rFonts w:hint="default" w:ascii="Times New Roman" w:hAnsi="Times New Roman" w:eastAsia="仿宋" w:cs="Times New Roman"/>
                      <w:color w:val="auto"/>
                      <w:sz w:val="21"/>
                      <w:szCs w:val="21"/>
                      <w:vertAlign w:val="baseline"/>
                    </w:rPr>
                  </w:pPr>
                </w:p>
              </w:tc>
              <w:tc>
                <w:tcPr>
                  <w:tcW w:w="747" w:type="pct"/>
                  <w:shd w:val="clear" w:color="auto" w:fill="auto"/>
                  <w:vAlign w:val="center"/>
                </w:tcPr>
                <w:p w14:paraId="6FEAE48B">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总磷</w:t>
                  </w:r>
                </w:p>
              </w:tc>
              <w:tc>
                <w:tcPr>
                  <w:tcW w:w="702" w:type="pct"/>
                  <w:vAlign w:val="center"/>
                </w:tcPr>
                <w:p w14:paraId="4CA8112E">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0.67</w:t>
                  </w:r>
                </w:p>
              </w:tc>
              <w:tc>
                <w:tcPr>
                  <w:tcW w:w="738" w:type="pct"/>
                  <w:vMerge w:val="continue"/>
                  <w:vAlign w:val="center"/>
                </w:tcPr>
                <w:p w14:paraId="03C66FA8">
                  <w:pPr>
                    <w:jc w:val="center"/>
                    <w:rPr>
                      <w:rFonts w:hint="default" w:ascii="Times New Roman" w:hAnsi="Times New Roman" w:eastAsia="仿宋" w:cs="Times New Roman"/>
                      <w:color w:val="auto"/>
                      <w:sz w:val="21"/>
                      <w:szCs w:val="21"/>
                      <w:vertAlign w:val="baseline"/>
                    </w:rPr>
                  </w:pPr>
                </w:p>
              </w:tc>
              <w:tc>
                <w:tcPr>
                  <w:tcW w:w="1567" w:type="dxa"/>
                  <w:vAlign w:val="center"/>
                </w:tcPr>
                <w:p w14:paraId="5EBCB69B">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0.0007236</w:t>
                  </w:r>
                </w:p>
              </w:tc>
              <w:tc>
                <w:tcPr>
                  <w:tcW w:w="1364" w:type="dxa"/>
                  <w:vAlign w:val="center"/>
                </w:tcPr>
                <w:p w14:paraId="5401AE5A">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0.00528</w:t>
                  </w:r>
                </w:p>
              </w:tc>
              <w:tc>
                <w:tcPr>
                  <w:tcW w:w="649" w:type="pct"/>
                  <w:vAlign w:val="center"/>
                </w:tcPr>
                <w:p w14:paraId="4DDC5EE4">
                  <w:pPr>
                    <w:jc w:val="center"/>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lang w:val="en-US" w:eastAsia="zh-CN"/>
                    </w:rPr>
                    <w:t>达标</w:t>
                  </w:r>
                </w:p>
              </w:tc>
            </w:tr>
            <w:tr w14:paraId="0FD760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67E59036">
                  <w:pPr>
                    <w:jc w:val="both"/>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核算公式：</w:t>
                  </w:r>
                  <w:r>
                    <w:rPr>
                      <w:rFonts w:hint="default" w:ascii="Times New Roman" w:hAnsi="Times New Roman" w:eastAsia="仿宋" w:cs="Times New Roman"/>
                      <w:color w:val="auto"/>
                      <w:szCs w:val="21"/>
                    </w:rPr>
                    <w:t>废水污染物实际排放量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t/a</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Cs w:val="21"/>
                    </w:rPr>
                    <w:t>=污染物</w:t>
                  </w:r>
                  <w:r>
                    <w:rPr>
                      <w:rFonts w:hint="default" w:ascii="Times New Roman" w:hAnsi="Times New Roman" w:eastAsia="仿宋" w:cs="Times New Roman"/>
                      <w:color w:val="auto"/>
                      <w:sz w:val="21"/>
                      <w:szCs w:val="21"/>
                      <w:lang w:val="en-US" w:eastAsia="zh-CN"/>
                    </w:rPr>
                    <w:t>排放</w:t>
                  </w:r>
                  <w:r>
                    <w:rPr>
                      <w:rFonts w:hint="default" w:ascii="Times New Roman" w:hAnsi="Times New Roman" w:eastAsia="仿宋" w:cs="Times New Roman"/>
                      <w:color w:val="auto"/>
                      <w:szCs w:val="21"/>
                    </w:rPr>
                    <w:t>浓度</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mg/L</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Cs w:val="21"/>
                    </w:rPr>
                    <w:t>*排水量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/a</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Cs w:val="21"/>
                    </w:rPr>
                    <w:t>/10</w:t>
                  </w:r>
                  <w:r>
                    <w:rPr>
                      <w:rFonts w:hint="default" w:ascii="Times New Roman" w:hAnsi="Times New Roman" w:eastAsia="仿宋" w:cs="Times New Roman"/>
                      <w:color w:val="auto"/>
                      <w:sz w:val="21"/>
                      <w:szCs w:val="21"/>
                      <w:vertAlign w:val="superscript"/>
                      <w:lang w:val="en-US" w:eastAsia="zh-CN"/>
                    </w:rPr>
                    <w:t>6</w:t>
                  </w:r>
                  <w:r>
                    <w:rPr>
                      <w:rFonts w:hint="default" w:ascii="Times New Roman" w:hAnsi="Times New Roman" w:eastAsia="仿宋" w:cs="Times New Roman"/>
                      <w:color w:val="auto"/>
                      <w:szCs w:val="21"/>
                    </w:rPr>
                    <w:t>，排水量由企业提供。</w:t>
                  </w:r>
                </w:p>
              </w:tc>
            </w:tr>
          </w:tbl>
          <w:p w14:paraId="13F20986">
            <w:pPr>
              <w:keepNext w:val="0"/>
              <w:keepLines w:val="0"/>
              <w:numPr>
                <w:ilvl w:val="0"/>
                <w:numId w:val="0"/>
              </w:numPr>
              <w:suppressLineNumbers w:val="0"/>
              <w:spacing w:before="0" w:beforeAutospacing="0" w:after="0" w:afterAutospacing="0" w:line="360" w:lineRule="auto"/>
              <w:ind w:right="0" w:rightChars="0" w:firstLine="480" w:firstLineChars="200"/>
              <w:rPr>
                <w:color w:val="auto"/>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szCs w:val="24"/>
                <w:lang w:val="en-US" w:eastAsia="zh-CN"/>
              </w:rPr>
              <w:t>废气</w:t>
            </w:r>
          </w:p>
          <w:p w14:paraId="079E1A98">
            <w:pPr>
              <w:spacing w:before="0" w:after="0" w:line="360" w:lineRule="auto"/>
              <w:ind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现有项目</w:t>
            </w:r>
            <w:r>
              <w:rPr>
                <w:rFonts w:hint="eastAsia" w:cs="Times New Roman"/>
                <w:color w:val="auto"/>
                <w:sz w:val="24"/>
                <w:lang w:val="en-US" w:eastAsia="zh-CN"/>
              </w:rPr>
              <w:t>喷粉废气经自带滤芯回收系统处理后与</w:t>
            </w:r>
            <w:r>
              <w:rPr>
                <w:rFonts w:hint="eastAsia" w:cs="Times New Roman"/>
                <w:color w:val="auto"/>
                <w:sz w:val="24"/>
                <w:szCs w:val="24"/>
                <w:vertAlign w:val="baseline"/>
                <w:lang w:val="en-US" w:eastAsia="zh-CN"/>
              </w:rPr>
              <w:t>酸洗废气、烘干固化</w:t>
            </w:r>
            <w:r>
              <w:rPr>
                <w:rFonts w:hint="eastAsia" w:ascii="Times New Roman" w:hAnsi="Times New Roman" w:eastAsia="宋体" w:cs="Times New Roman"/>
                <w:color w:val="auto"/>
                <w:sz w:val="24"/>
                <w:szCs w:val="24"/>
                <w:vertAlign w:val="baseline"/>
                <w:lang w:val="en-US" w:eastAsia="zh-CN"/>
              </w:rPr>
              <w:t>废气</w:t>
            </w:r>
            <w:r>
              <w:rPr>
                <w:rFonts w:hint="eastAsia" w:cs="Times New Roman"/>
                <w:color w:val="auto"/>
                <w:sz w:val="24"/>
                <w:szCs w:val="24"/>
                <w:vertAlign w:val="baseline"/>
                <w:lang w:val="en-US" w:eastAsia="zh-CN"/>
              </w:rPr>
              <w:t>、燃烧废气一起</w:t>
            </w:r>
            <w:r>
              <w:rPr>
                <w:rFonts w:hint="eastAsia" w:ascii="Times New Roman" w:hAnsi="Times New Roman" w:eastAsia="宋体" w:cs="Times New Roman"/>
                <w:color w:val="auto"/>
                <w:sz w:val="24"/>
                <w:szCs w:val="24"/>
                <w:vertAlign w:val="baseline"/>
                <w:lang w:val="en-US" w:eastAsia="zh-CN"/>
              </w:rPr>
              <w:t>经1套</w:t>
            </w:r>
            <w:r>
              <w:rPr>
                <w:rFonts w:hint="eastAsia" w:cs="Times New Roman"/>
                <w:color w:val="auto"/>
                <w:sz w:val="24"/>
                <w:szCs w:val="24"/>
                <w:vertAlign w:val="baseline"/>
                <w:lang w:val="en-US" w:eastAsia="zh-CN"/>
              </w:rPr>
              <w:t>“喷淋塔+干式过滤器+二级活性炭吸附”</w:t>
            </w:r>
            <w:r>
              <w:rPr>
                <w:rFonts w:hint="eastAsia" w:ascii="Times New Roman" w:hAnsi="Times New Roman" w:eastAsia="宋体" w:cs="Times New Roman"/>
                <w:color w:val="auto"/>
                <w:sz w:val="24"/>
                <w:szCs w:val="24"/>
                <w:vertAlign w:val="baseline"/>
                <w:lang w:val="en-US" w:eastAsia="zh-CN"/>
              </w:rPr>
              <w:t>设备处理后通过</w:t>
            </w:r>
            <w:r>
              <w:rPr>
                <w:rFonts w:hint="eastAsia" w:cs="Times New Roman"/>
                <w:color w:val="auto"/>
                <w:sz w:val="24"/>
                <w:szCs w:val="24"/>
                <w:vertAlign w:val="baseline"/>
                <w:lang w:val="en-US" w:eastAsia="zh-CN"/>
              </w:rPr>
              <w:t>15</w:t>
            </w:r>
            <w:r>
              <w:rPr>
                <w:rFonts w:hint="eastAsia" w:ascii="Times New Roman" w:hAnsi="Times New Roman" w:eastAsia="宋体" w:cs="Times New Roman"/>
                <w:color w:val="auto"/>
                <w:sz w:val="24"/>
                <w:szCs w:val="24"/>
                <w:vertAlign w:val="baseline"/>
                <w:lang w:val="en-US" w:eastAsia="zh-CN"/>
              </w:rPr>
              <w:t>高</w:t>
            </w:r>
            <w:r>
              <w:rPr>
                <w:rFonts w:hint="eastAsia" w:cs="Times New Roman"/>
                <w:color w:val="auto"/>
                <w:sz w:val="24"/>
                <w:szCs w:val="24"/>
                <w:vertAlign w:val="baseline"/>
                <w:lang w:val="en-US" w:eastAsia="zh-CN"/>
              </w:rPr>
              <w:t>DA001</w:t>
            </w:r>
            <w:r>
              <w:rPr>
                <w:rFonts w:hint="eastAsia" w:ascii="Times New Roman" w:hAnsi="Times New Roman" w:eastAsia="宋体" w:cs="Times New Roman"/>
                <w:color w:val="auto"/>
                <w:sz w:val="24"/>
                <w:szCs w:val="24"/>
                <w:vertAlign w:val="baseline"/>
                <w:lang w:val="en-US" w:eastAsia="zh-CN"/>
              </w:rPr>
              <w:t>排气筒排放</w:t>
            </w:r>
            <w:r>
              <w:rPr>
                <w:rFonts w:hint="eastAsia" w:cs="Times New Roman"/>
                <w:color w:val="auto"/>
                <w:sz w:val="24"/>
                <w:szCs w:val="24"/>
                <w:vertAlign w:val="baseline"/>
                <w:lang w:val="en-US" w:eastAsia="zh-CN"/>
              </w:rPr>
              <w:t>，</w:t>
            </w:r>
            <w:r>
              <w:rPr>
                <w:rFonts w:hint="eastAsia" w:cs="Times New Roman"/>
                <w:color w:val="auto"/>
                <w:sz w:val="24"/>
                <w:szCs w:val="24"/>
                <w:vertAlign w:val="baseline"/>
                <w:lang w:val="en-US" w:eastAsia="zh-CN"/>
              </w:rPr>
              <w:t>未收集到的废气在车间无组织排放。</w:t>
            </w:r>
          </w:p>
          <w:p w14:paraId="5F52693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废气产生及治理排放情况</w:t>
            </w:r>
          </w:p>
          <w:tbl>
            <w:tblPr>
              <w:tblStyle w:val="21"/>
              <w:tblW w:w="9281"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3120"/>
              <w:gridCol w:w="1605"/>
              <w:gridCol w:w="1575"/>
              <w:gridCol w:w="1347"/>
            </w:tblGrid>
            <w:tr w14:paraId="723BAB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34" w:type="dxa"/>
                  <w:vAlign w:val="center"/>
                </w:tcPr>
                <w:p w14:paraId="4D9DC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产物类别</w:t>
                  </w:r>
                </w:p>
              </w:tc>
              <w:tc>
                <w:tcPr>
                  <w:tcW w:w="3120" w:type="dxa"/>
                  <w:vAlign w:val="center"/>
                </w:tcPr>
                <w:p w14:paraId="51FF3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污染因子</w:t>
                  </w:r>
                </w:p>
              </w:tc>
              <w:tc>
                <w:tcPr>
                  <w:tcW w:w="3180" w:type="dxa"/>
                  <w:gridSpan w:val="2"/>
                  <w:vAlign w:val="center"/>
                </w:tcPr>
                <w:p w14:paraId="7FAC5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治理措施</w:t>
                  </w:r>
                </w:p>
              </w:tc>
              <w:tc>
                <w:tcPr>
                  <w:tcW w:w="1347" w:type="dxa"/>
                  <w:vAlign w:val="center"/>
                </w:tcPr>
                <w:p w14:paraId="435FE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排放去向</w:t>
                  </w:r>
                </w:p>
              </w:tc>
            </w:tr>
            <w:tr w14:paraId="5198D4A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34" w:type="dxa"/>
                  <w:vAlign w:val="center"/>
                </w:tcPr>
                <w:p w14:paraId="1E0B4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喷粉废气</w:t>
                  </w:r>
                </w:p>
              </w:tc>
              <w:tc>
                <w:tcPr>
                  <w:tcW w:w="3120" w:type="dxa"/>
                  <w:vAlign w:val="center"/>
                </w:tcPr>
                <w:p w14:paraId="32485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颗粒物</w:t>
                  </w:r>
                </w:p>
              </w:tc>
              <w:tc>
                <w:tcPr>
                  <w:tcW w:w="1605" w:type="dxa"/>
                  <w:vAlign w:val="center"/>
                </w:tcPr>
                <w:p w14:paraId="2FFB7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滤芯回收系统</w:t>
                  </w:r>
                </w:p>
              </w:tc>
              <w:tc>
                <w:tcPr>
                  <w:tcW w:w="1575" w:type="dxa"/>
                  <w:vMerge w:val="restart"/>
                  <w:vAlign w:val="center"/>
                </w:tcPr>
                <w:p w14:paraId="1642F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喷淋塔+干式过滤器+二级活性炭吸附</w:t>
                  </w:r>
                </w:p>
              </w:tc>
              <w:tc>
                <w:tcPr>
                  <w:tcW w:w="1347" w:type="dxa"/>
                  <w:vMerge w:val="restart"/>
                  <w:vAlign w:val="center"/>
                </w:tcPr>
                <w:p w14:paraId="5EED2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w:t>
                  </w:r>
                  <w:r>
                    <w:rPr>
                      <w:rFonts w:hint="default" w:ascii="Times New Roman" w:hAnsi="Times New Roman" w:eastAsia="仿宋" w:cs="Times New Roman"/>
                      <w:color w:val="auto"/>
                      <w:sz w:val="21"/>
                      <w:szCs w:val="21"/>
                      <w:vertAlign w:val="baseline"/>
                      <w:lang w:val="en-US" w:eastAsia="zh-CN"/>
                    </w:rPr>
                    <w:t>5米高</w:t>
                  </w:r>
                  <w:r>
                    <w:rPr>
                      <w:rFonts w:hint="eastAsia" w:eastAsia="仿宋" w:cs="Times New Roman"/>
                      <w:color w:val="auto"/>
                      <w:sz w:val="21"/>
                      <w:szCs w:val="21"/>
                      <w:vertAlign w:val="baseline"/>
                      <w:lang w:val="en-US" w:eastAsia="zh-CN"/>
                    </w:rPr>
                    <w:t>DA001</w:t>
                  </w:r>
                  <w:r>
                    <w:rPr>
                      <w:rFonts w:hint="default" w:ascii="Times New Roman" w:hAnsi="Times New Roman" w:eastAsia="仿宋" w:cs="Times New Roman"/>
                      <w:color w:val="auto"/>
                      <w:sz w:val="21"/>
                      <w:szCs w:val="21"/>
                      <w:vertAlign w:val="baseline"/>
                      <w:lang w:val="en-US" w:eastAsia="zh-CN"/>
                    </w:rPr>
                    <w:t>排气筒排放</w:t>
                  </w:r>
                </w:p>
              </w:tc>
            </w:tr>
            <w:tr w14:paraId="69AC14F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34" w:type="dxa"/>
                  <w:vAlign w:val="center"/>
                </w:tcPr>
                <w:p w14:paraId="4A0AD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酸雾</w:t>
                  </w:r>
                </w:p>
              </w:tc>
              <w:tc>
                <w:tcPr>
                  <w:tcW w:w="3120" w:type="dxa"/>
                  <w:vAlign w:val="center"/>
                </w:tcPr>
                <w:p w14:paraId="4BEB6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硫酸雾、氯化氢</w:t>
                  </w:r>
                </w:p>
              </w:tc>
              <w:tc>
                <w:tcPr>
                  <w:tcW w:w="1605" w:type="dxa"/>
                  <w:vAlign w:val="center"/>
                </w:tcPr>
                <w:p w14:paraId="1A1F2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75" w:type="dxa"/>
                  <w:vMerge w:val="continue"/>
                  <w:vAlign w:val="center"/>
                </w:tcPr>
                <w:p w14:paraId="2A0FB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47" w:type="dxa"/>
                  <w:vMerge w:val="continue"/>
                  <w:vAlign w:val="center"/>
                </w:tcPr>
                <w:p w14:paraId="2EFBE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4A3DA5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34" w:type="dxa"/>
                  <w:vAlign w:val="center"/>
                </w:tcPr>
                <w:p w14:paraId="49B24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固化烘干废气</w:t>
                  </w:r>
                </w:p>
              </w:tc>
              <w:tc>
                <w:tcPr>
                  <w:tcW w:w="3120" w:type="dxa"/>
                  <w:vAlign w:val="center"/>
                </w:tcPr>
                <w:p w14:paraId="0D744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605" w:type="dxa"/>
                  <w:vAlign w:val="center"/>
                </w:tcPr>
                <w:p w14:paraId="6970A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75" w:type="dxa"/>
                  <w:vMerge w:val="continue"/>
                  <w:vAlign w:val="center"/>
                </w:tcPr>
                <w:p w14:paraId="178A4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47" w:type="dxa"/>
                  <w:vMerge w:val="continue"/>
                  <w:vAlign w:val="center"/>
                </w:tcPr>
                <w:p w14:paraId="74944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r w14:paraId="2D48FD9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34" w:type="dxa"/>
                  <w:vAlign w:val="center"/>
                </w:tcPr>
                <w:p w14:paraId="501F3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燃烧废气</w:t>
                  </w:r>
                </w:p>
              </w:tc>
              <w:tc>
                <w:tcPr>
                  <w:tcW w:w="3120" w:type="dxa"/>
                  <w:vAlign w:val="center"/>
                </w:tcPr>
                <w:p w14:paraId="43422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颗粒物、二氧化硫、氮氧化物</w:t>
                  </w:r>
                </w:p>
              </w:tc>
              <w:tc>
                <w:tcPr>
                  <w:tcW w:w="1605" w:type="dxa"/>
                  <w:vAlign w:val="center"/>
                </w:tcPr>
                <w:p w14:paraId="3A07C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75" w:type="dxa"/>
                  <w:vMerge w:val="continue"/>
                  <w:vAlign w:val="center"/>
                </w:tcPr>
                <w:p w14:paraId="045D8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1347" w:type="dxa"/>
                  <w:vMerge w:val="continue"/>
                  <w:vAlign w:val="center"/>
                </w:tcPr>
                <w:p w14:paraId="0018F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r>
          </w:tbl>
          <w:p w14:paraId="198392A7">
            <w:pPr>
              <w:spacing w:before="0" w:after="0" w:line="360" w:lineRule="auto"/>
              <w:ind w:right="0" w:firstLine="480" w:firstLineChars="200"/>
              <w:rPr>
                <w:rFonts w:hint="eastAsia"/>
                <w:color w:val="auto"/>
                <w:lang w:eastAsia="zh-CN"/>
              </w:rPr>
            </w:pPr>
            <w:r>
              <w:rPr>
                <w:rFonts w:hint="eastAsia" w:ascii="Times New Roman" w:hAnsi="Times New Roman"/>
                <w:color w:val="auto"/>
                <w:sz w:val="24"/>
                <w:szCs w:val="24"/>
              </w:rPr>
              <w:t>现有项目各</w:t>
            </w:r>
            <w:r>
              <w:rPr>
                <w:rFonts w:hint="eastAsia"/>
                <w:color w:val="auto"/>
                <w:sz w:val="24"/>
                <w:szCs w:val="24"/>
                <w:lang w:val="en-US" w:eastAsia="zh-CN"/>
              </w:rPr>
              <w:t>废气</w:t>
            </w:r>
            <w:r>
              <w:rPr>
                <w:rFonts w:hint="eastAsia" w:ascii="Times New Roman" w:hAnsi="Times New Roman"/>
                <w:color w:val="auto"/>
                <w:sz w:val="24"/>
                <w:szCs w:val="24"/>
              </w:rPr>
              <w:t>处理设施均正常运行，</w:t>
            </w:r>
            <w:r>
              <w:rPr>
                <w:rFonts w:hint="eastAsia"/>
                <w:color w:val="auto"/>
                <w:sz w:val="24"/>
                <w:szCs w:val="24"/>
                <w:lang w:val="en-US" w:eastAsia="zh-CN"/>
              </w:rPr>
              <w:t>本次引用企业例行检测（2025）环检（QZ）字第（25061823）号中相关数据，具体数据如下</w:t>
            </w:r>
            <w:r>
              <w:rPr>
                <w:rFonts w:hint="eastAsia" w:ascii="Times New Roman" w:hAnsi="Times New Roman"/>
                <w:color w:val="auto"/>
                <w:sz w:val="24"/>
                <w:szCs w:val="24"/>
                <w:lang w:eastAsia="zh-CN"/>
              </w:rPr>
              <w:t>。</w:t>
            </w:r>
          </w:p>
          <w:p w14:paraId="30785548">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现有项目有组织废气检测结果一览表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00"/>
              <w:gridCol w:w="1466"/>
              <w:gridCol w:w="1142"/>
              <w:gridCol w:w="1139"/>
              <w:gridCol w:w="914"/>
              <w:gridCol w:w="914"/>
              <w:gridCol w:w="802"/>
              <w:gridCol w:w="802"/>
            </w:tblGrid>
            <w:tr w14:paraId="3259103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restart"/>
                  <w:tcBorders>
                    <w:tl2br w:val="nil"/>
                    <w:tr2bl w:val="nil"/>
                  </w:tcBorders>
                  <w:noWrap w:val="0"/>
                  <w:vAlign w:val="center"/>
                </w:tcPr>
                <w:p w14:paraId="565F0DDF">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检测点位</w:t>
                  </w:r>
                </w:p>
              </w:tc>
              <w:tc>
                <w:tcPr>
                  <w:tcW w:w="1200" w:type="dxa"/>
                  <w:vMerge w:val="restart"/>
                  <w:tcBorders>
                    <w:tl2br w:val="nil"/>
                    <w:tr2bl w:val="nil"/>
                  </w:tcBorders>
                  <w:noWrap w:val="0"/>
                  <w:vAlign w:val="center"/>
                </w:tcPr>
                <w:p w14:paraId="5AFD5A7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检测时间</w:t>
                  </w:r>
                </w:p>
              </w:tc>
              <w:tc>
                <w:tcPr>
                  <w:tcW w:w="2608" w:type="dxa"/>
                  <w:gridSpan w:val="2"/>
                  <w:vMerge w:val="restart"/>
                  <w:tcBorders>
                    <w:tl2br w:val="nil"/>
                    <w:tr2bl w:val="nil"/>
                  </w:tcBorders>
                  <w:noWrap w:val="0"/>
                  <w:vAlign w:val="center"/>
                </w:tcPr>
                <w:p w14:paraId="479E5DAA">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检测项目</w:t>
                  </w:r>
                </w:p>
              </w:tc>
              <w:tc>
                <w:tcPr>
                  <w:tcW w:w="2967" w:type="dxa"/>
                  <w:gridSpan w:val="3"/>
                  <w:tcBorders>
                    <w:tl2br w:val="nil"/>
                    <w:tr2bl w:val="nil"/>
                  </w:tcBorders>
                  <w:noWrap w:val="0"/>
                  <w:vAlign w:val="center"/>
                </w:tcPr>
                <w:p w14:paraId="0A0500A4">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检测结果</w:t>
                  </w:r>
                </w:p>
              </w:tc>
              <w:tc>
                <w:tcPr>
                  <w:tcW w:w="802" w:type="dxa"/>
                  <w:vMerge w:val="restart"/>
                  <w:tcBorders>
                    <w:tl2br w:val="nil"/>
                    <w:tr2bl w:val="nil"/>
                  </w:tcBorders>
                  <w:noWrap w:val="0"/>
                  <w:vAlign w:val="center"/>
                </w:tcPr>
                <w:p w14:paraId="2C15A85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标准限值</w:t>
                  </w:r>
                </w:p>
              </w:tc>
              <w:tc>
                <w:tcPr>
                  <w:tcW w:w="802" w:type="dxa"/>
                  <w:vMerge w:val="restart"/>
                  <w:tcBorders>
                    <w:tl2br w:val="nil"/>
                    <w:tr2bl w:val="nil"/>
                  </w:tcBorders>
                  <w:noWrap w:val="0"/>
                  <w:vAlign w:val="center"/>
                </w:tcPr>
                <w:p w14:paraId="11F60E83">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评价</w:t>
                  </w:r>
                </w:p>
              </w:tc>
            </w:tr>
            <w:tr w14:paraId="7DB898E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14F16E88">
                  <w:pPr>
                    <w:jc w:val="center"/>
                    <w:rPr>
                      <w:color w:val="auto"/>
                    </w:rPr>
                  </w:pPr>
                </w:p>
              </w:tc>
              <w:tc>
                <w:tcPr>
                  <w:tcW w:w="1200" w:type="dxa"/>
                  <w:vMerge w:val="continue"/>
                  <w:tcBorders>
                    <w:tl2br w:val="nil"/>
                    <w:tr2bl w:val="nil"/>
                  </w:tcBorders>
                  <w:noWrap w:val="0"/>
                  <w:vAlign w:val="center"/>
                </w:tcPr>
                <w:p w14:paraId="74BFE5B4">
                  <w:pPr>
                    <w:jc w:val="center"/>
                    <w:rPr>
                      <w:color w:val="auto"/>
                    </w:rPr>
                  </w:pPr>
                </w:p>
              </w:tc>
              <w:tc>
                <w:tcPr>
                  <w:tcW w:w="2608" w:type="dxa"/>
                  <w:gridSpan w:val="2"/>
                  <w:vMerge w:val="continue"/>
                  <w:tcBorders>
                    <w:tl2br w:val="nil"/>
                    <w:tr2bl w:val="nil"/>
                  </w:tcBorders>
                  <w:noWrap w:val="0"/>
                  <w:vAlign w:val="center"/>
                </w:tcPr>
                <w:p w14:paraId="2163E9E0">
                  <w:pPr>
                    <w:jc w:val="center"/>
                    <w:rPr>
                      <w:color w:val="auto"/>
                    </w:rPr>
                  </w:pPr>
                </w:p>
              </w:tc>
              <w:tc>
                <w:tcPr>
                  <w:tcW w:w="1139" w:type="dxa"/>
                  <w:tcBorders>
                    <w:tl2br w:val="nil"/>
                    <w:tr2bl w:val="nil"/>
                  </w:tcBorders>
                  <w:noWrap w:val="0"/>
                  <w:vAlign w:val="center"/>
                </w:tcPr>
                <w:p w14:paraId="6F522C4F">
                  <w:pPr>
                    <w:jc w:val="center"/>
                    <w:rPr>
                      <w:rFonts w:hint="eastAsia"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第一次</w:t>
                  </w:r>
                </w:p>
              </w:tc>
              <w:tc>
                <w:tcPr>
                  <w:tcW w:w="914" w:type="dxa"/>
                  <w:tcBorders>
                    <w:tl2br w:val="nil"/>
                    <w:tr2bl w:val="nil"/>
                  </w:tcBorders>
                  <w:noWrap w:val="0"/>
                  <w:vAlign w:val="center"/>
                </w:tcPr>
                <w:p w14:paraId="67A58CA4">
                  <w:pPr>
                    <w:jc w:val="center"/>
                    <w:rPr>
                      <w:rFonts w:hint="eastAsia"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第二次</w:t>
                  </w:r>
                </w:p>
              </w:tc>
              <w:tc>
                <w:tcPr>
                  <w:tcW w:w="914" w:type="dxa"/>
                  <w:tcBorders>
                    <w:tl2br w:val="nil"/>
                    <w:tr2bl w:val="nil"/>
                  </w:tcBorders>
                  <w:noWrap w:val="0"/>
                  <w:vAlign w:val="center"/>
                </w:tcPr>
                <w:p w14:paraId="5B5321F9">
                  <w:pPr>
                    <w:jc w:val="center"/>
                    <w:rPr>
                      <w:rFonts w:hint="eastAsia"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第三次</w:t>
                  </w:r>
                </w:p>
              </w:tc>
              <w:tc>
                <w:tcPr>
                  <w:tcW w:w="802" w:type="dxa"/>
                  <w:vMerge w:val="continue"/>
                  <w:tcBorders>
                    <w:tl2br w:val="nil"/>
                    <w:tr2bl w:val="nil"/>
                  </w:tcBorders>
                  <w:noWrap w:val="0"/>
                  <w:vAlign w:val="center"/>
                </w:tcPr>
                <w:p w14:paraId="23AB2272">
                  <w:pPr>
                    <w:jc w:val="center"/>
                    <w:rPr>
                      <w:rFonts w:hint="default" w:ascii="Times New Roman" w:hAnsi="Times New Roman" w:eastAsia="仿宋" w:cs="Times New Roman"/>
                      <w:b/>
                      <w:bCs/>
                      <w:color w:val="auto"/>
                      <w:sz w:val="21"/>
                      <w:szCs w:val="21"/>
                    </w:rPr>
                  </w:pPr>
                </w:p>
              </w:tc>
              <w:tc>
                <w:tcPr>
                  <w:tcW w:w="802" w:type="dxa"/>
                  <w:vMerge w:val="continue"/>
                  <w:tcBorders>
                    <w:tl2br w:val="nil"/>
                    <w:tr2bl w:val="nil"/>
                  </w:tcBorders>
                  <w:noWrap w:val="0"/>
                  <w:vAlign w:val="center"/>
                </w:tcPr>
                <w:p w14:paraId="01691C7C">
                  <w:pPr>
                    <w:jc w:val="center"/>
                    <w:rPr>
                      <w:rFonts w:hint="default" w:ascii="Times New Roman" w:hAnsi="Times New Roman" w:eastAsia="仿宋" w:cs="Times New Roman"/>
                      <w:b/>
                      <w:bCs/>
                      <w:color w:val="auto"/>
                      <w:sz w:val="21"/>
                      <w:szCs w:val="21"/>
                    </w:rPr>
                  </w:pPr>
                </w:p>
              </w:tc>
            </w:tr>
            <w:tr w14:paraId="220B158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restart"/>
                  <w:tcBorders>
                    <w:tl2br w:val="nil"/>
                    <w:tr2bl w:val="nil"/>
                  </w:tcBorders>
                  <w:noWrap w:val="0"/>
                  <w:vAlign w:val="center"/>
                </w:tcPr>
                <w:p w14:paraId="0945FF3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DA001出口</w:t>
                  </w:r>
                </w:p>
              </w:tc>
              <w:tc>
                <w:tcPr>
                  <w:tcW w:w="1200" w:type="dxa"/>
                  <w:vMerge w:val="restart"/>
                  <w:tcBorders>
                    <w:tl2br w:val="nil"/>
                    <w:tr2bl w:val="nil"/>
                  </w:tcBorders>
                  <w:noWrap w:val="0"/>
                  <w:vAlign w:val="center"/>
                </w:tcPr>
                <w:p w14:paraId="0DAC3504">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202</w:t>
                  </w:r>
                  <w:r>
                    <w:rPr>
                      <w:rFonts w:hint="eastAsia" w:eastAsia="仿宋" w:cs="Times New Roman"/>
                      <w:color w:val="auto"/>
                      <w:sz w:val="21"/>
                      <w:szCs w:val="21"/>
                      <w:lang w:val="en-US" w:eastAsia="zh-CN"/>
                    </w:rPr>
                    <w:t>5.6.18</w:t>
                  </w:r>
                </w:p>
              </w:tc>
              <w:tc>
                <w:tcPr>
                  <w:tcW w:w="1466" w:type="dxa"/>
                  <w:tcBorders>
                    <w:tl2br w:val="nil"/>
                    <w:tr2bl w:val="nil"/>
                  </w:tcBorders>
                  <w:noWrap w:val="0"/>
                  <w:vAlign w:val="center"/>
                </w:tcPr>
                <w:p w14:paraId="1849D46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颗粒物</w:t>
                  </w:r>
                </w:p>
              </w:tc>
              <w:tc>
                <w:tcPr>
                  <w:tcW w:w="1142" w:type="dxa"/>
                  <w:vMerge w:val="restart"/>
                  <w:tcBorders>
                    <w:tl2br w:val="nil"/>
                    <w:tr2bl w:val="nil"/>
                  </w:tcBorders>
                  <w:noWrap w:val="0"/>
                  <w:vAlign w:val="center"/>
                </w:tcPr>
                <w:p w14:paraId="2EE326E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排放浓度（mg/m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139" w:type="dxa"/>
                  <w:tcBorders>
                    <w:tl2br w:val="nil"/>
                    <w:tr2bl w:val="nil"/>
                  </w:tcBorders>
                  <w:noWrap w:val="0"/>
                  <w:vAlign w:val="center"/>
                </w:tcPr>
                <w:p w14:paraId="704905F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1.8</w:t>
                  </w:r>
                </w:p>
              </w:tc>
              <w:tc>
                <w:tcPr>
                  <w:tcW w:w="914" w:type="dxa"/>
                  <w:tcBorders>
                    <w:tl2br w:val="nil"/>
                    <w:tr2bl w:val="nil"/>
                  </w:tcBorders>
                  <w:noWrap w:val="0"/>
                  <w:vAlign w:val="center"/>
                </w:tcPr>
                <w:p w14:paraId="2AD0588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1.6</w:t>
                  </w:r>
                </w:p>
              </w:tc>
              <w:tc>
                <w:tcPr>
                  <w:tcW w:w="914" w:type="dxa"/>
                  <w:tcBorders>
                    <w:tl2br w:val="nil"/>
                    <w:tr2bl w:val="nil"/>
                  </w:tcBorders>
                  <w:noWrap w:val="0"/>
                  <w:vAlign w:val="center"/>
                </w:tcPr>
                <w:p w14:paraId="6A92EB5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1.7</w:t>
                  </w:r>
                </w:p>
              </w:tc>
              <w:tc>
                <w:tcPr>
                  <w:tcW w:w="802" w:type="dxa"/>
                  <w:tcBorders>
                    <w:tl2br w:val="nil"/>
                    <w:tr2bl w:val="nil"/>
                  </w:tcBorders>
                  <w:noWrap w:val="0"/>
                  <w:vAlign w:val="center"/>
                </w:tcPr>
                <w:p w14:paraId="54E39C4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802" w:type="dxa"/>
                  <w:tcBorders>
                    <w:tl2br w:val="nil"/>
                    <w:tr2bl w:val="nil"/>
                  </w:tcBorders>
                  <w:noWrap w:val="0"/>
                  <w:vAlign w:val="center"/>
                </w:tcPr>
                <w:p w14:paraId="3EBF93A4">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达标</w:t>
                  </w:r>
                </w:p>
              </w:tc>
            </w:tr>
            <w:tr w14:paraId="5ADDBC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09801300">
                  <w:pPr>
                    <w:jc w:val="center"/>
                    <w:rPr>
                      <w:rFonts w:hint="default" w:ascii="Times New Roman" w:hAnsi="Times New Roman" w:eastAsia="仿宋" w:cs="Times New Roman"/>
                      <w:color w:val="auto"/>
                      <w:sz w:val="21"/>
                      <w:szCs w:val="21"/>
                    </w:rPr>
                  </w:pPr>
                </w:p>
              </w:tc>
              <w:tc>
                <w:tcPr>
                  <w:tcW w:w="1200" w:type="dxa"/>
                  <w:vMerge w:val="continue"/>
                  <w:tcBorders>
                    <w:tl2br w:val="nil"/>
                    <w:tr2bl w:val="nil"/>
                  </w:tcBorders>
                  <w:noWrap w:val="0"/>
                  <w:vAlign w:val="center"/>
                </w:tcPr>
                <w:p w14:paraId="0C2C06DE">
                  <w:pPr>
                    <w:jc w:val="center"/>
                    <w:rPr>
                      <w:rFonts w:hint="default" w:ascii="Times New Roman" w:hAnsi="Times New Roman" w:eastAsia="仿宋" w:cs="Times New Roman"/>
                      <w:color w:val="auto"/>
                      <w:sz w:val="21"/>
                      <w:szCs w:val="21"/>
                    </w:rPr>
                  </w:pPr>
                </w:p>
              </w:tc>
              <w:tc>
                <w:tcPr>
                  <w:tcW w:w="1466" w:type="dxa"/>
                  <w:tcBorders>
                    <w:tl2br w:val="nil"/>
                    <w:tr2bl w:val="nil"/>
                  </w:tcBorders>
                  <w:noWrap w:val="0"/>
                  <w:vAlign w:val="center"/>
                </w:tcPr>
                <w:p w14:paraId="021C25EF">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非甲烷总烃</w:t>
                  </w:r>
                </w:p>
              </w:tc>
              <w:tc>
                <w:tcPr>
                  <w:tcW w:w="1142" w:type="dxa"/>
                  <w:vMerge w:val="continue"/>
                  <w:tcBorders>
                    <w:tl2br w:val="nil"/>
                    <w:tr2bl w:val="nil"/>
                  </w:tcBorders>
                  <w:noWrap w:val="0"/>
                  <w:vAlign w:val="center"/>
                </w:tcPr>
                <w:p w14:paraId="46597F2C">
                  <w:pPr>
                    <w:jc w:val="center"/>
                    <w:rPr>
                      <w:rFonts w:hint="default" w:ascii="Times New Roman" w:hAnsi="Times New Roman" w:eastAsia="仿宋" w:cs="Times New Roman"/>
                      <w:color w:val="auto"/>
                      <w:sz w:val="21"/>
                      <w:szCs w:val="21"/>
                    </w:rPr>
                  </w:pPr>
                </w:p>
              </w:tc>
              <w:tc>
                <w:tcPr>
                  <w:tcW w:w="1139" w:type="dxa"/>
                  <w:tcBorders>
                    <w:tl2br w:val="nil"/>
                    <w:tr2bl w:val="nil"/>
                  </w:tcBorders>
                  <w:noWrap w:val="0"/>
                  <w:vAlign w:val="center"/>
                </w:tcPr>
                <w:p w14:paraId="159F18E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1.67</w:t>
                  </w:r>
                </w:p>
              </w:tc>
              <w:tc>
                <w:tcPr>
                  <w:tcW w:w="914" w:type="dxa"/>
                  <w:tcBorders>
                    <w:tl2br w:val="nil"/>
                    <w:tr2bl w:val="nil"/>
                  </w:tcBorders>
                  <w:noWrap w:val="0"/>
                  <w:vAlign w:val="center"/>
                </w:tcPr>
                <w:p w14:paraId="22E8FC3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1.63</w:t>
                  </w:r>
                </w:p>
              </w:tc>
              <w:tc>
                <w:tcPr>
                  <w:tcW w:w="914" w:type="dxa"/>
                  <w:tcBorders>
                    <w:tl2br w:val="nil"/>
                    <w:tr2bl w:val="nil"/>
                  </w:tcBorders>
                  <w:noWrap w:val="0"/>
                  <w:vAlign w:val="center"/>
                </w:tcPr>
                <w:p w14:paraId="73B5E1C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1.61</w:t>
                  </w:r>
                </w:p>
              </w:tc>
              <w:tc>
                <w:tcPr>
                  <w:tcW w:w="802" w:type="dxa"/>
                  <w:tcBorders>
                    <w:tl2br w:val="nil"/>
                    <w:tr2bl w:val="nil"/>
                  </w:tcBorders>
                  <w:noWrap w:val="0"/>
                  <w:vAlign w:val="center"/>
                </w:tcPr>
                <w:p w14:paraId="38CD56F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40</w:t>
                  </w:r>
                </w:p>
              </w:tc>
              <w:tc>
                <w:tcPr>
                  <w:tcW w:w="802" w:type="dxa"/>
                  <w:tcBorders>
                    <w:tl2br w:val="nil"/>
                    <w:tr2bl w:val="nil"/>
                  </w:tcBorders>
                  <w:noWrap w:val="0"/>
                  <w:vAlign w:val="center"/>
                </w:tcPr>
                <w:p w14:paraId="4B843CEF">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达标</w:t>
                  </w:r>
                </w:p>
              </w:tc>
            </w:tr>
            <w:tr w14:paraId="063E465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3111054B">
                  <w:pPr>
                    <w:jc w:val="center"/>
                    <w:rPr>
                      <w:rFonts w:hint="default" w:ascii="Times New Roman" w:hAnsi="Times New Roman" w:eastAsia="仿宋" w:cs="Times New Roman"/>
                      <w:color w:val="auto"/>
                      <w:sz w:val="21"/>
                      <w:szCs w:val="21"/>
                    </w:rPr>
                  </w:pPr>
                </w:p>
              </w:tc>
              <w:tc>
                <w:tcPr>
                  <w:tcW w:w="1200" w:type="dxa"/>
                  <w:vMerge w:val="continue"/>
                  <w:tcBorders>
                    <w:tl2br w:val="nil"/>
                    <w:tr2bl w:val="nil"/>
                  </w:tcBorders>
                  <w:noWrap w:val="0"/>
                  <w:vAlign w:val="center"/>
                </w:tcPr>
                <w:p w14:paraId="66D62DA0">
                  <w:pPr>
                    <w:jc w:val="center"/>
                    <w:rPr>
                      <w:rFonts w:hint="default" w:ascii="Times New Roman" w:hAnsi="Times New Roman" w:eastAsia="仿宋" w:cs="Times New Roman"/>
                      <w:color w:val="auto"/>
                      <w:sz w:val="21"/>
                      <w:szCs w:val="21"/>
                    </w:rPr>
                  </w:pPr>
                </w:p>
              </w:tc>
              <w:tc>
                <w:tcPr>
                  <w:tcW w:w="1466" w:type="dxa"/>
                  <w:tcBorders>
                    <w:tl2br w:val="nil"/>
                    <w:tr2bl w:val="nil"/>
                  </w:tcBorders>
                  <w:noWrap w:val="0"/>
                  <w:vAlign w:val="center"/>
                </w:tcPr>
                <w:p w14:paraId="19E5048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二氧化硫</w:t>
                  </w:r>
                </w:p>
              </w:tc>
              <w:tc>
                <w:tcPr>
                  <w:tcW w:w="1142" w:type="dxa"/>
                  <w:vMerge w:val="continue"/>
                  <w:tcBorders>
                    <w:tl2br w:val="nil"/>
                    <w:tr2bl w:val="nil"/>
                  </w:tcBorders>
                  <w:noWrap w:val="0"/>
                  <w:vAlign w:val="center"/>
                </w:tcPr>
                <w:p w14:paraId="013AFD52">
                  <w:pPr>
                    <w:jc w:val="center"/>
                    <w:rPr>
                      <w:rFonts w:hint="default" w:ascii="Times New Roman" w:hAnsi="Times New Roman" w:eastAsia="仿宋" w:cs="Times New Roman"/>
                      <w:color w:val="auto"/>
                      <w:sz w:val="21"/>
                      <w:szCs w:val="21"/>
                    </w:rPr>
                  </w:pPr>
                </w:p>
              </w:tc>
              <w:tc>
                <w:tcPr>
                  <w:tcW w:w="1139" w:type="dxa"/>
                  <w:tcBorders>
                    <w:tl2br w:val="nil"/>
                    <w:tr2bl w:val="nil"/>
                  </w:tcBorders>
                  <w:noWrap w:val="0"/>
                  <w:vAlign w:val="center"/>
                </w:tcPr>
                <w:p w14:paraId="1F4DF137">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0452D8E2">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182D4D84">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ND</w:t>
                  </w:r>
                </w:p>
              </w:tc>
              <w:tc>
                <w:tcPr>
                  <w:tcW w:w="802" w:type="dxa"/>
                  <w:tcBorders>
                    <w:tl2br w:val="nil"/>
                    <w:tr2bl w:val="nil"/>
                  </w:tcBorders>
                  <w:noWrap w:val="0"/>
                  <w:vAlign w:val="center"/>
                </w:tcPr>
                <w:p w14:paraId="732A811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80</w:t>
                  </w:r>
                </w:p>
              </w:tc>
              <w:tc>
                <w:tcPr>
                  <w:tcW w:w="802" w:type="dxa"/>
                  <w:tcBorders>
                    <w:tl2br w:val="nil"/>
                    <w:tr2bl w:val="nil"/>
                  </w:tcBorders>
                  <w:noWrap w:val="0"/>
                  <w:vAlign w:val="center"/>
                </w:tcPr>
                <w:p w14:paraId="1CAF9442">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达标</w:t>
                  </w:r>
                </w:p>
              </w:tc>
            </w:tr>
            <w:tr w14:paraId="2ABB211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718DFC5F">
                  <w:pPr>
                    <w:jc w:val="center"/>
                    <w:rPr>
                      <w:rFonts w:hint="default" w:ascii="Times New Roman" w:hAnsi="Times New Roman" w:eastAsia="仿宋" w:cs="Times New Roman"/>
                      <w:color w:val="auto"/>
                      <w:sz w:val="21"/>
                      <w:szCs w:val="21"/>
                    </w:rPr>
                  </w:pPr>
                </w:p>
              </w:tc>
              <w:tc>
                <w:tcPr>
                  <w:tcW w:w="1200" w:type="dxa"/>
                  <w:vMerge w:val="continue"/>
                  <w:tcBorders>
                    <w:tl2br w:val="nil"/>
                    <w:tr2bl w:val="nil"/>
                  </w:tcBorders>
                  <w:noWrap w:val="0"/>
                  <w:vAlign w:val="center"/>
                </w:tcPr>
                <w:p w14:paraId="731CEFB6">
                  <w:pPr>
                    <w:jc w:val="center"/>
                    <w:rPr>
                      <w:rFonts w:hint="default" w:ascii="Times New Roman" w:hAnsi="Times New Roman" w:eastAsia="仿宋" w:cs="Times New Roman"/>
                      <w:color w:val="auto"/>
                      <w:sz w:val="21"/>
                      <w:szCs w:val="21"/>
                    </w:rPr>
                  </w:pPr>
                </w:p>
              </w:tc>
              <w:tc>
                <w:tcPr>
                  <w:tcW w:w="1466" w:type="dxa"/>
                  <w:tcBorders>
                    <w:tl2br w:val="nil"/>
                    <w:tr2bl w:val="nil"/>
                  </w:tcBorders>
                  <w:shd w:val="clear" w:color="auto" w:fill="auto"/>
                  <w:noWrap w:val="0"/>
                  <w:vAlign w:val="center"/>
                </w:tcPr>
                <w:p w14:paraId="3BD7A4E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氮氧化物</w:t>
                  </w:r>
                </w:p>
              </w:tc>
              <w:tc>
                <w:tcPr>
                  <w:tcW w:w="1142" w:type="dxa"/>
                  <w:vMerge w:val="continue"/>
                  <w:tcBorders>
                    <w:tl2br w:val="nil"/>
                    <w:tr2bl w:val="nil"/>
                  </w:tcBorders>
                  <w:noWrap w:val="0"/>
                  <w:vAlign w:val="center"/>
                </w:tcPr>
                <w:p w14:paraId="6C2E4F3F">
                  <w:pPr>
                    <w:jc w:val="center"/>
                    <w:rPr>
                      <w:rFonts w:hint="default" w:ascii="Times New Roman" w:hAnsi="Times New Roman" w:eastAsia="仿宋" w:cs="Times New Roman"/>
                      <w:color w:val="auto"/>
                      <w:sz w:val="21"/>
                      <w:szCs w:val="21"/>
                    </w:rPr>
                  </w:pPr>
                </w:p>
              </w:tc>
              <w:tc>
                <w:tcPr>
                  <w:tcW w:w="1139" w:type="dxa"/>
                  <w:tcBorders>
                    <w:tl2br w:val="nil"/>
                    <w:tr2bl w:val="nil"/>
                  </w:tcBorders>
                  <w:noWrap w:val="0"/>
                  <w:vAlign w:val="center"/>
                </w:tcPr>
                <w:p w14:paraId="224DC507">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11</w:t>
                  </w:r>
                </w:p>
              </w:tc>
              <w:tc>
                <w:tcPr>
                  <w:tcW w:w="914" w:type="dxa"/>
                  <w:tcBorders>
                    <w:tl2br w:val="nil"/>
                    <w:tr2bl w:val="nil"/>
                  </w:tcBorders>
                  <w:noWrap w:val="0"/>
                  <w:vAlign w:val="center"/>
                </w:tcPr>
                <w:p w14:paraId="6ED2946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914" w:type="dxa"/>
                  <w:tcBorders>
                    <w:tl2br w:val="nil"/>
                    <w:tr2bl w:val="nil"/>
                  </w:tcBorders>
                  <w:noWrap w:val="0"/>
                  <w:vAlign w:val="center"/>
                </w:tcPr>
                <w:p w14:paraId="25A8716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w:t>
                  </w:r>
                </w:p>
              </w:tc>
              <w:tc>
                <w:tcPr>
                  <w:tcW w:w="802" w:type="dxa"/>
                  <w:tcBorders>
                    <w:tl2br w:val="nil"/>
                    <w:tr2bl w:val="nil"/>
                  </w:tcBorders>
                  <w:shd w:val="clear" w:color="auto" w:fill="auto"/>
                  <w:noWrap w:val="0"/>
                  <w:vAlign w:val="center"/>
                </w:tcPr>
                <w:p w14:paraId="0AE8190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180</w:t>
                  </w:r>
                </w:p>
              </w:tc>
              <w:tc>
                <w:tcPr>
                  <w:tcW w:w="802" w:type="dxa"/>
                  <w:tcBorders>
                    <w:tl2br w:val="nil"/>
                    <w:tr2bl w:val="nil"/>
                  </w:tcBorders>
                  <w:noWrap w:val="0"/>
                  <w:vAlign w:val="center"/>
                </w:tcPr>
                <w:p w14:paraId="2CB34B9B">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达标</w:t>
                  </w:r>
                </w:p>
              </w:tc>
            </w:tr>
            <w:tr w14:paraId="2087760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100DF656">
                  <w:pPr>
                    <w:jc w:val="center"/>
                    <w:rPr>
                      <w:rFonts w:hint="default" w:ascii="Times New Roman" w:hAnsi="Times New Roman" w:eastAsia="仿宋" w:cs="Times New Roman"/>
                      <w:color w:val="auto"/>
                      <w:sz w:val="21"/>
                      <w:szCs w:val="21"/>
                    </w:rPr>
                  </w:pPr>
                </w:p>
              </w:tc>
              <w:tc>
                <w:tcPr>
                  <w:tcW w:w="1200" w:type="dxa"/>
                  <w:vMerge w:val="continue"/>
                  <w:tcBorders>
                    <w:tl2br w:val="nil"/>
                    <w:tr2bl w:val="nil"/>
                  </w:tcBorders>
                  <w:noWrap w:val="0"/>
                  <w:vAlign w:val="center"/>
                </w:tcPr>
                <w:p w14:paraId="3571D4F5">
                  <w:pPr>
                    <w:jc w:val="center"/>
                    <w:rPr>
                      <w:rFonts w:hint="default" w:ascii="Times New Roman" w:hAnsi="Times New Roman" w:eastAsia="仿宋" w:cs="Times New Roman"/>
                      <w:color w:val="auto"/>
                      <w:sz w:val="21"/>
                      <w:szCs w:val="21"/>
                    </w:rPr>
                  </w:pPr>
                </w:p>
              </w:tc>
              <w:tc>
                <w:tcPr>
                  <w:tcW w:w="1466" w:type="dxa"/>
                  <w:tcBorders>
                    <w:tl2br w:val="nil"/>
                    <w:tr2bl w:val="nil"/>
                  </w:tcBorders>
                  <w:shd w:val="clear" w:color="auto" w:fill="auto"/>
                  <w:noWrap w:val="0"/>
                  <w:vAlign w:val="center"/>
                </w:tcPr>
                <w:p w14:paraId="005B3AE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氯化氢</w:t>
                  </w:r>
                </w:p>
              </w:tc>
              <w:tc>
                <w:tcPr>
                  <w:tcW w:w="1142" w:type="dxa"/>
                  <w:vMerge w:val="continue"/>
                  <w:tcBorders>
                    <w:tl2br w:val="nil"/>
                    <w:tr2bl w:val="nil"/>
                  </w:tcBorders>
                  <w:noWrap w:val="0"/>
                  <w:vAlign w:val="center"/>
                </w:tcPr>
                <w:p w14:paraId="1636338E">
                  <w:pPr>
                    <w:jc w:val="center"/>
                    <w:rPr>
                      <w:rFonts w:hint="default" w:ascii="Times New Roman" w:hAnsi="Times New Roman" w:eastAsia="仿宋" w:cs="Times New Roman"/>
                      <w:color w:val="auto"/>
                      <w:sz w:val="21"/>
                      <w:szCs w:val="21"/>
                    </w:rPr>
                  </w:pPr>
                </w:p>
              </w:tc>
              <w:tc>
                <w:tcPr>
                  <w:tcW w:w="1139" w:type="dxa"/>
                  <w:tcBorders>
                    <w:tl2br w:val="nil"/>
                    <w:tr2bl w:val="nil"/>
                  </w:tcBorders>
                  <w:noWrap w:val="0"/>
                  <w:vAlign w:val="center"/>
                </w:tcPr>
                <w:p w14:paraId="589E485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57595F1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53CD333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802" w:type="dxa"/>
                  <w:tcBorders>
                    <w:tl2br w:val="nil"/>
                    <w:tr2bl w:val="nil"/>
                  </w:tcBorders>
                  <w:shd w:val="clear" w:color="auto" w:fill="auto"/>
                  <w:noWrap w:val="0"/>
                  <w:vAlign w:val="center"/>
                </w:tcPr>
                <w:p w14:paraId="21D7BD8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10</w:t>
                  </w:r>
                </w:p>
              </w:tc>
              <w:tc>
                <w:tcPr>
                  <w:tcW w:w="802" w:type="dxa"/>
                  <w:tcBorders>
                    <w:tl2br w:val="nil"/>
                    <w:tr2bl w:val="nil"/>
                  </w:tcBorders>
                  <w:noWrap w:val="0"/>
                  <w:vAlign w:val="center"/>
                </w:tcPr>
                <w:p w14:paraId="453E1CBA">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达标</w:t>
                  </w:r>
                </w:p>
              </w:tc>
            </w:tr>
            <w:tr w14:paraId="7FA5649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6" w:type="dxa"/>
                  <w:vMerge w:val="continue"/>
                  <w:tcBorders>
                    <w:tl2br w:val="nil"/>
                    <w:tr2bl w:val="nil"/>
                  </w:tcBorders>
                  <w:noWrap w:val="0"/>
                  <w:vAlign w:val="center"/>
                </w:tcPr>
                <w:p w14:paraId="30C25606">
                  <w:pPr>
                    <w:jc w:val="center"/>
                    <w:rPr>
                      <w:rFonts w:hint="default" w:ascii="Times New Roman" w:hAnsi="Times New Roman" w:eastAsia="仿宋" w:cs="Times New Roman"/>
                      <w:color w:val="auto"/>
                      <w:sz w:val="21"/>
                      <w:szCs w:val="21"/>
                    </w:rPr>
                  </w:pPr>
                </w:p>
              </w:tc>
              <w:tc>
                <w:tcPr>
                  <w:tcW w:w="1200" w:type="dxa"/>
                  <w:vMerge w:val="continue"/>
                  <w:tcBorders>
                    <w:tl2br w:val="nil"/>
                    <w:tr2bl w:val="nil"/>
                  </w:tcBorders>
                  <w:noWrap w:val="0"/>
                  <w:vAlign w:val="center"/>
                </w:tcPr>
                <w:p w14:paraId="62560E51">
                  <w:pPr>
                    <w:jc w:val="center"/>
                    <w:rPr>
                      <w:rFonts w:hint="default" w:ascii="Times New Roman" w:hAnsi="Times New Roman" w:eastAsia="仿宋" w:cs="Times New Roman"/>
                      <w:color w:val="auto"/>
                      <w:sz w:val="21"/>
                      <w:szCs w:val="21"/>
                    </w:rPr>
                  </w:pPr>
                </w:p>
              </w:tc>
              <w:tc>
                <w:tcPr>
                  <w:tcW w:w="1466" w:type="dxa"/>
                  <w:tcBorders>
                    <w:tl2br w:val="nil"/>
                    <w:tr2bl w:val="nil"/>
                  </w:tcBorders>
                  <w:shd w:val="clear" w:color="auto" w:fill="auto"/>
                  <w:noWrap w:val="0"/>
                  <w:vAlign w:val="center"/>
                </w:tcPr>
                <w:p w14:paraId="6989684E">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硫酸雾</w:t>
                  </w:r>
                </w:p>
              </w:tc>
              <w:tc>
                <w:tcPr>
                  <w:tcW w:w="1142" w:type="dxa"/>
                  <w:vMerge w:val="continue"/>
                  <w:tcBorders>
                    <w:tl2br w:val="nil"/>
                    <w:tr2bl w:val="nil"/>
                  </w:tcBorders>
                  <w:noWrap w:val="0"/>
                  <w:vAlign w:val="center"/>
                </w:tcPr>
                <w:p w14:paraId="3AC1284A">
                  <w:pPr>
                    <w:jc w:val="center"/>
                    <w:rPr>
                      <w:rFonts w:hint="default" w:ascii="Times New Roman" w:hAnsi="Times New Roman" w:eastAsia="仿宋" w:cs="Times New Roman"/>
                      <w:color w:val="auto"/>
                      <w:sz w:val="21"/>
                      <w:szCs w:val="21"/>
                    </w:rPr>
                  </w:pPr>
                </w:p>
              </w:tc>
              <w:tc>
                <w:tcPr>
                  <w:tcW w:w="1139" w:type="dxa"/>
                  <w:tcBorders>
                    <w:tl2br w:val="nil"/>
                    <w:tr2bl w:val="nil"/>
                  </w:tcBorders>
                  <w:noWrap w:val="0"/>
                  <w:vAlign w:val="center"/>
                </w:tcPr>
                <w:p w14:paraId="4D92A23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164711D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914" w:type="dxa"/>
                  <w:tcBorders>
                    <w:tl2br w:val="nil"/>
                    <w:tr2bl w:val="nil"/>
                  </w:tcBorders>
                  <w:noWrap w:val="0"/>
                  <w:vAlign w:val="center"/>
                </w:tcPr>
                <w:p w14:paraId="01BD661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ND</w:t>
                  </w:r>
                </w:p>
              </w:tc>
              <w:tc>
                <w:tcPr>
                  <w:tcW w:w="802" w:type="dxa"/>
                  <w:tcBorders>
                    <w:tl2br w:val="nil"/>
                    <w:tr2bl w:val="nil"/>
                  </w:tcBorders>
                  <w:shd w:val="clear" w:color="auto" w:fill="auto"/>
                  <w:noWrap w:val="0"/>
                  <w:vAlign w:val="center"/>
                </w:tcPr>
                <w:p w14:paraId="67737FE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5</w:t>
                  </w:r>
                </w:p>
              </w:tc>
              <w:tc>
                <w:tcPr>
                  <w:tcW w:w="802" w:type="dxa"/>
                  <w:tcBorders>
                    <w:tl2br w:val="nil"/>
                    <w:tr2bl w:val="nil"/>
                  </w:tcBorders>
                  <w:noWrap w:val="0"/>
                  <w:vAlign w:val="center"/>
                </w:tcPr>
                <w:p w14:paraId="046918BC">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达标</w:t>
                  </w:r>
                </w:p>
              </w:tc>
            </w:tr>
            <w:tr w14:paraId="556DC9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5" w:type="dxa"/>
                  <w:gridSpan w:val="9"/>
                  <w:tcBorders>
                    <w:tl2br w:val="nil"/>
                    <w:tr2bl w:val="nil"/>
                  </w:tcBorders>
                  <w:noWrap w:val="0"/>
                  <w:vAlign w:val="center"/>
                </w:tcPr>
                <w:p w14:paraId="5AE0495D">
                  <w:pPr>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注：DA001排气口颗粒物、非甲烷总烃均满足《表面涂装（汽车零部件）大气污染物排放标准》（DB 32/3966-2021）</w:t>
                  </w:r>
                  <w:r>
                    <w:rPr>
                      <w:rFonts w:hint="eastAsia" w:eastAsia="仿宋" w:cs="Times New Roman"/>
                      <w:color w:val="auto"/>
                      <w:sz w:val="21"/>
                      <w:szCs w:val="21"/>
                      <w:lang w:val="en-US" w:eastAsia="zh-CN"/>
                    </w:rPr>
                    <w:t>限值要求</w:t>
                  </w: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硫酸雾、氯化氢</w:t>
                  </w:r>
                  <w:r>
                    <w:rPr>
                      <w:rFonts w:hint="default" w:ascii="Times New Roman" w:hAnsi="Times New Roman" w:eastAsia="仿宋" w:cs="Times New Roman"/>
                      <w:color w:val="auto"/>
                      <w:sz w:val="21"/>
                      <w:szCs w:val="21"/>
                      <w:lang w:val="en-US" w:eastAsia="zh-CN"/>
                    </w:rPr>
                    <w:t>满足</w:t>
                  </w:r>
                  <w:r>
                    <w:rPr>
                      <w:rFonts w:hint="default" w:ascii="Times New Roman" w:hAnsi="Times New Roman" w:eastAsia="仿宋" w:cs="Times New Roman"/>
                      <w:color w:val="auto"/>
                      <w:sz w:val="21"/>
                      <w:szCs w:val="21"/>
                    </w:rPr>
                    <w:t>《大气污染物综合排放标准》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DB</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32/4041-2021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表1限值</w:t>
                  </w:r>
                  <w:r>
                    <w:rPr>
                      <w:rFonts w:hint="default" w:ascii="Times New Roman" w:hAnsi="Times New Roman" w:eastAsia="仿宋" w:cs="Times New Roman"/>
                      <w:color w:val="auto"/>
                      <w:sz w:val="21"/>
                      <w:szCs w:val="21"/>
                      <w:lang w:val="en-US" w:eastAsia="zh-CN"/>
                    </w:rPr>
                    <w:t>要求；</w:t>
                  </w:r>
                  <w:r>
                    <w:rPr>
                      <w:rFonts w:hint="eastAsia" w:eastAsia="仿宋" w:cs="Times New Roman"/>
                      <w:color w:val="auto"/>
                      <w:sz w:val="21"/>
                      <w:szCs w:val="21"/>
                      <w:lang w:val="en-US" w:eastAsia="zh-CN"/>
                    </w:rPr>
                    <w:t>二氧化硫、氮氧化物</w:t>
                  </w:r>
                  <w:r>
                    <w:rPr>
                      <w:rFonts w:hint="default" w:ascii="Times New Roman" w:hAnsi="Times New Roman" w:eastAsia="仿宋" w:cs="Times New Roman"/>
                      <w:color w:val="auto"/>
                      <w:sz w:val="21"/>
                      <w:szCs w:val="21"/>
                      <w:lang w:val="en-US" w:eastAsia="zh-CN"/>
                    </w:rPr>
                    <w:t>满足《工业炉窑大气污染物排放标准》（DB 32/3728-2020</w:t>
                  </w:r>
                  <w:r>
                    <w:rPr>
                      <w:rFonts w:hint="eastAsia" w:eastAsia="仿宋" w:cs="Times New Roman"/>
                      <w:color w:val="auto"/>
                      <w:sz w:val="21"/>
                      <w:szCs w:val="21"/>
                      <w:lang w:val="en-US" w:eastAsia="zh-CN"/>
                    </w:rPr>
                    <w:t>）。</w:t>
                  </w:r>
                </w:p>
              </w:tc>
            </w:tr>
          </w:tbl>
          <w:p w14:paraId="59B6033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现有项目废气污染物排放总量核算表</w:t>
            </w:r>
          </w:p>
          <w:tbl>
            <w:tblPr>
              <w:tblStyle w:val="21"/>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88"/>
              <w:gridCol w:w="888"/>
              <w:gridCol w:w="948"/>
              <w:gridCol w:w="913"/>
              <w:gridCol w:w="927"/>
              <w:gridCol w:w="952"/>
              <w:gridCol w:w="1024"/>
              <w:gridCol w:w="1099"/>
              <w:gridCol w:w="937"/>
              <w:gridCol w:w="679"/>
            </w:tblGrid>
            <w:tr w14:paraId="3F6F97F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restart"/>
                  <w:vAlign w:val="center"/>
                </w:tcPr>
                <w:p w14:paraId="3528B0BD">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w:t>
                  </w:r>
                  <w:r>
                    <w:rPr>
                      <w:rFonts w:hint="eastAsia" w:eastAsia="仿宋" w:cs="Times New Roman"/>
                      <w:b/>
                      <w:bCs/>
                      <w:color w:val="auto"/>
                      <w:sz w:val="21"/>
                      <w:szCs w:val="21"/>
                      <w:vertAlign w:val="baseline"/>
                      <w:lang w:val="en-US" w:eastAsia="zh-CN"/>
                    </w:rPr>
                    <w:t>物</w:t>
                  </w:r>
                  <w:r>
                    <w:rPr>
                      <w:rFonts w:hint="default" w:ascii="Times New Roman" w:hAnsi="Times New Roman" w:eastAsia="仿宋" w:cs="Times New Roman"/>
                      <w:b/>
                      <w:bCs/>
                      <w:color w:val="auto"/>
                      <w:sz w:val="21"/>
                      <w:szCs w:val="21"/>
                      <w:vertAlign w:val="baseline"/>
                      <w:lang w:val="en-US" w:eastAsia="zh-CN"/>
                    </w:rPr>
                    <w:t>来源</w:t>
                  </w:r>
                </w:p>
              </w:tc>
              <w:tc>
                <w:tcPr>
                  <w:tcW w:w="479" w:type="pct"/>
                  <w:vMerge w:val="restart"/>
                  <w:vAlign w:val="center"/>
                </w:tcPr>
                <w:p w14:paraId="120B15F3">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污染物名称</w:t>
                  </w:r>
                </w:p>
              </w:tc>
              <w:tc>
                <w:tcPr>
                  <w:tcW w:w="2020" w:type="pct"/>
                  <w:gridSpan w:val="4"/>
                  <w:vAlign w:val="center"/>
                </w:tcPr>
                <w:p w14:paraId="0E977A4E">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排放速率（kg/h）</w:t>
                  </w:r>
                </w:p>
              </w:tc>
              <w:tc>
                <w:tcPr>
                  <w:tcW w:w="553" w:type="pct"/>
                  <w:vMerge w:val="restart"/>
                  <w:vAlign w:val="center"/>
                </w:tcPr>
                <w:p w14:paraId="2EDB1F6B">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年运行时间（h）</w:t>
                  </w:r>
                </w:p>
              </w:tc>
              <w:tc>
                <w:tcPr>
                  <w:tcW w:w="593" w:type="pct"/>
                  <w:vMerge w:val="restart"/>
                  <w:vAlign w:val="center"/>
                </w:tcPr>
                <w:p w14:paraId="0361A6C3">
                  <w:pPr>
                    <w:jc w:val="center"/>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实际排放总量（t/a）</w:t>
                  </w:r>
                </w:p>
              </w:tc>
              <w:tc>
                <w:tcPr>
                  <w:tcW w:w="506" w:type="pct"/>
                  <w:vMerge w:val="restart"/>
                  <w:vAlign w:val="center"/>
                </w:tcPr>
                <w:p w14:paraId="3C0292D0">
                  <w:pPr>
                    <w:jc w:val="center"/>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批复总量</w:t>
                  </w:r>
                  <w:r>
                    <w:rPr>
                      <w:rFonts w:hint="default" w:ascii="Times New Roman" w:hAnsi="Times New Roman" w:eastAsia="仿宋" w:cs="Times New Roman"/>
                      <w:b/>
                      <w:bCs/>
                      <w:color w:val="auto"/>
                      <w:sz w:val="21"/>
                      <w:szCs w:val="21"/>
                      <w:vertAlign w:val="baseline"/>
                      <w:lang w:val="en-US" w:eastAsia="zh-CN"/>
                    </w:rPr>
                    <w:t>（t/a）</w:t>
                  </w:r>
                </w:p>
              </w:tc>
              <w:tc>
                <w:tcPr>
                  <w:tcW w:w="366" w:type="pct"/>
                  <w:vMerge w:val="restart"/>
                  <w:vAlign w:val="center"/>
                </w:tcPr>
                <w:p w14:paraId="361EAF74">
                  <w:pPr>
                    <w:jc w:val="center"/>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评价</w:t>
                  </w:r>
                </w:p>
              </w:tc>
            </w:tr>
            <w:tr w14:paraId="7394A2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0FAD19E4">
                  <w:pPr>
                    <w:jc w:val="center"/>
                    <w:rPr>
                      <w:rFonts w:hint="default" w:ascii="Times New Roman" w:hAnsi="Times New Roman" w:eastAsia="仿宋" w:cs="Times New Roman"/>
                      <w:color w:val="auto"/>
                      <w:sz w:val="21"/>
                      <w:szCs w:val="21"/>
                      <w:vertAlign w:val="baseline"/>
                    </w:rPr>
                  </w:pPr>
                </w:p>
              </w:tc>
              <w:tc>
                <w:tcPr>
                  <w:tcW w:w="479" w:type="pct"/>
                  <w:vMerge w:val="continue"/>
                  <w:vAlign w:val="center"/>
                </w:tcPr>
                <w:p w14:paraId="7664ACB2">
                  <w:pPr>
                    <w:jc w:val="center"/>
                    <w:rPr>
                      <w:rFonts w:hint="default" w:ascii="Times New Roman" w:hAnsi="Times New Roman" w:eastAsia="仿宋" w:cs="Times New Roman"/>
                      <w:color w:val="auto"/>
                      <w:sz w:val="21"/>
                      <w:szCs w:val="21"/>
                      <w:vertAlign w:val="baseline"/>
                    </w:rPr>
                  </w:pPr>
                </w:p>
              </w:tc>
              <w:tc>
                <w:tcPr>
                  <w:tcW w:w="512" w:type="pct"/>
                  <w:vAlign w:val="center"/>
                </w:tcPr>
                <w:p w14:paraId="381F0D07">
                  <w:pPr>
                    <w:jc w:val="center"/>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第一次</w:t>
                  </w:r>
                </w:p>
              </w:tc>
              <w:tc>
                <w:tcPr>
                  <w:tcW w:w="493" w:type="pct"/>
                  <w:vAlign w:val="center"/>
                </w:tcPr>
                <w:p w14:paraId="1D96E44A">
                  <w:pPr>
                    <w:jc w:val="center"/>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第二次</w:t>
                  </w:r>
                </w:p>
              </w:tc>
              <w:tc>
                <w:tcPr>
                  <w:tcW w:w="500" w:type="pct"/>
                  <w:vAlign w:val="center"/>
                </w:tcPr>
                <w:p w14:paraId="173BDAB2">
                  <w:pPr>
                    <w:jc w:val="center"/>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第三次</w:t>
                  </w:r>
                </w:p>
              </w:tc>
              <w:tc>
                <w:tcPr>
                  <w:tcW w:w="514" w:type="pct"/>
                  <w:vAlign w:val="center"/>
                </w:tcPr>
                <w:p w14:paraId="4B1BA33F">
                  <w:pPr>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均值</w:t>
                  </w:r>
                </w:p>
              </w:tc>
              <w:tc>
                <w:tcPr>
                  <w:tcW w:w="553" w:type="pct"/>
                  <w:vMerge w:val="continue"/>
                  <w:vAlign w:val="center"/>
                </w:tcPr>
                <w:p w14:paraId="3603FC98">
                  <w:pPr>
                    <w:jc w:val="center"/>
                    <w:rPr>
                      <w:rFonts w:hint="default" w:ascii="Times New Roman" w:hAnsi="Times New Roman" w:eastAsia="仿宋" w:cs="Times New Roman"/>
                      <w:color w:val="auto"/>
                      <w:sz w:val="21"/>
                      <w:szCs w:val="21"/>
                      <w:vertAlign w:val="baseline"/>
                    </w:rPr>
                  </w:pPr>
                </w:p>
              </w:tc>
              <w:tc>
                <w:tcPr>
                  <w:tcW w:w="593" w:type="pct"/>
                  <w:vMerge w:val="continue"/>
                  <w:vAlign w:val="center"/>
                </w:tcPr>
                <w:p w14:paraId="78AEBB18">
                  <w:pPr>
                    <w:jc w:val="center"/>
                    <w:rPr>
                      <w:rFonts w:hint="default" w:ascii="Times New Roman" w:hAnsi="Times New Roman" w:eastAsia="仿宋" w:cs="Times New Roman"/>
                      <w:color w:val="auto"/>
                      <w:sz w:val="21"/>
                      <w:szCs w:val="21"/>
                      <w:vertAlign w:val="baseline"/>
                    </w:rPr>
                  </w:pPr>
                </w:p>
              </w:tc>
              <w:tc>
                <w:tcPr>
                  <w:tcW w:w="506" w:type="pct"/>
                  <w:vMerge w:val="continue"/>
                  <w:vAlign w:val="center"/>
                </w:tcPr>
                <w:p w14:paraId="414888D7">
                  <w:pPr>
                    <w:jc w:val="center"/>
                    <w:rPr>
                      <w:rFonts w:hint="default" w:ascii="Times New Roman" w:hAnsi="Times New Roman" w:eastAsia="仿宋" w:cs="Times New Roman"/>
                      <w:color w:val="auto"/>
                      <w:sz w:val="21"/>
                      <w:szCs w:val="21"/>
                      <w:vertAlign w:val="baseline"/>
                    </w:rPr>
                  </w:pPr>
                </w:p>
              </w:tc>
              <w:tc>
                <w:tcPr>
                  <w:tcW w:w="366" w:type="pct"/>
                  <w:vMerge w:val="continue"/>
                  <w:vAlign w:val="center"/>
                </w:tcPr>
                <w:p w14:paraId="1BE88870">
                  <w:pPr>
                    <w:jc w:val="center"/>
                    <w:rPr>
                      <w:rFonts w:hint="default" w:ascii="Times New Roman" w:hAnsi="Times New Roman" w:eastAsia="仿宋" w:cs="Times New Roman"/>
                      <w:color w:val="auto"/>
                      <w:sz w:val="21"/>
                      <w:szCs w:val="21"/>
                      <w:vertAlign w:val="baseline"/>
                    </w:rPr>
                  </w:pPr>
                </w:p>
              </w:tc>
            </w:tr>
            <w:tr w14:paraId="2000715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restart"/>
                  <w:vAlign w:val="center"/>
                </w:tcPr>
                <w:p w14:paraId="50665C77">
                  <w:pPr>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DA001</w:t>
                  </w:r>
                </w:p>
              </w:tc>
              <w:tc>
                <w:tcPr>
                  <w:tcW w:w="479" w:type="pct"/>
                  <w:shd w:val="clear" w:color="auto" w:fill="auto"/>
                  <w:vAlign w:val="center"/>
                </w:tcPr>
                <w:p w14:paraId="6189FCFE">
                  <w:pPr>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lang w:val="en-US" w:eastAsia="zh-CN"/>
                    </w:rPr>
                    <w:t>颗粒物</w:t>
                  </w:r>
                </w:p>
              </w:tc>
              <w:tc>
                <w:tcPr>
                  <w:tcW w:w="512" w:type="pct"/>
                  <w:vAlign w:val="center"/>
                </w:tcPr>
                <w:p w14:paraId="2DEB2BEC">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0.00472</w:t>
                  </w:r>
                </w:p>
              </w:tc>
              <w:tc>
                <w:tcPr>
                  <w:tcW w:w="493" w:type="pct"/>
                  <w:vAlign w:val="center"/>
                </w:tcPr>
                <w:p w14:paraId="303EB202">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0.0043</w:t>
                  </w:r>
                </w:p>
              </w:tc>
              <w:tc>
                <w:tcPr>
                  <w:tcW w:w="500" w:type="pct"/>
                  <w:vAlign w:val="center"/>
                </w:tcPr>
                <w:p w14:paraId="0FE49D4E">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0.00446</w:t>
                  </w:r>
                </w:p>
              </w:tc>
              <w:tc>
                <w:tcPr>
                  <w:tcW w:w="514" w:type="pct"/>
                  <w:vAlign w:val="center"/>
                </w:tcPr>
                <w:p w14:paraId="54A38B75">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0.00449</w:t>
                  </w:r>
                </w:p>
              </w:tc>
              <w:tc>
                <w:tcPr>
                  <w:tcW w:w="553" w:type="pct"/>
                  <w:vAlign w:val="center"/>
                </w:tcPr>
                <w:p w14:paraId="7C6127D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477DECF4">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0.01347</w:t>
                  </w:r>
                </w:p>
              </w:tc>
              <w:tc>
                <w:tcPr>
                  <w:tcW w:w="506" w:type="pct"/>
                  <w:vAlign w:val="center"/>
                </w:tcPr>
                <w:p w14:paraId="29715DB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0.0974</w:t>
                  </w:r>
                </w:p>
              </w:tc>
              <w:tc>
                <w:tcPr>
                  <w:tcW w:w="366" w:type="pct"/>
                  <w:vAlign w:val="center"/>
                </w:tcPr>
                <w:p w14:paraId="706A1C2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1710AE8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3746AE19">
                  <w:pPr>
                    <w:jc w:val="center"/>
                    <w:rPr>
                      <w:rFonts w:hint="default" w:ascii="Times New Roman" w:hAnsi="Times New Roman" w:eastAsia="仿宋" w:cs="Times New Roman"/>
                      <w:color w:val="auto"/>
                      <w:sz w:val="21"/>
                      <w:szCs w:val="21"/>
                      <w:vertAlign w:val="baseline"/>
                      <w:lang w:val="en-US" w:eastAsia="zh-CN"/>
                    </w:rPr>
                  </w:pPr>
                </w:p>
              </w:tc>
              <w:tc>
                <w:tcPr>
                  <w:tcW w:w="479" w:type="pct"/>
                  <w:shd w:val="clear" w:color="auto" w:fill="auto"/>
                  <w:vAlign w:val="center"/>
                </w:tcPr>
                <w:p w14:paraId="0FF72E36">
                  <w:pPr>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rPr>
                    <w:t>非甲烷总烃</w:t>
                  </w:r>
                </w:p>
              </w:tc>
              <w:tc>
                <w:tcPr>
                  <w:tcW w:w="512" w:type="pct"/>
                  <w:vAlign w:val="center"/>
                </w:tcPr>
                <w:p w14:paraId="68807BD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0.00441</w:t>
                  </w:r>
                </w:p>
              </w:tc>
              <w:tc>
                <w:tcPr>
                  <w:tcW w:w="493" w:type="pct"/>
                  <w:vAlign w:val="center"/>
                </w:tcPr>
                <w:p w14:paraId="5C8D41B6">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0.00434</w:t>
                  </w:r>
                </w:p>
              </w:tc>
              <w:tc>
                <w:tcPr>
                  <w:tcW w:w="500" w:type="pct"/>
                  <w:vAlign w:val="center"/>
                </w:tcPr>
                <w:p w14:paraId="5FCD5345">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0.00428</w:t>
                  </w:r>
                </w:p>
              </w:tc>
              <w:tc>
                <w:tcPr>
                  <w:tcW w:w="514" w:type="pct"/>
                  <w:vAlign w:val="center"/>
                </w:tcPr>
                <w:p w14:paraId="21B46310">
                  <w:pPr>
                    <w:keepNext w:val="0"/>
                    <w:keepLines w:val="0"/>
                    <w:widowControl/>
                    <w:suppressLineNumbers w:val="0"/>
                    <w:jc w:val="center"/>
                    <w:textAlignment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0.00434</w:t>
                  </w:r>
                </w:p>
              </w:tc>
              <w:tc>
                <w:tcPr>
                  <w:tcW w:w="553" w:type="pct"/>
                  <w:vAlign w:val="center"/>
                </w:tcPr>
                <w:p w14:paraId="522E3CC9">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7D95636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0.01302</w:t>
                  </w:r>
                </w:p>
              </w:tc>
              <w:tc>
                <w:tcPr>
                  <w:tcW w:w="506" w:type="pct"/>
                  <w:vAlign w:val="center"/>
                </w:tcPr>
                <w:p w14:paraId="589B876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0.1253</w:t>
                  </w:r>
                </w:p>
              </w:tc>
              <w:tc>
                <w:tcPr>
                  <w:tcW w:w="366" w:type="pct"/>
                  <w:vAlign w:val="center"/>
                </w:tcPr>
                <w:p w14:paraId="4A2F1F2C">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7A90862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1FB56E75">
                  <w:pPr>
                    <w:jc w:val="center"/>
                    <w:rPr>
                      <w:rFonts w:hint="default" w:ascii="Times New Roman" w:hAnsi="Times New Roman" w:eastAsia="仿宋" w:cs="Times New Roman"/>
                      <w:color w:val="auto"/>
                      <w:sz w:val="21"/>
                      <w:szCs w:val="21"/>
                      <w:vertAlign w:val="baseline"/>
                      <w:lang w:val="en-US" w:eastAsia="zh-CN"/>
                    </w:rPr>
                  </w:pPr>
                </w:p>
              </w:tc>
              <w:tc>
                <w:tcPr>
                  <w:tcW w:w="479" w:type="pct"/>
                  <w:shd w:val="clear" w:color="auto" w:fill="auto"/>
                  <w:vAlign w:val="center"/>
                </w:tcPr>
                <w:p w14:paraId="2EDA61CA">
                  <w:pPr>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二氧化硫</w:t>
                  </w:r>
                </w:p>
              </w:tc>
              <w:tc>
                <w:tcPr>
                  <w:tcW w:w="512" w:type="pct"/>
                  <w:vAlign w:val="center"/>
                </w:tcPr>
                <w:p w14:paraId="1844F27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493" w:type="pct"/>
                  <w:vAlign w:val="center"/>
                </w:tcPr>
                <w:p w14:paraId="41953BE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0" w:type="pct"/>
                  <w:vAlign w:val="center"/>
                </w:tcPr>
                <w:p w14:paraId="5C74A896">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14" w:type="pct"/>
                  <w:vAlign w:val="center"/>
                </w:tcPr>
                <w:p w14:paraId="58485159">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53" w:type="pct"/>
                  <w:vAlign w:val="center"/>
                </w:tcPr>
                <w:p w14:paraId="4E1AF29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54DA913D">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6" w:type="pct"/>
                  <w:vAlign w:val="center"/>
                </w:tcPr>
                <w:p w14:paraId="2B84CE7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0.14</w:t>
                  </w:r>
                </w:p>
              </w:tc>
              <w:tc>
                <w:tcPr>
                  <w:tcW w:w="366" w:type="pct"/>
                  <w:vAlign w:val="center"/>
                </w:tcPr>
                <w:p w14:paraId="79B3236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31D7068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2A8D42E1">
                  <w:pPr>
                    <w:jc w:val="center"/>
                    <w:rPr>
                      <w:rFonts w:hint="default" w:ascii="Times New Roman" w:hAnsi="Times New Roman" w:eastAsia="仿宋" w:cs="Times New Roman"/>
                      <w:color w:val="auto"/>
                      <w:sz w:val="21"/>
                      <w:szCs w:val="21"/>
                      <w:vertAlign w:val="baseline"/>
                      <w:lang w:val="en-US" w:eastAsia="zh-CN"/>
                    </w:rPr>
                  </w:pPr>
                </w:p>
              </w:tc>
              <w:tc>
                <w:tcPr>
                  <w:tcW w:w="479" w:type="pct"/>
                  <w:shd w:val="clear" w:color="auto" w:fill="auto"/>
                  <w:vAlign w:val="center"/>
                </w:tcPr>
                <w:p w14:paraId="328FCC37">
                  <w:pPr>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2"/>
                      <w:sz w:val="21"/>
                      <w:szCs w:val="21"/>
                      <w:lang w:val="en-US" w:eastAsia="zh-CN" w:bidi="ar-SA"/>
                    </w:rPr>
                    <w:t>氮氧化物</w:t>
                  </w:r>
                </w:p>
              </w:tc>
              <w:tc>
                <w:tcPr>
                  <w:tcW w:w="512" w:type="pct"/>
                  <w:vAlign w:val="center"/>
                </w:tcPr>
                <w:p w14:paraId="2CF68D1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0.0289</w:t>
                  </w:r>
                </w:p>
              </w:tc>
              <w:tc>
                <w:tcPr>
                  <w:tcW w:w="493" w:type="pct"/>
                  <w:vAlign w:val="center"/>
                </w:tcPr>
                <w:p w14:paraId="4E93B99C">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0.0264</w:t>
                  </w:r>
                </w:p>
              </w:tc>
              <w:tc>
                <w:tcPr>
                  <w:tcW w:w="500" w:type="pct"/>
                  <w:vAlign w:val="center"/>
                </w:tcPr>
                <w:p w14:paraId="3DB2D1E4">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0.0243</w:t>
                  </w:r>
                </w:p>
              </w:tc>
              <w:tc>
                <w:tcPr>
                  <w:tcW w:w="514" w:type="pct"/>
                  <w:vAlign w:val="center"/>
                </w:tcPr>
                <w:p w14:paraId="62826BC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0.0265</w:t>
                  </w:r>
                </w:p>
              </w:tc>
              <w:tc>
                <w:tcPr>
                  <w:tcW w:w="553" w:type="pct"/>
                  <w:vAlign w:val="center"/>
                </w:tcPr>
                <w:p w14:paraId="2B22679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22E73B1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0.0795</w:t>
                  </w:r>
                </w:p>
              </w:tc>
              <w:tc>
                <w:tcPr>
                  <w:tcW w:w="506" w:type="pct"/>
                  <w:vAlign w:val="center"/>
                </w:tcPr>
                <w:p w14:paraId="76A1BF96">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0.748</w:t>
                  </w:r>
                </w:p>
              </w:tc>
              <w:tc>
                <w:tcPr>
                  <w:tcW w:w="366" w:type="pct"/>
                  <w:vAlign w:val="center"/>
                </w:tcPr>
                <w:p w14:paraId="1D1A5EE1">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172D351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2994B7D0">
                  <w:pPr>
                    <w:jc w:val="center"/>
                    <w:rPr>
                      <w:rFonts w:hint="default" w:ascii="Times New Roman" w:hAnsi="Times New Roman" w:eastAsia="仿宋" w:cs="Times New Roman"/>
                      <w:color w:val="auto"/>
                      <w:sz w:val="21"/>
                      <w:szCs w:val="21"/>
                      <w:vertAlign w:val="baseline"/>
                      <w:lang w:val="en-US" w:eastAsia="zh-CN"/>
                    </w:rPr>
                  </w:pPr>
                </w:p>
              </w:tc>
              <w:tc>
                <w:tcPr>
                  <w:tcW w:w="479" w:type="pct"/>
                  <w:shd w:val="clear" w:color="auto" w:fill="auto"/>
                  <w:vAlign w:val="center"/>
                </w:tcPr>
                <w:p w14:paraId="7C622862">
                  <w:pPr>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2"/>
                      <w:sz w:val="21"/>
                      <w:szCs w:val="21"/>
                      <w:lang w:val="en-US" w:eastAsia="zh-CN" w:bidi="ar-SA"/>
                    </w:rPr>
                    <w:t>氯化氢</w:t>
                  </w:r>
                </w:p>
              </w:tc>
              <w:tc>
                <w:tcPr>
                  <w:tcW w:w="512" w:type="pct"/>
                  <w:vAlign w:val="center"/>
                </w:tcPr>
                <w:p w14:paraId="5527D48A">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493" w:type="pct"/>
                  <w:vAlign w:val="center"/>
                </w:tcPr>
                <w:p w14:paraId="54AEF09C">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0" w:type="pct"/>
                  <w:vAlign w:val="center"/>
                </w:tcPr>
                <w:p w14:paraId="517DDF5E">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14" w:type="pct"/>
                  <w:vAlign w:val="center"/>
                </w:tcPr>
                <w:p w14:paraId="682AE0F9">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53" w:type="pct"/>
                  <w:vAlign w:val="center"/>
                </w:tcPr>
                <w:p w14:paraId="2C3334C7">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19602960">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6" w:type="pct"/>
                  <w:vAlign w:val="center"/>
                </w:tcPr>
                <w:p w14:paraId="1F9EECF8">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0.0021</w:t>
                  </w:r>
                </w:p>
              </w:tc>
              <w:tc>
                <w:tcPr>
                  <w:tcW w:w="366" w:type="pct"/>
                  <w:vAlign w:val="center"/>
                </w:tcPr>
                <w:p w14:paraId="482DEAC6">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0C0F974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vAlign w:val="center"/>
                </w:tcPr>
                <w:p w14:paraId="25D503FB">
                  <w:pPr>
                    <w:jc w:val="center"/>
                    <w:rPr>
                      <w:rFonts w:hint="default" w:ascii="Times New Roman" w:hAnsi="Times New Roman" w:eastAsia="仿宋" w:cs="Times New Roman"/>
                      <w:color w:val="auto"/>
                      <w:sz w:val="21"/>
                      <w:szCs w:val="21"/>
                      <w:vertAlign w:val="baseline"/>
                      <w:lang w:val="en-US" w:eastAsia="zh-CN"/>
                    </w:rPr>
                  </w:pPr>
                </w:p>
              </w:tc>
              <w:tc>
                <w:tcPr>
                  <w:tcW w:w="479" w:type="pct"/>
                  <w:shd w:val="clear" w:color="auto" w:fill="auto"/>
                  <w:vAlign w:val="center"/>
                </w:tcPr>
                <w:p w14:paraId="2F342CEE">
                  <w:pPr>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2"/>
                      <w:sz w:val="21"/>
                      <w:szCs w:val="21"/>
                      <w:lang w:val="en-US" w:eastAsia="zh-CN" w:bidi="ar-SA"/>
                    </w:rPr>
                    <w:t>硫酸雾</w:t>
                  </w:r>
                </w:p>
              </w:tc>
              <w:tc>
                <w:tcPr>
                  <w:tcW w:w="512" w:type="pct"/>
                  <w:vAlign w:val="center"/>
                </w:tcPr>
                <w:p w14:paraId="6E1777E5">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493" w:type="pct"/>
                  <w:vAlign w:val="center"/>
                </w:tcPr>
                <w:p w14:paraId="7FDA465B">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0" w:type="pct"/>
                  <w:vAlign w:val="center"/>
                </w:tcPr>
                <w:p w14:paraId="7CFAC9A3">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14" w:type="pct"/>
                  <w:vAlign w:val="center"/>
                </w:tcPr>
                <w:p w14:paraId="33F8F98D">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53" w:type="pct"/>
                  <w:vAlign w:val="center"/>
                </w:tcPr>
                <w:p w14:paraId="4D48A86F">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3000</w:t>
                  </w:r>
                </w:p>
              </w:tc>
              <w:tc>
                <w:tcPr>
                  <w:tcW w:w="593" w:type="pct"/>
                  <w:vAlign w:val="center"/>
                </w:tcPr>
                <w:p w14:paraId="710F7845">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506" w:type="pct"/>
                  <w:vAlign w:val="center"/>
                </w:tcPr>
                <w:p w14:paraId="4E76BB63">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0.0057</w:t>
                  </w:r>
                </w:p>
              </w:tc>
              <w:tc>
                <w:tcPr>
                  <w:tcW w:w="366" w:type="pct"/>
                  <w:vAlign w:val="center"/>
                </w:tcPr>
                <w:p w14:paraId="6228E434">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达标</w:t>
                  </w:r>
                </w:p>
              </w:tc>
            </w:tr>
            <w:tr w14:paraId="73718D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000" w:type="pct"/>
                  <w:gridSpan w:val="10"/>
                  <w:vAlign w:val="center"/>
                </w:tcPr>
                <w:p w14:paraId="7089381F">
                  <w:pPr>
                    <w:jc w:val="both"/>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核算公式：</w:t>
                  </w:r>
                  <w:r>
                    <w:rPr>
                      <w:rFonts w:hint="default" w:ascii="Times New Roman" w:hAnsi="Times New Roman" w:eastAsia="仿宋" w:cs="Times New Roman"/>
                      <w:color w:val="auto"/>
                      <w:sz w:val="21"/>
                      <w:szCs w:val="21"/>
                    </w:rPr>
                    <w:t>废气污染物实际排放量（t/a）=污染物排放速率（kg/h）*年运行时间（h）/10</w:t>
                  </w:r>
                  <w:r>
                    <w:rPr>
                      <w:rFonts w:hint="default" w:ascii="Times New Roman" w:hAnsi="Times New Roman" w:eastAsia="仿宋" w:cs="Times New Roman"/>
                      <w:color w:val="auto"/>
                      <w:sz w:val="21"/>
                      <w:szCs w:val="21"/>
                      <w:lang w:eastAsia="zh-CN"/>
                    </w:rPr>
                    <w:t>0</w:t>
                  </w:r>
                  <w:r>
                    <w:rPr>
                      <w:rFonts w:hint="default" w:ascii="Times New Roman" w:hAnsi="Times New Roman" w:eastAsia="仿宋" w:cs="Times New Roman"/>
                      <w:color w:val="auto"/>
                      <w:sz w:val="21"/>
                      <w:szCs w:val="21"/>
                      <w:lang w:val="en-US" w:eastAsia="zh-CN"/>
                    </w:rPr>
                    <w:t>0。</w:t>
                  </w:r>
                </w:p>
              </w:tc>
            </w:tr>
          </w:tbl>
          <w:p w14:paraId="498B20B5">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现有项目无组织废气检测结果一览表</w:t>
            </w:r>
          </w:p>
          <w:tbl>
            <w:tblPr>
              <w:tblStyle w:val="20"/>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1286"/>
              <w:gridCol w:w="1666"/>
              <w:gridCol w:w="1920"/>
              <w:gridCol w:w="1214"/>
              <w:gridCol w:w="788"/>
            </w:tblGrid>
            <w:tr w14:paraId="04BD7F7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79E07DC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检测点位</w:t>
                  </w:r>
                </w:p>
              </w:tc>
              <w:tc>
                <w:tcPr>
                  <w:tcW w:w="1286" w:type="dxa"/>
                  <w:tcBorders>
                    <w:tl2br w:val="nil"/>
                    <w:tr2bl w:val="nil"/>
                  </w:tcBorders>
                  <w:noWrap w:val="0"/>
                  <w:vAlign w:val="center"/>
                </w:tcPr>
                <w:p w14:paraId="3165CB2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检测时间</w:t>
                  </w:r>
                </w:p>
              </w:tc>
              <w:tc>
                <w:tcPr>
                  <w:tcW w:w="1666" w:type="dxa"/>
                  <w:tcBorders>
                    <w:tl2br w:val="nil"/>
                    <w:tr2bl w:val="nil"/>
                  </w:tcBorders>
                  <w:noWrap w:val="0"/>
                  <w:vAlign w:val="center"/>
                </w:tcPr>
                <w:p w14:paraId="268E676C">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检测项目</w:t>
                  </w:r>
                </w:p>
              </w:tc>
              <w:tc>
                <w:tcPr>
                  <w:tcW w:w="1920" w:type="dxa"/>
                  <w:tcBorders>
                    <w:tl2br w:val="nil"/>
                    <w:tr2bl w:val="nil"/>
                  </w:tcBorders>
                  <w:noWrap w:val="0"/>
                  <w:vAlign w:val="center"/>
                </w:tcPr>
                <w:p w14:paraId="72C6362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检测结果</w:t>
                  </w:r>
                </w:p>
              </w:tc>
              <w:tc>
                <w:tcPr>
                  <w:tcW w:w="1214" w:type="dxa"/>
                  <w:tcBorders>
                    <w:tl2br w:val="nil"/>
                    <w:tr2bl w:val="nil"/>
                  </w:tcBorders>
                  <w:noWrap w:val="0"/>
                  <w:vAlign w:val="center"/>
                </w:tcPr>
                <w:p w14:paraId="3C64158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标准限值</w:t>
                  </w:r>
                </w:p>
              </w:tc>
              <w:tc>
                <w:tcPr>
                  <w:tcW w:w="788" w:type="dxa"/>
                  <w:tcBorders>
                    <w:tl2br w:val="nil"/>
                    <w:tr2bl w:val="nil"/>
                  </w:tcBorders>
                  <w:noWrap w:val="0"/>
                  <w:vAlign w:val="center"/>
                </w:tcPr>
                <w:p w14:paraId="284AB94A">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评价</w:t>
                  </w:r>
                </w:p>
              </w:tc>
            </w:tr>
            <w:tr w14:paraId="521FCF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6B48433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上风向G1</w:t>
                  </w:r>
                </w:p>
              </w:tc>
              <w:tc>
                <w:tcPr>
                  <w:tcW w:w="1286" w:type="dxa"/>
                  <w:vMerge w:val="restart"/>
                  <w:tcBorders>
                    <w:tl2br w:val="nil"/>
                    <w:tr2bl w:val="nil"/>
                  </w:tcBorders>
                  <w:noWrap w:val="0"/>
                  <w:vAlign w:val="center"/>
                </w:tcPr>
                <w:p w14:paraId="7F991E30">
                  <w:pPr>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202</w:t>
                  </w:r>
                  <w:r>
                    <w:rPr>
                      <w:rFonts w:hint="eastAsia" w:eastAsia="仿宋" w:cs="Times New Roman"/>
                      <w:color w:val="auto"/>
                      <w:sz w:val="21"/>
                      <w:szCs w:val="21"/>
                      <w:lang w:val="en-US" w:eastAsia="zh-CN"/>
                    </w:rPr>
                    <w:t>5.6.18</w:t>
                  </w:r>
                </w:p>
              </w:tc>
              <w:tc>
                <w:tcPr>
                  <w:tcW w:w="1666" w:type="dxa"/>
                  <w:vMerge w:val="restart"/>
                  <w:tcBorders>
                    <w:tl2br w:val="nil"/>
                    <w:tr2bl w:val="nil"/>
                  </w:tcBorders>
                  <w:noWrap w:val="0"/>
                  <w:vAlign w:val="center"/>
                </w:tcPr>
                <w:p w14:paraId="0D11AD1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920" w:type="dxa"/>
                  <w:tcBorders>
                    <w:tl2br w:val="nil"/>
                    <w:tr2bl w:val="nil"/>
                  </w:tcBorders>
                  <w:noWrap w:val="0"/>
                  <w:vAlign w:val="center"/>
                </w:tcPr>
                <w:p w14:paraId="7FD580A3">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0.39-0.42</w:t>
                  </w:r>
                </w:p>
              </w:tc>
              <w:tc>
                <w:tcPr>
                  <w:tcW w:w="1214" w:type="dxa"/>
                  <w:vMerge w:val="restart"/>
                  <w:tcBorders>
                    <w:tl2br w:val="nil"/>
                    <w:tr2bl w:val="nil"/>
                  </w:tcBorders>
                  <w:noWrap w:val="0"/>
                  <w:vAlign w:val="center"/>
                </w:tcPr>
                <w:p w14:paraId="59AEFC4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4.0</w:t>
                  </w:r>
                </w:p>
              </w:tc>
              <w:tc>
                <w:tcPr>
                  <w:tcW w:w="788" w:type="dxa"/>
                  <w:vMerge w:val="restart"/>
                  <w:tcBorders>
                    <w:tl2br w:val="nil"/>
                    <w:tr2bl w:val="nil"/>
                  </w:tcBorders>
                  <w:noWrap w:val="0"/>
                  <w:vAlign w:val="center"/>
                </w:tcPr>
                <w:p w14:paraId="1BCC621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6FE09F3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670F0C3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下风向G2</w:t>
                  </w:r>
                </w:p>
              </w:tc>
              <w:tc>
                <w:tcPr>
                  <w:tcW w:w="1286" w:type="dxa"/>
                  <w:vMerge w:val="continue"/>
                  <w:tcBorders>
                    <w:tl2br w:val="nil"/>
                    <w:tr2bl w:val="nil"/>
                  </w:tcBorders>
                  <w:noWrap w:val="0"/>
                  <w:vAlign w:val="center"/>
                </w:tcPr>
                <w:p w14:paraId="47B1013F">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28CA697F">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6010E80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0.75-0.82</w:t>
                  </w:r>
                </w:p>
              </w:tc>
              <w:tc>
                <w:tcPr>
                  <w:tcW w:w="1214" w:type="dxa"/>
                  <w:vMerge w:val="continue"/>
                  <w:tcBorders>
                    <w:tl2br w:val="nil"/>
                    <w:tr2bl w:val="nil"/>
                  </w:tcBorders>
                  <w:noWrap w:val="0"/>
                  <w:vAlign w:val="center"/>
                </w:tcPr>
                <w:p w14:paraId="0BD5C208">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6CD0156E">
                  <w:pPr>
                    <w:jc w:val="center"/>
                    <w:rPr>
                      <w:rFonts w:hint="default" w:ascii="Times New Roman" w:hAnsi="Times New Roman" w:eastAsia="仿宋" w:cs="Times New Roman"/>
                      <w:color w:val="auto"/>
                      <w:sz w:val="21"/>
                      <w:szCs w:val="21"/>
                    </w:rPr>
                  </w:pPr>
                </w:p>
              </w:tc>
            </w:tr>
            <w:tr w14:paraId="7D0414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7C84850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下风向G3</w:t>
                  </w:r>
                </w:p>
              </w:tc>
              <w:tc>
                <w:tcPr>
                  <w:tcW w:w="1286" w:type="dxa"/>
                  <w:vMerge w:val="continue"/>
                  <w:tcBorders>
                    <w:tl2br w:val="nil"/>
                    <w:tr2bl w:val="nil"/>
                  </w:tcBorders>
                  <w:noWrap w:val="0"/>
                  <w:vAlign w:val="center"/>
                </w:tcPr>
                <w:p w14:paraId="72E5A213">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44FE0833">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5400549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0.79-0.84</w:t>
                  </w:r>
                </w:p>
              </w:tc>
              <w:tc>
                <w:tcPr>
                  <w:tcW w:w="1214" w:type="dxa"/>
                  <w:vMerge w:val="continue"/>
                  <w:tcBorders>
                    <w:tl2br w:val="nil"/>
                    <w:tr2bl w:val="nil"/>
                  </w:tcBorders>
                  <w:noWrap w:val="0"/>
                  <w:vAlign w:val="center"/>
                </w:tcPr>
                <w:p w14:paraId="445DB8C5">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2E8D2525">
                  <w:pPr>
                    <w:jc w:val="center"/>
                    <w:rPr>
                      <w:rFonts w:hint="default" w:ascii="Times New Roman" w:hAnsi="Times New Roman" w:eastAsia="仿宋" w:cs="Times New Roman"/>
                      <w:color w:val="auto"/>
                      <w:sz w:val="21"/>
                      <w:szCs w:val="21"/>
                    </w:rPr>
                  </w:pPr>
                </w:p>
              </w:tc>
            </w:tr>
            <w:tr w14:paraId="4BD0265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4BB15C6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下风向G4</w:t>
                  </w:r>
                </w:p>
              </w:tc>
              <w:tc>
                <w:tcPr>
                  <w:tcW w:w="1286" w:type="dxa"/>
                  <w:vMerge w:val="continue"/>
                  <w:tcBorders>
                    <w:tl2br w:val="nil"/>
                    <w:tr2bl w:val="nil"/>
                  </w:tcBorders>
                  <w:noWrap w:val="0"/>
                  <w:vAlign w:val="center"/>
                </w:tcPr>
                <w:p w14:paraId="40F63F5F">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105ED9E7">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04D11FE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0.78-0.83</w:t>
                  </w:r>
                </w:p>
              </w:tc>
              <w:tc>
                <w:tcPr>
                  <w:tcW w:w="1214" w:type="dxa"/>
                  <w:vMerge w:val="continue"/>
                  <w:tcBorders>
                    <w:tl2br w:val="nil"/>
                    <w:tr2bl w:val="nil"/>
                  </w:tcBorders>
                  <w:noWrap w:val="0"/>
                  <w:vAlign w:val="center"/>
                </w:tcPr>
                <w:p w14:paraId="1EC55777">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70D89109">
                  <w:pPr>
                    <w:jc w:val="center"/>
                    <w:rPr>
                      <w:rFonts w:hint="default" w:ascii="Times New Roman" w:hAnsi="Times New Roman" w:eastAsia="仿宋" w:cs="Times New Roman"/>
                      <w:color w:val="auto"/>
                      <w:sz w:val="21"/>
                      <w:szCs w:val="21"/>
                    </w:rPr>
                  </w:pPr>
                </w:p>
              </w:tc>
            </w:tr>
            <w:tr w14:paraId="23AB65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5196532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上风向G1</w:t>
                  </w:r>
                </w:p>
              </w:tc>
              <w:tc>
                <w:tcPr>
                  <w:tcW w:w="1286" w:type="dxa"/>
                  <w:vMerge w:val="continue"/>
                  <w:tcBorders>
                    <w:tl2br w:val="nil"/>
                    <w:tr2bl w:val="nil"/>
                  </w:tcBorders>
                  <w:noWrap w:val="0"/>
                  <w:vAlign w:val="center"/>
                </w:tcPr>
                <w:p w14:paraId="1E620221">
                  <w:pPr>
                    <w:jc w:val="center"/>
                    <w:rPr>
                      <w:rFonts w:hint="default" w:ascii="Times New Roman" w:hAnsi="Times New Roman" w:eastAsia="仿宋" w:cs="Times New Roman"/>
                      <w:color w:val="auto"/>
                      <w:sz w:val="21"/>
                      <w:szCs w:val="21"/>
                    </w:rPr>
                  </w:pPr>
                </w:p>
              </w:tc>
              <w:tc>
                <w:tcPr>
                  <w:tcW w:w="1666" w:type="dxa"/>
                  <w:vMerge w:val="restart"/>
                  <w:tcBorders>
                    <w:tl2br w:val="nil"/>
                    <w:tr2bl w:val="nil"/>
                  </w:tcBorders>
                  <w:noWrap w:val="0"/>
                  <w:vAlign w:val="center"/>
                </w:tcPr>
                <w:p w14:paraId="20F86A0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颗粒物</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rPr>
                    <w:t>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920" w:type="dxa"/>
                  <w:tcBorders>
                    <w:tl2br w:val="nil"/>
                    <w:tr2bl w:val="nil"/>
                  </w:tcBorders>
                  <w:noWrap w:val="0"/>
                  <w:vAlign w:val="center"/>
                </w:tcPr>
                <w:p w14:paraId="6E4F9886">
                  <w:pPr>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0.125-0.133</w:t>
                  </w:r>
                </w:p>
              </w:tc>
              <w:tc>
                <w:tcPr>
                  <w:tcW w:w="1214" w:type="dxa"/>
                  <w:vMerge w:val="restart"/>
                  <w:tcBorders>
                    <w:tl2br w:val="nil"/>
                    <w:tr2bl w:val="nil"/>
                  </w:tcBorders>
                  <w:noWrap w:val="0"/>
                  <w:vAlign w:val="center"/>
                </w:tcPr>
                <w:p w14:paraId="3CD1C2F3">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0.5</w:t>
                  </w:r>
                </w:p>
              </w:tc>
              <w:tc>
                <w:tcPr>
                  <w:tcW w:w="788" w:type="dxa"/>
                  <w:vMerge w:val="restart"/>
                  <w:tcBorders>
                    <w:tl2br w:val="nil"/>
                    <w:tr2bl w:val="nil"/>
                  </w:tcBorders>
                  <w:noWrap w:val="0"/>
                  <w:vAlign w:val="center"/>
                </w:tcPr>
                <w:p w14:paraId="2DB68B6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7CBC9DA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49EE25B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下风向G2</w:t>
                  </w:r>
                </w:p>
              </w:tc>
              <w:tc>
                <w:tcPr>
                  <w:tcW w:w="1286" w:type="dxa"/>
                  <w:vMerge w:val="continue"/>
                  <w:tcBorders>
                    <w:tl2br w:val="nil"/>
                    <w:tr2bl w:val="nil"/>
                  </w:tcBorders>
                  <w:noWrap w:val="0"/>
                  <w:vAlign w:val="center"/>
                </w:tcPr>
                <w:p w14:paraId="43D5561B">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1B1834DB">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2231D1D3">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0.219-0.223</w:t>
                  </w:r>
                </w:p>
              </w:tc>
              <w:tc>
                <w:tcPr>
                  <w:tcW w:w="1214" w:type="dxa"/>
                  <w:vMerge w:val="continue"/>
                  <w:tcBorders>
                    <w:tl2br w:val="nil"/>
                    <w:tr2bl w:val="nil"/>
                  </w:tcBorders>
                  <w:noWrap w:val="0"/>
                  <w:vAlign w:val="center"/>
                </w:tcPr>
                <w:p w14:paraId="68033EE7">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7A096B2A">
                  <w:pPr>
                    <w:jc w:val="center"/>
                    <w:rPr>
                      <w:rFonts w:hint="default" w:ascii="Times New Roman" w:hAnsi="Times New Roman" w:eastAsia="仿宋" w:cs="Times New Roman"/>
                      <w:color w:val="auto"/>
                      <w:sz w:val="21"/>
                      <w:szCs w:val="21"/>
                    </w:rPr>
                  </w:pPr>
                </w:p>
              </w:tc>
            </w:tr>
            <w:tr w14:paraId="5B79590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210A73C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下风向G3</w:t>
                  </w:r>
                </w:p>
              </w:tc>
              <w:tc>
                <w:tcPr>
                  <w:tcW w:w="1286" w:type="dxa"/>
                  <w:vMerge w:val="continue"/>
                  <w:tcBorders>
                    <w:tl2br w:val="nil"/>
                    <w:tr2bl w:val="nil"/>
                  </w:tcBorders>
                  <w:noWrap w:val="0"/>
                  <w:vAlign w:val="center"/>
                </w:tcPr>
                <w:p w14:paraId="1D8051D5">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7E59C441">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54FA836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0.206-0.213</w:t>
                  </w:r>
                </w:p>
              </w:tc>
              <w:tc>
                <w:tcPr>
                  <w:tcW w:w="1214" w:type="dxa"/>
                  <w:vMerge w:val="continue"/>
                  <w:tcBorders>
                    <w:tl2br w:val="nil"/>
                    <w:tr2bl w:val="nil"/>
                  </w:tcBorders>
                  <w:noWrap w:val="0"/>
                  <w:vAlign w:val="center"/>
                </w:tcPr>
                <w:p w14:paraId="67450098">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2644E2BB">
                  <w:pPr>
                    <w:jc w:val="center"/>
                    <w:rPr>
                      <w:rFonts w:hint="default" w:ascii="Times New Roman" w:hAnsi="Times New Roman" w:eastAsia="仿宋" w:cs="Times New Roman"/>
                      <w:color w:val="auto"/>
                      <w:sz w:val="21"/>
                      <w:szCs w:val="21"/>
                    </w:rPr>
                  </w:pPr>
                </w:p>
              </w:tc>
            </w:tr>
            <w:tr w14:paraId="11E8BB0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74245B8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下风向G4</w:t>
                  </w:r>
                </w:p>
              </w:tc>
              <w:tc>
                <w:tcPr>
                  <w:tcW w:w="1286" w:type="dxa"/>
                  <w:vMerge w:val="continue"/>
                  <w:tcBorders>
                    <w:tl2br w:val="nil"/>
                    <w:tr2bl w:val="nil"/>
                  </w:tcBorders>
                  <w:noWrap w:val="0"/>
                  <w:vAlign w:val="center"/>
                </w:tcPr>
                <w:p w14:paraId="2FFCDD4A">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46B2ECA6">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422ECE6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0.197-0.203</w:t>
                  </w:r>
                </w:p>
              </w:tc>
              <w:tc>
                <w:tcPr>
                  <w:tcW w:w="1214" w:type="dxa"/>
                  <w:vMerge w:val="continue"/>
                  <w:tcBorders>
                    <w:tl2br w:val="nil"/>
                    <w:tr2bl w:val="nil"/>
                  </w:tcBorders>
                  <w:noWrap w:val="0"/>
                  <w:vAlign w:val="center"/>
                </w:tcPr>
                <w:p w14:paraId="78749A53">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530B25A7">
                  <w:pPr>
                    <w:jc w:val="center"/>
                    <w:rPr>
                      <w:rFonts w:hint="default" w:ascii="Times New Roman" w:hAnsi="Times New Roman" w:eastAsia="仿宋" w:cs="Times New Roman"/>
                      <w:color w:val="auto"/>
                      <w:sz w:val="21"/>
                      <w:szCs w:val="21"/>
                    </w:rPr>
                  </w:pPr>
                </w:p>
              </w:tc>
            </w:tr>
            <w:tr w14:paraId="5A522B7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363392D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上风向G1</w:t>
                  </w:r>
                </w:p>
              </w:tc>
              <w:tc>
                <w:tcPr>
                  <w:tcW w:w="1286" w:type="dxa"/>
                  <w:vMerge w:val="continue"/>
                  <w:tcBorders>
                    <w:tl2br w:val="nil"/>
                    <w:tr2bl w:val="nil"/>
                  </w:tcBorders>
                  <w:noWrap w:val="0"/>
                  <w:vAlign w:val="center"/>
                </w:tcPr>
                <w:p w14:paraId="59C71453">
                  <w:pPr>
                    <w:jc w:val="center"/>
                    <w:rPr>
                      <w:rFonts w:hint="default" w:ascii="Times New Roman" w:hAnsi="Times New Roman" w:eastAsia="仿宋" w:cs="Times New Roman"/>
                      <w:color w:val="auto"/>
                      <w:sz w:val="21"/>
                      <w:szCs w:val="21"/>
                      <w:lang w:val="en-US" w:eastAsia="zh-CN"/>
                    </w:rPr>
                  </w:pPr>
                </w:p>
              </w:tc>
              <w:tc>
                <w:tcPr>
                  <w:tcW w:w="1666" w:type="dxa"/>
                  <w:vMerge w:val="restart"/>
                  <w:tcBorders>
                    <w:tl2br w:val="nil"/>
                    <w:tr2bl w:val="nil"/>
                  </w:tcBorders>
                  <w:noWrap w:val="0"/>
                  <w:vAlign w:val="center"/>
                </w:tcPr>
                <w:p w14:paraId="3EFB5FBA">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硫酸雾</w:t>
                  </w:r>
                  <w:r>
                    <w:rPr>
                      <w:rFonts w:hint="default" w:ascii="Times New Roman" w:hAnsi="Times New Roman" w:eastAsia="仿宋" w:cs="Times New Roman"/>
                      <w:color w:val="auto"/>
                      <w:sz w:val="21"/>
                      <w:szCs w:val="21"/>
                    </w:rPr>
                    <w:t>（mg/m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920" w:type="dxa"/>
                  <w:tcBorders>
                    <w:tl2br w:val="nil"/>
                    <w:tr2bl w:val="nil"/>
                  </w:tcBorders>
                  <w:noWrap w:val="0"/>
                  <w:vAlign w:val="center"/>
                </w:tcPr>
                <w:p w14:paraId="5A4DE49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1214" w:type="dxa"/>
                  <w:vMerge w:val="restart"/>
                  <w:tcBorders>
                    <w:tl2br w:val="nil"/>
                    <w:tr2bl w:val="nil"/>
                  </w:tcBorders>
                  <w:noWrap w:val="0"/>
                  <w:vAlign w:val="center"/>
                </w:tcPr>
                <w:p w14:paraId="0094E49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0.3</w:t>
                  </w:r>
                </w:p>
              </w:tc>
              <w:tc>
                <w:tcPr>
                  <w:tcW w:w="788" w:type="dxa"/>
                  <w:vMerge w:val="restart"/>
                  <w:tcBorders>
                    <w:tl2br w:val="nil"/>
                    <w:tr2bl w:val="nil"/>
                  </w:tcBorders>
                  <w:noWrap w:val="0"/>
                  <w:vAlign w:val="center"/>
                </w:tcPr>
                <w:p w14:paraId="4CA49DF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037E2BA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46E8354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下风向G2</w:t>
                  </w:r>
                </w:p>
              </w:tc>
              <w:tc>
                <w:tcPr>
                  <w:tcW w:w="1286" w:type="dxa"/>
                  <w:vMerge w:val="continue"/>
                  <w:tcBorders>
                    <w:tl2br w:val="nil"/>
                    <w:tr2bl w:val="nil"/>
                  </w:tcBorders>
                  <w:noWrap w:val="0"/>
                  <w:vAlign w:val="center"/>
                </w:tcPr>
                <w:p w14:paraId="1E1A57F3">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4EF03C36">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351E2E1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2342E273">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614F246E">
                  <w:pPr>
                    <w:jc w:val="center"/>
                    <w:rPr>
                      <w:rFonts w:hint="default" w:ascii="Times New Roman" w:hAnsi="Times New Roman" w:eastAsia="仿宋" w:cs="Times New Roman"/>
                      <w:color w:val="auto"/>
                      <w:sz w:val="21"/>
                      <w:szCs w:val="21"/>
                    </w:rPr>
                  </w:pPr>
                </w:p>
              </w:tc>
            </w:tr>
            <w:tr w14:paraId="12D318A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297C0C0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下风向G3</w:t>
                  </w:r>
                </w:p>
              </w:tc>
              <w:tc>
                <w:tcPr>
                  <w:tcW w:w="1286" w:type="dxa"/>
                  <w:vMerge w:val="continue"/>
                  <w:tcBorders>
                    <w:tl2br w:val="nil"/>
                    <w:tr2bl w:val="nil"/>
                  </w:tcBorders>
                  <w:noWrap w:val="0"/>
                  <w:vAlign w:val="center"/>
                </w:tcPr>
                <w:p w14:paraId="3ABDD888">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010FA922">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4A4CF78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41A69012">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6CA134E5">
                  <w:pPr>
                    <w:jc w:val="center"/>
                    <w:rPr>
                      <w:rFonts w:hint="default" w:ascii="Times New Roman" w:hAnsi="Times New Roman" w:eastAsia="仿宋" w:cs="Times New Roman"/>
                      <w:color w:val="auto"/>
                      <w:sz w:val="21"/>
                      <w:szCs w:val="21"/>
                    </w:rPr>
                  </w:pPr>
                </w:p>
              </w:tc>
            </w:tr>
            <w:tr w14:paraId="4550A22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5B746C8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下风向G4</w:t>
                  </w:r>
                </w:p>
              </w:tc>
              <w:tc>
                <w:tcPr>
                  <w:tcW w:w="1286" w:type="dxa"/>
                  <w:vMerge w:val="continue"/>
                  <w:tcBorders>
                    <w:tl2br w:val="nil"/>
                    <w:tr2bl w:val="nil"/>
                  </w:tcBorders>
                  <w:noWrap w:val="0"/>
                  <w:vAlign w:val="center"/>
                </w:tcPr>
                <w:p w14:paraId="01CECC66">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0BEE113F">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320BA9E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2B6469B5">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26684116">
                  <w:pPr>
                    <w:jc w:val="center"/>
                    <w:rPr>
                      <w:rFonts w:hint="default" w:ascii="Times New Roman" w:hAnsi="Times New Roman" w:eastAsia="仿宋" w:cs="Times New Roman"/>
                      <w:color w:val="auto"/>
                      <w:sz w:val="21"/>
                      <w:szCs w:val="21"/>
                    </w:rPr>
                  </w:pPr>
                </w:p>
              </w:tc>
            </w:tr>
            <w:tr w14:paraId="2041237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48A9148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上风向G1</w:t>
                  </w:r>
                </w:p>
              </w:tc>
              <w:tc>
                <w:tcPr>
                  <w:tcW w:w="1286" w:type="dxa"/>
                  <w:vMerge w:val="continue"/>
                  <w:tcBorders>
                    <w:tl2br w:val="nil"/>
                    <w:tr2bl w:val="nil"/>
                  </w:tcBorders>
                  <w:noWrap w:val="0"/>
                  <w:vAlign w:val="center"/>
                </w:tcPr>
                <w:p w14:paraId="7927C8F4">
                  <w:pPr>
                    <w:jc w:val="center"/>
                    <w:rPr>
                      <w:rFonts w:hint="default" w:ascii="Times New Roman" w:hAnsi="Times New Roman" w:eastAsia="仿宋" w:cs="Times New Roman"/>
                      <w:color w:val="auto"/>
                      <w:sz w:val="21"/>
                      <w:szCs w:val="21"/>
                    </w:rPr>
                  </w:pPr>
                </w:p>
              </w:tc>
              <w:tc>
                <w:tcPr>
                  <w:tcW w:w="1666" w:type="dxa"/>
                  <w:vMerge w:val="restart"/>
                  <w:tcBorders>
                    <w:tl2br w:val="nil"/>
                    <w:tr2bl w:val="nil"/>
                  </w:tcBorders>
                  <w:noWrap w:val="0"/>
                  <w:vAlign w:val="center"/>
                </w:tcPr>
                <w:p w14:paraId="12D18033">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氯化氢</w:t>
                  </w:r>
                  <w:r>
                    <w:rPr>
                      <w:rFonts w:hint="default" w:ascii="Times New Roman" w:hAnsi="Times New Roman" w:eastAsia="仿宋" w:cs="Times New Roman"/>
                      <w:color w:val="auto"/>
                      <w:sz w:val="21"/>
                      <w:szCs w:val="21"/>
                    </w:rPr>
                    <w:t>（mg/m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w:t>
                  </w:r>
                </w:p>
              </w:tc>
              <w:tc>
                <w:tcPr>
                  <w:tcW w:w="1920" w:type="dxa"/>
                  <w:tcBorders>
                    <w:tl2br w:val="nil"/>
                    <w:tr2bl w:val="nil"/>
                  </w:tcBorders>
                  <w:noWrap w:val="0"/>
                  <w:vAlign w:val="center"/>
                </w:tcPr>
                <w:p w14:paraId="75B1066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1214" w:type="dxa"/>
                  <w:vMerge w:val="restart"/>
                  <w:tcBorders>
                    <w:tl2br w:val="nil"/>
                    <w:tr2bl w:val="nil"/>
                  </w:tcBorders>
                  <w:noWrap w:val="0"/>
                  <w:vAlign w:val="center"/>
                </w:tcPr>
                <w:p w14:paraId="2D13E43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0.05</w:t>
                  </w:r>
                </w:p>
              </w:tc>
              <w:tc>
                <w:tcPr>
                  <w:tcW w:w="788" w:type="dxa"/>
                  <w:vMerge w:val="restart"/>
                  <w:tcBorders>
                    <w:tl2br w:val="nil"/>
                    <w:tr2bl w:val="nil"/>
                  </w:tcBorders>
                  <w:noWrap w:val="0"/>
                  <w:vAlign w:val="center"/>
                </w:tcPr>
                <w:p w14:paraId="342289D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76E7AF3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6E7D415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下风向G2</w:t>
                  </w:r>
                </w:p>
              </w:tc>
              <w:tc>
                <w:tcPr>
                  <w:tcW w:w="1286" w:type="dxa"/>
                  <w:vMerge w:val="continue"/>
                  <w:tcBorders>
                    <w:tl2br w:val="nil"/>
                    <w:tr2bl w:val="nil"/>
                  </w:tcBorders>
                  <w:noWrap w:val="0"/>
                  <w:vAlign w:val="center"/>
                </w:tcPr>
                <w:p w14:paraId="1F91BE5C">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22F168BF">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594D95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149B6575">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23D9D7F7">
                  <w:pPr>
                    <w:jc w:val="center"/>
                    <w:rPr>
                      <w:rFonts w:hint="default" w:ascii="Times New Roman" w:hAnsi="Times New Roman" w:eastAsia="仿宋" w:cs="Times New Roman"/>
                      <w:color w:val="auto"/>
                      <w:sz w:val="21"/>
                      <w:szCs w:val="21"/>
                    </w:rPr>
                  </w:pPr>
                </w:p>
              </w:tc>
            </w:tr>
            <w:tr w14:paraId="2A18407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3" w:type="dxa"/>
                  <w:tcBorders>
                    <w:tl2br w:val="nil"/>
                    <w:tr2bl w:val="nil"/>
                  </w:tcBorders>
                  <w:noWrap w:val="0"/>
                  <w:vAlign w:val="center"/>
                </w:tcPr>
                <w:p w14:paraId="51DF586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下风向G3</w:t>
                  </w:r>
                </w:p>
              </w:tc>
              <w:tc>
                <w:tcPr>
                  <w:tcW w:w="1286" w:type="dxa"/>
                  <w:vMerge w:val="continue"/>
                  <w:tcBorders>
                    <w:tl2br w:val="nil"/>
                    <w:tr2bl w:val="nil"/>
                  </w:tcBorders>
                  <w:noWrap w:val="0"/>
                  <w:vAlign w:val="center"/>
                </w:tcPr>
                <w:p w14:paraId="3AB991EC">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51F9962B">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082FFD4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57084623">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4031B527">
                  <w:pPr>
                    <w:jc w:val="center"/>
                    <w:rPr>
                      <w:rFonts w:hint="default" w:ascii="Times New Roman" w:hAnsi="Times New Roman" w:eastAsia="仿宋" w:cs="Times New Roman"/>
                      <w:color w:val="auto"/>
                      <w:sz w:val="21"/>
                      <w:szCs w:val="21"/>
                    </w:rPr>
                  </w:pPr>
                </w:p>
              </w:tc>
            </w:tr>
            <w:tr w14:paraId="7A8BFE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70" w:hRule="atLeast"/>
                <w:jc w:val="center"/>
              </w:trPr>
              <w:tc>
                <w:tcPr>
                  <w:tcW w:w="2383" w:type="dxa"/>
                  <w:tcBorders>
                    <w:tl2br w:val="nil"/>
                    <w:tr2bl w:val="nil"/>
                  </w:tcBorders>
                  <w:noWrap w:val="0"/>
                  <w:vAlign w:val="center"/>
                </w:tcPr>
                <w:p w14:paraId="0AF7C3F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下风向G4</w:t>
                  </w:r>
                </w:p>
              </w:tc>
              <w:tc>
                <w:tcPr>
                  <w:tcW w:w="1286" w:type="dxa"/>
                  <w:vMerge w:val="continue"/>
                  <w:tcBorders>
                    <w:tl2br w:val="nil"/>
                    <w:tr2bl w:val="nil"/>
                  </w:tcBorders>
                  <w:noWrap w:val="0"/>
                  <w:vAlign w:val="center"/>
                </w:tcPr>
                <w:p w14:paraId="4F37FFC4">
                  <w:pPr>
                    <w:jc w:val="center"/>
                    <w:rPr>
                      <w:rFonts w:hint="default" w:ascii="Times New Roman" w:hAnsi="Times New Roman" w:eastAsia="仿宋" w:cs="Times New Roman"/>
                      <w:color w:val="auto"/>
                      <w:sz w:val="21"/>
                      <w:szCs w:val="21"/>
                    </w:rPr>
                  </w:pPr>
                </w:p>
              </w:tc>
              <w:tc>
                <w:tcPr>
                  <w:tcW w:w="1666" w:type="dxa"/>
                  <w:vMerge w:val="continue"/>
                  <w:tcBorders>
                    <w:tl2br w:val="nil"/>
                    <w:tr2bl w:val="nil"/>
                  </w:tcBorders>
                  <w:noWrap w:val="0"/>
                  <w:vAlign w:val="center"/>
                </w:tcPr>
                <w:p w14:paraId="1CA6D621">
                  <w:pPr>
                    <w:jc w:val="center"/>
                    <w:rPr>
                      <w:rFonts w:hint="default" w:ascii="Times New Roman" w:hAnsi="Times New Roman" w:eastAsia="仿宋" w:cs="Times New Roman"/>
                      <w:color w:val="auto"/>
                      <w:sz w:val="21"/>
                      <w:szCs w:val="21"/>
                    </w:rPr>
                  </w:pPr>
                </w:p>
              </w:tc>
              <w:tc>
                <w:tcPr>
                  <w:tcW w:w="1920" w:type="dxa"/>
                  <w:tcBorders>
                    <w:tl2br w:val="nil"/>
                    <w:tr2bl w:val="nil"/>
                  </w:tcBorders>
                  <w:noWrap w:val="0"/>
                  <w:vAlign w:val="center"/>
                </w:tcPr>
                <w:p w14:paraId="32D47F6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1214" w:type="dxa"/>
                  <w:vMerge w:val="continue"/>
                  <w:tcBorders>
                    <w:tl2br w:val="nil"/>
                    <w:tr2bl w:val="nil"/>
                  </w:tcBorders>
                  <w:noWrap w:val="0"/>
                  <w:vAlign w:val="center"/>
                </w:tcPr>
                <w:p w14:paraId="3E76174C">
                  <w:pPr>
                    <w:jc w:val="center"/>
                    <w:rPr>
                      <w:rFonts w:hint="default" w:ascii="Times New Roman" w:hAnsi="Times New Roman" w:eastAsia="仿宋" w:cs="Times New Roman"/>
                      <w:color w:val="auto"/>
                      <w:sz w:val="21"/>
                      <w:szCs w:val="21"/>
                    </w:rPr>
                  </w:pPr>
                </w:p>
              </w:tc>
              <w:tc>
                <w:tcPr>
                  <w:tcW w:w="788" w:type="dxa"/>
                  <w:vMerge w:val="continue"/>
                  <w:tcBorders>
                    <w:tl2br w:val="nil"/>
                    <w:tr2bl w:val="nil"/>
                  </w:tcBorders>
                  <w:noWrap w:val="0"/>
                  <w:vAlign w:val="center"/>
                </w:tcPr>
                <w:p w14:paraId="195B99CD">
                  <w:pPr>
                    <w:jc w:val="center"/>
                    <w:rPr>
                      <w:rFonts w:hint="default" w:ascii="Times New Roman" w:hAnsi="Times New Roman" w:eastAsia="仿宋" w:cs="Times New Roman"/>
                      <w:color w:val="auto"/>
                      <w:sz w:val="21"/>
                      <w:szCs w:val="21"/>
                    </w:rPr>
                  </w:pPr>
                </w:p>
              </w:tc>
            </w:tr>
            <w:tr w14:paraId="2F34B32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57" w:type="dxa"/>
                  <w:gridSpan w:val="6"/>
                  <w:tcBorders>
                    <w:tl2br w:val="nil"/>
                    <w:tr2bl w:val="nil"/>
                  </w:tcBorders>
                  <w:noWrap w:val="0"/>
                  <w:vAlign w:val="center"/>
                </w:tcPr>
                <w:p w14:paraId="4E504135">
                  <w:pPr>
                    <w:jc w:val="both"/>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注：</w:t>
                  </w:r>
                  <w:r>
                    <w:rPr>
                      <w:rFonts w:hint="default" w:ascii="Times New Roman" w:hAnsi="Times New Roman" w:eastAsia="仿宋" w:cs="Times New Roman"/>
                      <w:color w:val="auto"/>
                      <w:sz w:val="21"/>
                      <w:szCs w:val="21"/>
                    </w:rPr>
                    <w:t>厂界无组织废气中非甲烷总烃、颗粒物</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硫酸雾、氯化氢</w:t>
                  </w:r>
                  <w:r>
                    <w:rPr>
                      <w:rFonts w:hint="default" w:ascii="Times New Roman" w:hAnsi="Times New Roman" w:eastAsia="仿宋" w:cs="Times New Roman"/>
                      <w:color w:val="auto"/>
                      <w:sz w:val="21"/>
                      <w:szCs w:val="21"/>
                      <w:lang w:val="en-US" w:eastAsia="zh-CN"/>
                    </w:rPr>
                    <w:t>监测浓度满足</w:t>
                  </w:r>
                  <w:r>
                    <w:rPr>
                      <w:rFonts w:hint="default" w:ascii="Times New Roman" w:hAnsi="Times New Roman" w:eastAsia="仿宋" w:cs="Times New Roman"/>
                      <w:color w:val="auto"/>
                      <w:sz w:val="21"/>
                      <w:szCs w:val="21"/>
                    </w:rPr>
                    <w:t>《大气污染物综合排放标准》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DB</w:t>
                  </w:r>
                  <w:r>
                    <w:rPr>
                      <w:rFonts w:hint="default" w:ascii="Times New Roman" w:hAnsi="Times New Roman"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32/4041-2021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表3限值</w:t>
                  </w:r>
                  <w:r>
                    <w:rPr>
                      <w:rFonts w:hint="default" w:ascii="Times New Roman" w:hAnsi="Times New Roman" w:eastAsia="仿宋" w:cs="Times New Roman"/>
                      <w:color w:val="auto"/>
                      <w:sz w:val="21"/>
                      <w:szCs w:val="21"/>
                      <w:lang w:val="en-US" w:eastAsia="zh-CN"/>
                    </w:rPr>
                    <w:t>要求</w:t>
                  </w:r>
                  <w:r>
                    <w:rPr>
                      <w:rFonts w:hint="default" w:ascii="Times New Roman" w:hAnsi="Times New Roman" w:eastAsia="仿宋" w:cs="Times New Roman"/>
                      <w:color w:val="auto"/>
                      <w:sz w:val="21"/>
                      <w:szCs w:val="21"/>
                    </w:rPr>
                    <w:t>。</w:t>
                  </w:r>
                </w:p>
              </w:tc>
            </w:tr>
          </w:tbl>
          <w:p w14:paraId="501F4E6C">
            <w:pPr>
              <w:keepNext w:val="0"/>
              <w:keepLines w:val="0"/>
              <w:numPr>
                <w:ilvl w:val="0"/>
                <w:numId w:val="0"/>
              </w:numPr>
              <w:suppressLineNumbers w:val="0"/>
              <w:spacing w:before="0" w:beforeAutospacing="0" w:after="0" w:afterAutospacing="0" w:line="360" w:lineRule="auto"/>
              <w:ind w:right="0" w:rightChars="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）噪声</w:t>
            </w:r>
          </w:p>
          <w:p w14:paraId="3AF96AA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val="en-US" w:eastAsia="zh-Hans"/>
              </w:rPr>
            </w:pPr>
            <w:r>
              <w:rPr>
                <w:rFonts w:hint="eastAsia"/>
                <w:color w:val="auto"/>
                <w:sz w:val="24"/>
                <w:lang w:eastAsia="zh-Hans"/>
              </w:rPr>
              <w:t>现有项目均正常运行，</w:t>
            </w:r>
            <w:r>
              <w:rPr>
                <w:rFonts w:hint="eastAsia"/>
                <w:color w:val="auto"/>
                <w:sz w:val="24"/>
                <w:szCs w:val="24"/>
                <w:lang w:val="en-US" w:eastAsia="zh-CN"/>
              </w:rPr>
              <w:t>本次引用企业例行检测（报告编号：CMJC202603151）中相关数据，具体数据如下</w:t>
            </w:r>
            <w:r>
              <w:rPr>
                <w:rFonts w:hint="eastAsia" w:ascii="Times New Roman" w:hAnsi="Times New Roman" w:eastAsia="宋体"/>
                <w:color w:val="auto"/>
                <w:sz w:val="24"/>
                <w:szCs w:val="24"/>
                <w:lang w:val="en-US" w:eastAsia="zh-Hans"/>
              </w:rPr>
              <w:t>。</w:t>
            </w:r>
          </w:p>
          <w:p w14:paraId="3C7F35F5">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ascii="Times New Roman" w:hAnsi="Times New Roman" w:eastAsia="宋体" w:cs="Times New Roman"/>
                <w:b/>
                <w:bCs/>
                <w:color w:val="auto"/>
                <w:kern w:val="2"/>
                <w:sz w:val="24"/>
                <w:szCs w:val="24"/>
                <w:highlight w:val="none"/>
                <w:lang w:val="en-US" w:eastAsia="zh-CN" w:bidi="ar"/>
              </w:rPr>
              <w:t>现有项目噪声检测结果一览表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094"/>
              <w:gridCol w:w="2081"/>
              <w:gridCol w:w="1599"/>
              <w:gridCol w:w="1549"/>
              <w:gridCol w:w="1573"/>
            </w:tblGrid>
            <w:tr w14:paraId="0E5B06B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51" w:hRule="atLeast"/>
                <w:jc w:val="center"/>
              </w:trPr>
              <w:tc>
                <w:tcPr>
                  <w:tcW w:w="734" w:type="pct"/>
                  <w:vMerge w:val="restart"/>
                  <w:tcBorders>
                    <w:tl2br w:val="nil"/>
                    <w:tr2bl w:val="nil"/>
                  </w:tcBorders>
                  <w:noWrap w:val="0"/>
                  <w:vAlign w:val="center"/>
                </w:tcPr>
                <w:p w14:paraId="6304FFB2">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rPr>
                    <w:t>日期</w:t>
                  </w:r>
                </w:p>
              </w:tc>
              <w:tc>
                <w:tcPr>
                  <w:tcW w:w="591" w:type="pct"/>
                  <w:vMerge w:val="restart"/>
                  <w:tcBorders>
                    <w:tl2br w:val="nil"/>
                    <w:tr2bl w:val="nil"/>
                  </w:tcBorders>
                  <w:noWrap w:val="0"/>
                  <w:vAlign w:val="center"/>
                </w:tcPr>
                <w:p w14:paraId="134FF59F">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rPr>
                    <w:t>测点编号</w:t>
                  </w:r>
                </w:p>
              </w:tc>
              <w:tc>
                <w:tcPr>
                  <w:tcW w:w="1124" w:type="pct"/>
                  <w:vMerge w:val="restart"/>
                  <w:tcBorders>
                    <w:tl2br w:val="nil"/>
                    <w:tr2bl w:val="nil"/>
                  </w:tcBorders>
                  <w:noWrap w:val="0"/>
                  <w:vAlign w:val="center"/>
                </w:tcPr>
                <w:p w14:paraId="335DD310">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rPr>
                    <w:t>测点位置</w:t>
                  </w:r>
                </w:p>
              </w:tc>
              <w:tc>
                <w:tcPr>
                  <w:tcW w:w="2549" w:type="pct"/>
                  <w:gridSpan w:val="3"/>
                  <w:tcBorders>
                    <w:tl2br w:val="nil"/>
                    <w:tr2bl w:val="nil"/>
                  </w:tcBorders>
                  <w:noWrap w:val="0"/>
                  <w:vAlign w:val="center"/>
                </w:tcPr>
                <w:p w14:paraId="125CA5CA">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rPr>
                    <w:t>厂界噪声dB（A）</w:t>
                  </w:r>
                </w:p>
              </w:tc>
            </w:tr>
            <w:tr w14:paraId="4EA548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151" w:hRule="atLeast"/>
                <w:jc w:val="center"/>
              </w:trPr>
              <w:tc>
                <w:tcPr>
                  <w:tcW w:w="734" w:type="pct"/>
                  <w:vMerge w:val="continue"/>
                  <w:tcBorders>
                    <w:tl2br w:val="nil"/>
                    <w:tr2bl w:val="nil"/>
                  </w:tcBorders>
                  <w:noWrap w:val="0"/>
                  <w:vAlign w:val="center"/>
                </w:tcPr>
                <w:p w14:paraId="27493C0A">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rPr>
                  </w:pPr>
                </w:p>
              </w:tc>
              <w:tc>
                <w:tcPr>
                  <w:tcW w:w="591" w:type="pct"/>
                  <w:vMerge w:val="continue"/>
                  <w:tcBorders>
                    <w:tl2br w:val="nil"/>
                    <w:tr2bl w:val="nil"/>
                  </w:tcBorders>
                  <w:noWrap w:val="0"/>
                  <w:vAlign w:val="center"/>
                </w:tcPr>
                <w:p w14:paraId="3380808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rPr>
                  </w:pPr>
                </w:p>
              </w:tc>
              <w:tc>
                <w:tcPr>
                  <w:tcW w:w="1124" w:type="pct"/>
                  <w:vMerge w:val="continue"/>
                  <w:tcBorders>
                    <w:tl2br w:val="nil"/>
                    <w:tr2bl w:val="nil"/>
                  </w:tcBorders>
                  <w:noWrap w:val="0"/>
                  <w:vAlign w:val="center"/>
                </w:tcPr>
                <w:p w14:paraId="0432D1B8">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rPr>
                  </w:pPr>
                </w:p>
              </w:tc>
              <w:tc>
                <w:tcPr>
                  <w:tcW w:w="2549" w:type="pct"/>
                  <w:gridSpan w:val="3"/>
                  <w:tcBorders>
                    <w:tl2br w:val="nil"/>
                    <w:tr2bl w:val="nil"/>
                  </w:tcBorders>
                  <w:noWrap w:val="0"/>
                  <w:vAlign w:val="center"/>
                </w:tcPr>
                <w:p w14:paraId="5D88E814">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lang w:val="en-US" w:eastAsia="zh-CN"/>
                    </w:rPr>
                  </w:pPr>
                  <w:r>
                    <w:rPr>
                      <w:rFonts w:hint="default" w:ascii="Times New Roman" w:hAnsi="Times New Roman" w:eastAsia="仿宋" w:cs="Times New Roman"/>
                      <w:b/>
                      <w:bCs/>
                      <w:color w:val="auto"/>
                      <w:sz w:val="21"/>
                      <w:szCs w:val="21"/>
                      <w:highlight w:val="none"/>
                      <w:u w:val="none" w:color="000000"/>
                    </w:rPr>
                    <w:t>昼间</w:t>
                  </w:r>
                </w:p>
              </w:tc>
            </w:tr>
            <w:tr w14:paraId="7E3DA65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pct"/>
                  <w:vMerge w:val="continue"/>
                  <w:tcBorders>
                    <w:tl2br w:val="nil"/>
                    <w:tr2bl w:val="nil"/>
                  </w:tcBorders>
                  <w:noWrap w:val="0"/>
                  <w:vAlign w:val="center"/>
                </w:tcPr>
                <w:p w14:paraId="561A332F">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p>
              </w:tc>
              <w:tc>
                <w:tcPr>
                  <w:tcW w:w="591" w:type="pct"/>
                  <w:vMerge w:val="continue"/>
                  <w:tcBorders>
                    <w:tl2br w:val="nil"/>
                    <w:tr2bl w:val="nil"/>
                  </w:tcBorders>
                  <w:noWrap w:val="0"/>
                  <w:vAlign w:val="center"/>
                </w:tcPr>
                <w:p w14:paraId="67C9A158">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p>
              </w:tc>
              <w:tc>
                <w:tcPr>
                  <w:tcW w:w="1124" w:type="pct"/>
                  <w:vMerge w:val="continue"/>
                  <w:tcBorders>
                    <w:tl2br w:val="nil"/>
                    <w:tr2bl w:val="nil"/>
                  </w:tcBorders>
                  <w:noWrap w:val="0"/>
                  <w:vAlign w:val="center"/>
                </w:tcPr>
                <w:p w14:paraId="00098EF7">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p>
              </w:tc>
              <w:tc>
                <w:tcPr>
                  <w:tcW w:w="864" w:type="pct"/>
                  <w:tcBorders>
                    <w:tl2br w:val="nil"/>
                    <w:tr2bl w:val="nil"/>
                  </w:tcBorders>
                  <w:noWrap w:val="0"/>
                  <w:vAlign w:val="center"/>
                </w:tcPr>
                <w:p w14:paraId="5AF3216F">
                  <w:pPr>
                    <w:pStyle w:val="46"/>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rPr>
                    <w:t>监测值</w:t>
                  </w:r>
                </w:p>
              </w:tc>
              <w:tc>
                <w:tcPr>
                  <w:tcW w:w="837" w:type="pct"/>
                  <w:tcBorders>
                    <w:tl2br w:val="nil"/>
                    <w:tr2bl w:val="nil"/>
                  </w:tcBorders>
                  <w:noWrap w:val="0"/>
                  <w:vAlign w:val="center"/>
                </w:tcPr>
                <w:p w14:paraId="4CCA0E4D">
                  <w:pPr>
                    <w:pStyle w:val="46"/>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lang w:val="en-US" w:eastAsia="zh-CN"/>
                    </w:rPr>
                  </w:pPr>
                  <w:r>
                    <w:rPr>
                      <w:rFonts w:hint="default" w:ascii="Times New Roman" w:hAnsi="Times New Roman" w:eastAsia="仿宋" w:cs="Times New Roman"/>
                      <w:b/>
                      <w:bCs/>
                      <w:color w:val="auto"/>
                      <w:sz w:val="21"/>
                      <w:szCs w:val="21"/>
                      <w:highlight w:val="none"/>
                      <w:u w:val="none" w:color="000000"/>
                      <w:lang w:val="en-US" w:eastAsia="zh-CN"/>
                    </w:rPr>
                    <w:t>标准值</w:t>
                  </w:r>
                </w:p>
              </w:tc>
              <w:tc>
                <w:tcPr>
                  <w:tcW w:w="848" w:type="pct"/>
                  <w:tcBorders>
                    <w:tl2br w:val="nil"/>
                    <w:tr2bl w:val="nil"/>
                  </w:tcBorders>
                  <w:noWrap w:val="0"/>
                  <w:vAlign w:val="center"/>
                </w:tcPr>
                <w:p w14:paraId="3F24F18D">
                  <w:pPr>
                    <w:pStyle w:val="46"/>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仿宋" w:cs="Times New Roman"/>
                      <w:b/>
                      <w:bCs/>
                      <w:color w:val="auto"/>
                      <w:sz w:val="21"/>
                      <w:szCs w:val="21"/>
                      <w:highlight w:val="none"/>
                      <w:u w:val="none" w:color="000000"/>
                    </w:rPr>
                  </w:pPr>
                  <w:r>
                    <w:rPr>
                      <w:rFonts w:hint="default" w:ascii="Times New Roman" w:hAnsi="Times New Roman" w:eastAsia="仿宋" w:cs="Times New Roman"/>
                      <w:b/>
                      <w:bCs/>
                      <w:color w:val="auto"/>
                      <w:sz w:val="21"/>
                      <w:szCs w:val="21"/>
                      <w:highlight w:val="none"/>
                      <w:u w:val="none" w:color="000000"/>
                      <w:lang w:val="en-US" w:eastAsia="zh-CN"/>
                    </w:rPr>
                    <w:t>判定</w:t>
                  </w:r>
                </w:p>
              </w:tc>
            </w:tr>
            <w:tr w14:paraId="322F537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4" w:type="pct"/>
                  <w:vMerge w:val="restart"/>
                  <w:tcBorders>
                    <w:tl2br w:val="nil"/>
                    <w:tr2bl w:val="nil"/>
                  </w:tcBorders>
                  <w:noWrap w:val="0"/>
                  <w:vAlign w:val="center"/>
                </w:tcPr>
                <w:p w14:paraId="6A59F82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default" w:ascii="Times New Roman" w:hAnsi="Times New Roman" w:eastAsia="仿宋" w:cs="Times New Roman"/>
                      <w:color w:val="auto"/>
                      <w:sz w:val="21"/>
                      <w:szCs w:val="21"/>
                      <w:highlight w:val="none"/>
                      <w:lang w:val="en-US" w:eastAsia="zh-CN"/>
                    </w:rPr>
                    <w:t>202</w:t>
                  </w:r>
                  <w:r>
                    <w:rPr>
                      <w:rFonts w:hint="eastAsia" w:eastAsia="仿宋" w:cs="Times New Roman"/>
                      <w:color w:val="auto"/>
                      <w:sz w:val="21"/>
                      <w:szCs w:val="21"/>
                      <w:highlight w:val="none"/>
                      <w:lang w:val="en-US" w:eastAsia="zh-CN"/>
                    </w:rPr>
                    <w:t>5.06.18</w:t>
                  </w:r>
                </w:p>
              </w:tc>
              <w:tc>
                <w:tcPr>
                  <w:tcW w:w="591" w:type="pct"/>
                  <w:tcBorders>
                    <w:tl2br w:val="nil"/>
                    <w:tr2bl w:val="nil"/>
                  </w:tcBorders>
                  <w:noWrap w:val="0"/>
                  <w:vAlign w:val="center"/>
                </w:tcPr>
                <w:p w14:paraId="6DDA1725">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jc w:val="center"/>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N1</w:t>
                  </w:r>
                </w:p>
              </w:tc>
              <w:tc>
                <w:tcPr>
                  <w:tcW w:w="1124" w:type="pct"/>
                  <w:tcBorders>
                    <w:tl2br w:val="nil"/>
                    <w:tr2bl w:val="nil"/>
                  </w:tcBorders>
                  <w:noWrap w:val="0"/>
                  <w:vAlign w:val="center"/>
                </w:tcPr>
                <w:p w14:paraId="5B4109E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rPr>
                    <w:t>东厂界外1m</w:t>
                  </w:r>
                </w:p>
              </w:tc>
              <w:tc>
                <w:tcPr>
                  <w:tcW w:w="864" w:type="pct"/>
                  <w:tcBorders>
                    <w:tl2br w:val="nil"/>
                    <w:tr2bl w:val="nil"/>
                  </w:tcBorders>
                  <w:noWrap w:val="0"/>
                  <w:vAlign w:val="center"/>
                </w:tcPr>
                <w:p w14:paraId="7B42FC7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59</w:t>
                  </w:r>
                </w:p>
              </w:tc>
              <w:tc>
                <w:tcPr>
                  <w:tcW w:w="837" w:type="pct"/>
                  <w:vMerge w:val="restart"/>
                  <w:tcBorders>
                    <w:tl2br w:val="nil"/>
                    <w:tr2bl w:val="nil"/>
                  </w:tcBorders>
                  <w:noWrap w:val="0"/>
                  <w:vAlign w:val="center"/>
                </w:tcPr>
                <w:p w14:paraId="584D31A1">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eastAsia" w:ascii="Times New Roman" w:hAnsi="Times New Roman" w:eastAsia="仿宋" w:cs="Times New Roman"/>
                      <w:color w:val="auto"/>
                      <w:sz w:val="21"/>
                      <w:szCs w:val="21"/>
                      <w:highlight w:val="none"/>
                      <w:u w:val="none" w:color="000000"/>
                      <w:lang w:val="en-US" w:eastAsia="zh-CN"/>
                    </w:rPr>
                  </w:pPr>
                  <w:r>
                    <w:rPr>
                      <w:rFonts w:hint="default" w:ascii="Times New Roman" w:hAnsi="Times New Roman" w:eastAsia="仿宋" w:cs="Times New Roman"/>
                      <w:color w:val="auto"/>
                      <w:sz w:val="21"/>
                      <w:szCs w:val="21"/>
                      <w:highlight w:val="none"/>
                      <w:u w:val="none" w:color="000000"/>
                      <w:lang w:val="en-US" w:eastAsia="zh-CN"/>
                    </w:rPr>
                    <w:t>≤</w:t>
                  </w:r>
                  <w:r>
                    <w:rPr>
                      <w:rFonts w:hint="default" w:ascii="Times New Roman" w:hAnsi="Times New Roman" w:eastAsia="仿宋" w:cs="Times New Roman"/>
                      <w:color w:val="auto"/>
                      <w:sz w:val="21"/>
                      <w:szCs w:val="21"/>
                      <w:highlight w:val="none"/>
                      <w:u w:val="none" w:color="000000"/>
                    </w:rPr>
                    <w:t>6</w:t>
                  </w:r>
                  <w:r>
                    <w:rPr>
                      <w:rFonts w:hint="eastAsia" w:eastAsia="仿宋" w:cs="Times New Roman"/>
                      <w:color w:val="auto"/>
                      <w:sz w:val="21"/>
                      <w:szCs w:val="21"/>
                      <w:highlight w:val="none"/>
                      <w:u w:val="none" w:color="000000"/>
                      <w:lang w:val="en-US" w:eastAsia="zh-CN"/>
                    </w:rPr>
                    <w:t>0</w:t>
                  </w:r>
                </w:p>
              </w:tc>
              <w:tc>
                <w:tcPr>
                  <w:tcW w:w="848" w:type="pct"/>
                  <w:tcBorders>
                    <w:tl2br w:val="nil"/>
                    <w:tr2bl w:val="nil"/>
                  </w:tcBorders>
                  <w:noWrap w:val="0"/>
                  <w:vAlign w:val="center"/>
                </w:tcPr>
                <w:p w14:paraId="2A543C28">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eastAsia" w:ascii="Times New Roman" w:hAnsi="Times New Roman" w:eastAsia="仿宋" w:cs="Times New Roman"/>
                      <w:color w:val="auto"/>
                      <w:sz w:val="21"/>
                      <w:szCs w:val="21"/>
                      <w:highlight w:val="none"/>
                      <w:u w:val="none" w:color="000000"/>
                      <w:lang w:val="en-US" w:eastAsia="zh-CN"/>
                    </w:rPr>
                  </w:pPr>
                  <w:r>
                    <w:rPr>
                      <w:rFonts w:hint="default" w:ascii="Times New Roman" w:hAnsi="Times New Roman" w:eastAsia="仿宋" w:cs="Times New Roman"/>
                      <w:color w:val="auto"/>
                      <w:sz w:val="21"/>
                      <w:szCs w:val="21"/>
                      <w:highlight w:val="none"/>
                      <w:u w:val="none" w:color="000000"/>
                      <w:lang w:val="en-US" w:eastAsia="zh-CN"/>
                    </w:rPr>
                    <w:t>达标</w:t>
                  </w:r>
                </w:p>
              </w:tc>
            </w:tr>
            <w:tr w14:paraId="3C3396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4" w:type="pct"/>
                  <w:vMerge w:val="continue"/>
                  <w:tcBorders>
                    <w:tl2br w:val="nil"/>
                    <w:tr2bl w:val="nil"/>
                  </w:tcBorders>
                  <w:noWrap w:val="0"/>
                  <w:vAlign w:val="center"/>
                </w:tcPr>
                <w:p w14:paraId="746D9E0F">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591" w:type="pct"/>
                  <w:tcBorders>
                    <w:tl2br w:val="nil"/>
                    <w:tr2bl w:val="nil"/>
                  </w:tcBorders>
                  <w:noWrap w:val="0"/>
                  <w:vAlign w:val="center"/>
                </w:tcPr>
                <w:p w14:paraId="6A53C333">
                  <w:pPr>
                    <w:keepNext w:val="0"/>
                    <w:keepLines w:val="0"/>
                    <w:pageBreakBefore w:val="0"/>
                    <w:widowControl w:val="0"/>
                    <w:kinsoku/>
                    <w:wordWrap/>
                    <w:overflowPunct/>
                    <w:topLinePunct w:val="0"/>
                    <w:autoSpaceDE/>
                    <w:autoSpaceDN/>
                    <w:bidi w:val="0"/>
                    <w:adjustRightInd/>
                    <w:spacing w:before="0" w:after="0" w:line="240" w:lineRule="auto"/>
                    <w:ind w:left="0" w:leftChars="0" w:right="0"/>
                    <w:jc w:val="center"/>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N2</w:t>
                  </w:r>
                </w:p>
              </w:tc>
              <w:tc>
                <w:tcPr>
                  <w:tcW w:w="1124" w:type="pct"/>
                  <w:tcBorders>
                    <w:tl2br w:val="nil"/>
                    <w:tr2bl w:val="nil"/>
                  </w:tcBorders>
                  <w:noWrap w:val="0"/>
                  <w:vAlign w:val="center"/>
                </w:tcPr>
                <w:p w14:paraId="363FC903">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rPr>
                    <w:t>南厂界外1m</w:t>
                  </w:r>
                </w:p>
              </w:tc>
              <w:tc>
                <w:tcPr>
                  <w:tcW w:w="864" w:type="pct"/>
                  <w:tcBorders>
                    <w:tl2br w:val="nil"/>
                    <w:tr2bl w:val="nil"/>
                  </w:tcBorders>
                  <w:noWrap w:val="0"/>
                  <w:vAlign w:val="center"/>
                </w:tcPr>
                <w:p w14:paraId="73034E12">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56</w:t>
                  </w:r>
                </w:p>
              </w:tc>
              <w:tc>
                <w:tcPr>
                  <w:tcW w:w="837" w:type="pct"/>
                  <w:vMerge w:val="continue"/>
                  <w:tcBorders>
                    <w:tl2br w:val="nil"/>
                    <w:tr2bl w:val="nil"/>
                  </w:tcBorders>
                  <w:noWrap w:val="0"/>
                  <w:vAlign w:val="center"/>
                </w:tcPr>
                <w:p w14:paraId="3ECC84F5">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848" w:type="pct"/>
                  <w:tcBorders>
                    <w:tl2br w:val="nil"/>
                    <w:tr2bl w:val="nil"/>
                  </w:tcBorders>
                  <w:noWrap w:val="0"/>
                  <w:vAlign w:val="center"/>
                </w:tcPr>
                <w:p w14:paraId="6F63801B">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lang w:val="en-US" w:eastAsia="zh-CN"/>
                    </w:rPr>
                    <w:t>达标</w:t>
                  </w:r>
                </w:p>
              </w:tc>
            </w:tr>
            <w:tr w14:paraId="2912E1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734" w:type="pct"/>
                  <w:vMerge w:val="continue"/>
                  <w:tcBorders>
                    <w:tl2br w:val="nil"/>
                    <w:tr2bl w:val="nil"/>
                  </w:tcBorders>
                  <w:noWrap w:val="0"/>
                  <w:vAlign w:val="center"/>
                </w:tcPr>
                <w:p w14:paraId="54B6E33B">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591" w:type="pct"/>
                  <w:tcBorders>
                    <w:tl2br w:val="nil"/>
                    <w:tr2bl w:val="nil"/>
                  </w:tcBorders>
                  <w:noWrap w:val="0"/>
                  <w:vAlign w:val="center"/>
                </w:tcPr>
                <w:p w14:paraId="696ED375">
                  <w:pPr>
                    <w:keepNext w:val="0"/>
                    <w:keepLines w:val="0"/>
                    <w:pageBreakBefore w:val="0"/>
                    <w:widowControl w:val="0"/>
                    <w:kinsoku/>
                    <w:wordWrap/>
                    <w:overflowPunct/>
                    <w:topLinePunct w:val="0"/>
                    <w:autoSpaceDE/>
                    <w:autoSpaceDN/>
                    <w:bidi w:val="0"/>
                    <w:adjustRightInd/>
                    <w:spacing w:before="0" w:after="0" w:line="240" w:lineRule="auto"/>
                    <w:ind w:left="0" w:leftChars="0" w:right="0"/>
                    <w:jc w:val="center"/>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N3</w:t>
                  </w:r>
                </w:p>
              </w:tc>
              <w:tc>
                <w:tcPr>
                  <w:tcW w:w="1124" w:type="pct"/>
                  <w:tcBorders>
                    <w:tl2br w:val="nil"/>
                    <w:tr2bl w:val="nil"/>
                  </w:tcBorders>
                  <w:noWrap w:val="0"/>
                  <w:vAlign w:val="center"/>
                </w:tcPr>
                <w:p w14:paraId="7CCFB3B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lang w:val="en-US" w:eastAsia="zh-CN"/>
                    </w:rPr>
                    <w:t>西</w:t>
                  </w:r>
                  <w:r>
                    <w:rPr>
                      <w:rFonts w:hint="default" w:ascii="Times New Roman" w:hAnsi="Times New Roman" w:eastAsia="仿宋" w:cs="Times New Roman"/>
                      <w:color w:val="auto"/>
                      <w:sz w:val="21"/>
                      <w:szCs w:val="21"/>
                      <w:highlight w:val="none"/>
                      <w:u w:val="none" w:color="000000"/>
                    </w:rPr>
                    <w:t>厂界外1m</w:t>
                  </w:r>
                </w:p>
              </w:tc>
              <w:tc>
                <w:tcPr>
                  <w:tcW w:w="864" w:type="pct"/>
                  <w:tcBorders>
                    <w:tl2br w:val="nil"/>
                    <w:tr2bl w:val="nil"/>
                  </w:tcBorders>
                  <w:noWrap w:val="0"/>
                  <w:vAlign w:val="center"/>
                </w:tcPr>
                <w:p w14:paraId="624109C1">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57</w:t>
                  </w:r>
                </w:p>
              </w:tc>
              <w:tc>
                <w:tcPr>
                  <w:tcW w:w="837" w:type="pct"/>
                  <w:vMerge w:val="continue"/>
                  <w:tcBorders>
                    <w:tl2br w:val="nil"/>
                    <w:tr2bl w:val="nil"/>
                  </w:tcBorders>
                  <w:noWrap w:val="0"/>
                  <w:vAlign w:val="center"/>
                </w:tcPr>
                <w:p w14:paraId="4A453BFA">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848" w:type="pct"/>
                  <w:tcBorders>
                    <w:tl2br w:val="nil"/>
                    <w:tr2bl w:val="nil"/>
                  </w:tcBorders>
                  <w:noWrap w:val="0"/>
                  <w:vAlign w:val="center"/>
                </w:tcPr>
                <w:p w14:paraId="31E67D5C">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lang w:val="en-US" w:eastAsia="zh-CN"/>
                    </w:rPr>
                    <w:t>达标</w:t>
                  </w:r>
                </w:p>
              </w:tc>
            </w:tr>
            <w:tr w14:paraId="01A5159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246" w:hRule="atLeast"/>
                <w:jc w:val="center"/>
              </w:trPr>
              <w:tc>
                <w:tcPr>
                  <w:tcW w:w="734" w:type="pct"/>
                  <w:vMerge w:val="continue"/>
                  <w:tcBorders>
                    <w:tl2br w:val="nil"/>
                    <w:tr2bl w:val="nil"/>
                  </w:tcBorders>
                  <w:noWrap w:val="0"/>
                  <w:vAlign w:val="center"/>
                </w:tcPr>
                <w:p w14:paraId="1C52EBB7">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591" w:type="pct"/>
                  <w:tcBorders>
                    <w:tl2br w:val="nil"/>
                    <w:tr2bl w:val="nil"/>
                  </w:tcBorders>
                  <w:noWrap w:val="0"/>
                  <w:vAlign w:val="center"/>
                </w:tcPr>
                <w:p w14:paraId="136A7FA9">
                  <w:pPr>
                    <w:keepNext w:val="0"/>
                    <w:keepLines w:val="0"/>
                    <w:pageBreakBefore w:val="0"/>
                    <w:widowControl w:val="0"/>
                    <w:kinsoku/>
                    <w:wordWrap/>
                    <w:overflowPunct/>
                    <w:topLinePunct w:val="0"/>
                    <w:autoSpaceDE/>
                    <w:autoSpaceDN/>
                    <w:bidi w:val="0"/>
                    <w:adjustRightInd/>
                    <w:spacing w:before="0" w:after="0" w:line="240" w:lineRule="auto"/>
                    <w:ind w:left="0" w:leftChars="0" w:right="0"/>
                    <w:jc w:val="center"/>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N4</w:t>
                  </w:r>
                </w:p>
              </w:tc>
              <w:tc>
                <w:tcPr>
                  <w:tcW w:w="1124" w:type="pct"/>
                  <w:tcBorders>
                    <w:tl2br w:val="nil"/>
                    <w:tr2bl w:val="nil"/>
                  </w:tcBorders>
                  <w:noWrap w:val="0"/>
                  <w:vAlign w:val="center"/>
                </w:tcPr>
                <w:p w14:paraId="5D13F64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default" w:ascii="Times New Roman" w:hAnsi="Times New Roman" w:eastAsia="仿宋" w:cs="Times New Roman"/>
                      <w:color w:val="auto"/>
                      <w:sz w:val="21"/>
                      <w:szCs w:val="21"/>
                      <w:highlight w:val="none"/>
                      <w:u w:val="none" w:color="000000"/>
                      <w:lang w:val="en-US" w:eastAsia="zh-CN"/>
                    </w:rPr>
                    <w:t>北</w:t>
                  </w:r>
                  <w:r>
                    <w:rPr>
                      <w:rFonts w:hint="default" w:ascii="Times New Roman" w:hAnsi="Times New Roman" w:eastAsia="仿宋" w:cs="Times New Roman"/>
                      <w:color w:val="auto"/>
                      <w:sz w:val="21"/>
                      <w:szCs w:val="21"/>
                      <w:highlight w:val="none"/>
                      <w:u w:val="none" w:color="000000"/>
                    </w:rPr>
                    <w:t>厂界外1m</w:t>
                  </w:r>
                </w:p>
              </w:tc>
              <w:tc>
                <w:tcPr>
                  <w:tcW w:w="864" w:type="pct"/>
                  <w:tcBorders>
                    <w:tl2br w:val="nil"/>
                    <w:tr2bl w:val="nil"/>
                  </w:tcBorders>
                  <w:noWrap w:val="0"/>
                  <w:vAlign w:val="center"/>
                </w:tcPr>
                <w:p w14:paraId="1E40D669">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lang w:val="en-US" w:eastAsia="zh-CN"/>
                    </w:rPr>
                  </w:pPr>
                  <w:r>
                    <w:rPr>
                      <w:rFonts w:hint="eastAsia" w:eastAsia="仿宋" w:cs="Times New Roman"/>
                      <w:color w:val="auto"/>
                      <w:sz w:val="21"/>
                      <w:szCs w:val="21"/>
                      <w:highlight w:val="none"/>
                      <w:u w:val="none" w:color="000000"/>
                      <w:lang w:val="en-US" w:eastAsia="zh-CN"/>
                    </w:rPr>
                    <w:t>58</w:t>
                  </w:r>
                </w:p>
              </w:tc>
              <w:tc>
                <w:tcPr>
                  <w:tcW w:w="837" w:type="pct"/>
                  <w:vMerge w:val="continue"/>
                  <w:tcBorders>
                    <w:tl2br w:val="nil"/>
                    <w:tr2bl w:val="nil"/>
                  </w:tcBorders>
                  <w:noWrap w:val="0"/>
                  <w:vAlign w:val="center"/>
                </w:tcPr>
                <w:p w14:paraId="0178FB36">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p>
              </w:tc>
              <w:tc>
                <w:tcPr>
                  <w:tcW w:w="848" w:type="pct"/>
                  <w:tcBorders>
                    <w:tl2br w:val="nil"/>
                    <w:tr2bl w:val="nil"/>
                  </w:tcBorders>
                  <w:noWrap w:val="0"/>
                  <w:vAlign w:val="center"/>
                </w:tcPr>
                <w:p w14:paraId="0CE7CFAE">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textAlignment w:val="auto"/>
                    <w:rPr>
                      <w:rFonts w:hint="default" w:ascii="Times New Roman" w:hAnsi="Times New Roman" w:eastAsia="仿宋" w:cs="Times New Roman"/>
                      <w:color w:val="auto"/>
                      <w:sz w:val="21"/>
                      <w:szCs w:val="21"/>
                      <w:highlight w:val="none"/>
                      <w:u w:val="none" w:color="000000"/>
                    </w:rPr>
                  </w:pPr>
                  <w:r>
                    <w:rPr>
                      <w:rFonts w:hint="default" w:ascii="Times New Roman" w:hAnsi="Times New Roman" w:eastAsia="仿宋" w:cs="Times New Roman"/>
                      <w:color w:val="auto"/>
                      <w:sz w:val="21"/>
                      <w:szCs w:val="21"/>
                      <w:highlight w:val="none"/>
                      <w:u w:val="none" w:color="000000"/>
                      <w:lang w:val="en-US" w:eastAsia="zh-CN"/>
                    </w:rPr>
                    <w:t>达标</w:t>
                  </w:r>
                </w:p>
              </w:tc>
            </w:tr>
            <w:tr w14:paraId="5F613A7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000" w:type="pct"/>
                  <w:gridSpan w:val="6"/>
                  <w:tcBorders>
                    <w:tl2br w:val="nil"/>
                    <w:tr2bl w:val="nil"/>
                  </w:tcBorders>
                  <w:noWrap w:val="0"/>
                  <w:vAlign w:val="center"/>
                </w:tcPr>
                <w:p w14:paraId="48422673">
                  <w:pPr>
                    <w:pStyle w:val="46"/>
                    <w:keepNext w:val="0"/>
                    <w:keepLines w:val="0"/>
                    <w:pageBreakBefore w:val="0"/>
                    <w:widowControl w:val="0"/>
                    <w:kinsoku/>
                    <w:wordWrap/>
                    <w:overflowPunct/>
                    <w:topLinePunct w:val="0"/>
                    <w:autoSpaceDE/>
                    <w:autoSpaceDN/>
                    <w:bidi w:val="0"/>
                    <w:adjustRightInd/>
                    <w:spacing w:before="0" w:after="0" w:line="240" w:lineRule="auto"/>
                    <w:ind w:left="0" w:leftChars="0" w:right="0"/>
                    <w:jc w:val="both"/>
                    <w:textAlignment w:val="auto"/>
                    <w:rPr>
                      <w:rFonts w:hint="default" w:ascii="Times New Roman" w:hAnsi="Times New Roman" w:eastAsia="仿宋" w:cs="Times New Roman"/>
                      <w:color w:val="auto"/>
                      <w:sz w:val="21"/>
                      <w:szCs w:val="21"/>
                      <w:highlight w:val="none"/>
                      <w:u w:val="none" w:color="000000"/>
                      <w:lang w:val="en-US" w:eastAsia="zh-CN"/>
                    </w:rPr>
                  </w:pPr>
                  <w:r>
                    <w:rPr>
                      <w:rFonts w:hint="default" w:ascii="Times New Roman" w:hAnsi="Times New Roman" w:eastAsia="仿宋" w:cs="Times New Roman"/>
                      <w:color w:val="auto"/>
                      <w:sz w:val="21"/>
                      <w:szCs w:val="21"/>
                      <w:highlight w:val="none"/>
                      <w:u w:val="none" w:color="000000"/>
                      <w:lang w:val="en-US" w:eastAsia="zh-CN"/>
                    </w:rPr>
                    <w:t>注：</w:t>
                  </w:r>
                  <w:r>
                    <w:rPr>
                      <w:rFonts w:hint="default" w:ascii="Times New Roman" w:hAnsi="Times New Roman" w:eastAsia="仿宋" w:cs="Times New Roman"/>
                      <w:color w:val="auto"/>
                      <w:sz w:val="21"/>
                      <w:szCs w:val="21"/>
                      <w:highlight w:val="none"/>
                      <w:u w:val="none" w:color="000000"/>
                    </w:rPr>
                    <w:t>企业厂界环境噪声</w:t>
                  </w:r>
                  <w:r>
                    <w:rPr>
                      <w:rFonts w:hint="default" w:ascii="Times New Roman" w:hAnsi="Times New Roman" w:eastAsia="仿宋" w:cs="Times New Roman"/>
                      <w:color w:val="auto"/>
                      <w:sz w:val="21"/>
                      <w:szCs w:val="21"/>
                      <w:highlight w:val="none"/>
                      <w:u w:val="none" w:color="000000"/>
                      <w:lang w:val="en-US" w:eastAsia="zh-CN"/>
                    </w:rPr>
                    <w:t>监测值满足</w:t>
                  </w:r>
                  <w:r>
                    <w:rPr>
                      <w:rFonts w:hint="default" w:ascii="Times New Roman" w:hAnsi="Times New Roman" w:eastAsia="仿宋" w:cs="Times New Roman"/>
                      <w:color w:val="auto"/>
                      <w:sz w:val="21"/>
                      <w:szCs w:val="21"/>
                      <w:highlight w:val="none"/>
                      <w:u w:val="none" w:color="000000"/>
                    </w:rPr>
                    <w:t>《工业企业厂界环境噪声排放标准》</w:t>
                  </w:r>
                  <w:r>
                    <w:rPr>
                      <w:rFonts w:hint="default" w:ascii="Times New Roman" w:hAnsi="Times New Roman" w:eastAsia="仿宋" w:cs="Times New Roman"/>
                      <w:color w:val="auto"/>
                      <w:sz w:val="21"/>
                      <w:szCs w:val="21"/>
                      <w:highlight w:val="none"/>
                      <w:u w:val="none" w:color="000000"/>
                      <w:lang w:val="en-US" w:eastAsia="zh-CN"/>
                    </w:rPr>
                    <w:t>表1中</w:t>
                  </w:r>
                  <w:r>
                    <w:rPr>
                      <w:rFonts w:hint="eastAsia" w:eastAsia="仿宋" w:cs="Times New Roman"/>
                      <w:color w:val="auto"/>
                      <w:sz w:val="21"/>
                      <w:szCs w:val="21"/>
                      <w:highlight w:val="none"/>
                      <w:u w:val="none" w:color="000000"/>
                      <w:lang w:val="en-US" w:eastAsia="zh-CN"/>
                    </w:rPr>
                    <w:t>2</w:t>
                  </w:r>
                  <w:r>
                    <w:rPr>
                      <w:rFonts w:hint="default" w:ascii="Times New Roman" w:hAnsi="Times New Roman" w:eastAsia="仿宋" w:cs="Times New Roman"/>
                      <w:color w:val="auto"/>
                      <w:sz w:val="21"/>
                      <w:szCs w:val="21"/>
                      <w:highlight w:val="none"/>
                      <w:u w:val="none" w:color="000000"/>
                      <w:lang w:val="en-US" w:eastAsia="zh-CN"/>
                    </w:rPr>
                    <w:t>类标准。</w:t>
                  </w:r>
                </w:p>
              </w:tc>
            </w:tr>
          </w:tbl>
          <w:p w14:paraId="71D66995">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（4）固废</w:t>
            </w:r>
          </w:p>
          <w:p w14:paraId="08887C5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现有项目</w:t>
            </w:r>
            <w:r>
              <w:rPr>
                <w:rFonts w:hint="eastAsia" w:ascii="Times New Roman" w:hAnsi="Times New Roman" w:eastAsia="宋体"/>
                <w:color w:val="auto"/>
                <w:sz w:val="24"/>
                <w:szCs w:val="24"/>
                <w:lang w:val="en-US" w:eastAsia="zh-Hans"/>
              </w:rPr>
              <w:t>固体废弃物主要为生产过程中产生的废包装材料、废液</w:t>
            </w:r>
            <w:r>
              <w:rPr>
                <w:rFonts w:hint="eastAsia"/>
                <w:color w:val="auto"/>
                <w:sz w:val="24"/>
                <w:szCs w:val="24"/>
                <w:lang w:val="en-US" w:eastAsia="zh-CN"/>
              </w:rPr>
              <w:t>（</w:t>
            </w:r>
            <w:r>
              <w:rPr>
                <w:rFonts w:hint="eastAsia" w:ascii="Times New Roman" w:hAnsi="Times New Roman" w:eastAsia="宋体"/>
                <w:color w:val="auto"/>
                <w:sz w:val="24"/>
                <w:szCs w:val="24"/>
                <w:lang w:val="en-US" w:eastAsia="zh-Hans"/>
              </w:rPr>
              <w:t>酸洗废液、脱脂废液、硅烷处理废液</w:t>
            </w:r>
            <w:r>
              <w:rPr>
                <w:rFonts w:hint="eastAsia"/>
                <w:color w:val="auto"/>
                <w:sz w:val="24"/>
                <w:szCs w:val="24"/>
                <w:lang w:val="en-US" w:eastAsia="zh-CN"/>
              </w:rPr>
              <w:t>）</w:t>
            </w:r>
            <w:r>
              <w:rPr>
                <w:rFonts w:hint="eastAsia" w:ascii="Times New Roman" w:hAnsi="Times New Roman" w:eastAsia="宋体"/>
                <w:color w:val="auto"/>
                <w:sz w:val="24"/>
                <w:szCs w:val="24"/>
                <w:lang w:val="en-US" w:eastAsia="zh-Hans"/>
              </w:rPr>
              <w:t>、喷淋塔废液、电泳槽渣、蒸发结晶盐，污水处理站产生的废污泥，废气处理产生的废活性炭和员工日常生活产生的生活垃圾。具体处置情况如下</w:t>
            </w:r>
            <w:r>
              <w:rPr>
                <w:rFonts w:hint="eastAsia" w:ascii="Times New Roman" w:hAnsi="Times New Roman" w:eastAsia="宋体"/>
                <w:color w:val="auto"/>
                <w:sz w:val="24"/>
                <w:szCs w:val="24"/>
                <w:lang w:val="en-US" w:eastAsia="zh-CN"/>
              </w:rPr>
              <w:t>：</w:t>
            </w:r>
          </w:p>
          <w:p w14:paraId="64C69FE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现有项目固废处置情况一览表</w:t>
            </w:r>
          </w:p>
          <w:tbl>
            <w:tblPr>
              <w:tblStyle w:val="21"/>
              <w:tblW w:w="4994" w:type="pct"/>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503"/>
              <w:gridCol w:w="733"/>
              <w:gridCol w:w="1400"/>
              <w:gridCol w:w="665"/>
              <w:gridCol w:w="885"/>
              <w:gridCol w:w="1366"/>
              <w:gridCol w:w="867"/>
              <w:gridCol w:w="1319"/>
            </w:tblGrid>
            <w:tr w14:paraId="68C7381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693AB0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序号</w:t>
                  </w:r>
                </w:p>
              </w:tc>
              <w:tc>
                <w:tcPr>
                  <w:tcW w:w="812" w:type="pct"/>
                  <w:vAlign w:val="center"/>
                </w:tcPr>
                <w:p w14:paraId="6C0C359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固废名称</w:t>
                  </w:r>
                </w:p>
              </w:tc>
              <w:tc>
                <w:tcPr>
                  <w:tcW w:w="396" w:type="pct"/>
                  <w:vAlign w:val="center"/>
                </w:tcPr>
                <w:p w14:paraId="20AFFC1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rPr>
                  </w:pPr>
                  <w:r>
                    <w:rPr>
                      <w:rFonts w:hint="default" w:ascii="Times New Roman" w:hAnsi="Times New Roman" w:eastAsia="仿宋" w:cs="Times New Roman"/>
                      <w:b/>
                      <w:bCs/>
                      <w:color w:val="auto"/>
                      <w:sz w:val="21"/>
                      <w:szCs w:val="21"/>
                      <w:vertAlign w:val="baseline"/>
                      <w:lang w:val="en-US" w:eastAsia="zh-CN"/>
                    </w:rPr>
                    <w:t>属性</w:t>
                  </w:r>
                </w:p>
              </w:tc>
              <w:tc>
                <w:tcPr>
                  <w:tcW w:w="756" w:type="pct"/>
                  <w:vAlign w:val="center"/>
                </w:tcPr>
                <w:p w14:paraId="385ED70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产生工序</w:t>
                  </w:r>
                </w:p>
              </w:tc>
              <w:tc>
                <w:tcPr>
                  <w:tcW w:w="359" w:type="pct"/>
                  <w:vAlign w:val="center"/>
                </w:tcPr>
                <w:p w14:paraId="02FC2B5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形态</w:t>
                  </w:r>
                </w:p>
              </w:tc>
              <w:tc>
                <w:tcPr>
                  <w:tcW w:w="478" w:type="pct"/>
                  <w:vAlign w:val="center"/>
                </w:tcPr>
                <w:p w14:paraId="15593B0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废物类别</w:t>
                  </w:r>
                </w:p>
              </w:tc>
              <w:tc>
                <w:tcPr>
                  <w:tcW w:w="738" w:type="pct"/>
                  <w:vAlign w:val="center"/>
                </w:tcPr>
                <w:p w14:paraId="4248F62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废物代码</w:t>
                  </w:r>
                </w:p>
              </w:tc>
              <w:tc>
                <w:tcPr>
                  <w:tcW w:w="468" w:type="pct"/>
                  <w:vAlign w:val="center"/>
                </w:tcPr>
                <w:p w14:paraId="2D37AE5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vertAlign w:val="baseline"/>
                      <w:lang w:val="en-US" w:eastAsia="zh-CN"/>
                    </w:rPr>
                    <w:t>产生量（t/a）</w:t>
                  </w:r>
                </w:p>
              </w:tc>
              <w:tc>
                <w:tcPr>
                  <w:tcW w:w="712" w:type="pct"/>
                  <w:vAlign w:val="center"/>
                </w:tcPr>
                <w:p w14:paraId="57E0FC5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去向</w:t>
                  </w:r>
                </w:p>
              </w:tc>
            </w:tr>
            <w:tr w14:paraId="6A81D96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A519E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w:t>
                  </w:r>
                </w:p>
              </w:tc>
              <w:tc>
                <w:tcPr>
                  <w:tcW w:w="812" w:type="pct"/>
                  <w:vAlign w:val="center"/>
                </w:tcPr>
                <w:p w14:paraId="424E2C1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金属边角料</w:t>
                  </w:r>
                </w:p>
              </w:tc>
              <w:tc>
                <w:tcPr>
                  <w:tcW w:w="396" w:type="pct"/>
                  <w:vMerge w:val="restart"/>
                  <w:vAlign w:val="center"/>
                </w:tcPr>
                <w:p w14:paraId="6FD00A9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一般固废</w:t>
                  </w:r>
                </w:p>
              </w:tc>
              <w:tc>
                <w:tcPr>
                  <w:tcW w:w="756" w:type="pct"/>
                  <w:vAlign w:val="center"/>
                </w:tcPr>
                <w:p w14:paraId="0CA36FEC">
                  <w:pPr>
                    <w:pStyle w:val="47"/>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kern w:val="0"/>
                      <w:sz w:val="21"/>
                      <w:szCs w:val="21"/>
                    </w:rPr>
                    <w:t>机加工、裁切</w:t>
                  </w:r>
                </w:p>
              </w:tc>
              <w:tc>
                <w:tcPr>
                  <w:tcW w:w="359" w:type="pct"/>
                  <w:shd w:val="clear" w:color="auto" w:fill="auto"/>
                  <w:vAlign w:val="center"/>
                </w:tcPr>
                <w:p w14:paraId="42FC12D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vertAlign w:val="baseline"/>
                      <w:lang w:val="en-US" w:eastAsia="zh-CN"/>
                    </w:rPr>
                    <w:t>固态</w:t>
                  </w:r>
                </w:p>
              </w:tc>
              <w:tc>
                <w:tcPr>
                  <w:tcW w:w="478" w:type="pct"/>
                  <w:shd w:val="clear" w:color="auto" w:fill="auto"/>
                  <w:vAlign w:val="center"/>
                </w:tcPr>
                <w:p w14:paraId="1829869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SW17</w:t>
                  </w:r>
                </w:p>
              </w:tc>
              <w:tc>
                <w:tcPr>
                  <w:tcW w:w="738" w:type="pct"/>
                  <w:shd w:val="clear" w:color="auto" w:fill="auto"/>
                  <w:vAlign w:val="center"/>
                </w:tcPr>
                <w:p w14:paraId="69EE519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900-001-S17</w:t>
                  </w:r>
                </w:p>
              </w:tc>
              <w:tc>
                <w:tcPr>
                  <w:tcW w:w="468" w:type="pct"/>
                  <w:shd w:val="clear" w:color="auto" w:fill="auto"/>
                  <w:vAlign w:val="center"/>
                </w:tcPr>
                <w:p w14:paraId="249C07B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4</w:t>
                  </w:r>
                </w:p>
              </w:tc>
              <w:tc>
                <w:tcPr>
                  <w:tcW w:w="712" w:type="pct"/>
                  <w:vMerge w:val="restart"/>
                  <w:vAlign w:val="center"/>
                </w:tcPr>
                <w:p w14:paraId="2A01645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rPr>
                    <w:t>分类收集后外售</w:t>
                  </w:r>
                </w:p>
              </w:tc>
            </w:tr>
            <w:tr w14:paraId="3E574F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58016B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2</w:t>
                  </w:r>
                </w:p>
              </w:tc>
              <w:tc>
                <w:tcPr>
                  <w:tcW w:w="812" w:type="pct"/>
                  <w:vAlign w:val="center"/>
                </w:tcPr>
                <w:p w14:paraId="4A45A9E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废包装材料</w:t>
                  </w:r>
                </w:p>
              </w:tc>
              <w:tc>
                <w:tcPr>
                  <w:tcW w:w="396" w:type="pct"/>
                  <w:vMerge w:val="continue"/>
                  <w:vAlign w:val="center"/>
                </w:tcPr>
                <w:p w14:paraId="199E2CB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p>
              </w:tc>
              <w:tc>
                <w:tcPr>
                  <w:tcW w:w="756" w:type="pct"/>
                  <w:shd w:val="clear" w:color="auto" w:fill="auto"/>
                  <w:vAlign w:val="center"/>
                </w:tcPr>
                <w:p w14:paraId="3C3A6DE4">
                  <w:pPr>
                    <w:pStyle w:val="47"/>
                    <w:rPr>
                      <w:rFonts w:hint="default" w:ascii="Times New Roman" w:hAnsi="Times New Roman" w:eastAsia="仿宋" w:cs="Times New Roman"/>
                      <w:color w:val="auto"/>
                      <w:kern w:val="2"/>
                      <w:sz w:val="21"/>
                      <w:szCs w:val="21"/>
                      <w:vertAlign w:val="baseline"/>
                      <w:lang w:val="en-US" w:eastAsia="zh-CN" w:bidi="ar-SA"/>
                    </w:rPr>
                  </w:pPr>
                  <w:r>
                    <w:rPr>
                      <w:rFonts w:hint="default" w:ascii="Times New Roman" w:hAnsi="Times New Roman" w:eastAsia="仿宋" w:cs="Times New Roman"/>
                      <w:color w:val="auto"/>
                      <w:kern w:val="0"/>
                      <w:sz w:val="21"/>
                      <w:szCs w:val="21"/>
                    </w:rPr>
                    <w:t>包装</w:t>
                  </w:r>
                </w:p>
              </w:tc>
              <w:tc>
                <w:tcPr>
                  <w:tcW w:w="359" w:type="pct"/>
                  <w:shd w:val="clear" w:color="auto" w:fill="auto"/>
                  <w:vAlign w:val="center"/>
                </w:tcPr>
                <w:p w14:paraId="2E7EA21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vertAlign w:val="baseline"/>
                      <w:lang w:val="en-US" w:eastAsia="zh-CN"/>
                    </w:rPr>
                    <w:t>固态</w:t>
                  </w:r>
                </w:p>
              </w:tc>
              <w:tc>
                <w:tcPr>
                  <w:tcW w:w="478" w:type="pct"/>
                  <w:shd w:val="clear" w:color="auto" w:fill="auto"/>
                  <w:vAlign w:val="center"/>
                </w:tcPr>
                <w:p w14:paraId="0262788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SW17</w:t>
                  </w:r>
                </w:p>
              </w:tc>
              <w:tc>
                <w:tcPr>
                  <w:tcW w:w="738" w:type="pct"/>
                  <w:shd w:val="clear" w:color="auto" w:fill="auto"/>
                  <w:vAlign w:val="center"/>
                </w:tcPr>
                <w:p w14:paraId="061AC85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900-005-S17</w:t>
                  </w:r>
                </w:p>
              </w:tc>
              <w:tc>
                <w:tcPr>
                  <w:tcW w:w="468" w:type="pct"/>
                  <w:shd w:val="clear" w:color="auto" w:fill="auto"/>
                  <w:vAlign w:val="center"/>
                </w:tcPr>
                <w:p w14:paraId="025B603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0.5</w:t>
                  </w:r>
                </w:p>
              </w:tc>
              <w:tc>
                <w:tcPr>
                  <w:tcW w:w="712" w:type="pct"/>
                  <w:vMerge w:val="continue"/>
                  <w:vAlign w:val="center"/>
                </w:tcPr>
                <w:p w14:paraId="6933C30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0CCBD93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5C32AAB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w:t>
                  </w:r>
                </w:p>
              </w:tc>
              <w:tc>
                <w:tcPr>
                  <w:tcW w:w="812" w:type="pct"/>
                  <w:vAlign w:val="center"/>
                </w:tcPr>
                <w:p w14:paraId="529C993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回收粉尘</w:t>
                  </w:r>
                </w:p>
              </w:tc>
              <w:tc>
                <w:tcPr>
                  <w:tcW w:w="396" w:type="pct"/>
                  <w:vMerge w:val="continue"/>
                  <w:vAlign w:val="center"/>
                </w:tcPr>
                <w:p w14:paraId="2EF9736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vAlign w:val="center"/>
                </w:tcPr>
                <w:p w14:paraId="00BBD024">
                  <w:pPr>
                    <w:pStyle w:val="47"/>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除尘装置</w:t>
                  </w:r>
                </w:p>
              </w:tc>
              <w:tc>
                <w:tcPr>
                  <w:tcW w:w="359" w:type="pct"/>
                  <w:shd w:val="clear" w:color="auto" w:fill="auto"/>
                  <w:vAlign w:val="center"/>
                </w:tcPr>
                <w:p w14:paraId="5BA9EC7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z w:val="21"/>
                      <w:szCs w:val="21"/>
                      <w:vertAlign w:val="baseline"/>
                      <w:lang w:val="en-US" w:eastAsia="zh-CN"/>
                    </w:rPr>
                    <w:t>固态</w:t>
                  </w:r>
                </w:p>
              </w:tc>
              <w:tc>
                <w:tcPr>
                  <w:tcW w:w="478" w:type="pct"/>
                  <w:shd w:val="clear" w:color="auto" w:fill="auto"/>
                  <w:vAlign w:val="center"/>
                </w:tcPr>
                <w:p w14:paraId="25C1699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SW17</w:t>
                  </w:r>
                </w:p>
              </w:tc>
              <w:tc>
                <w:tcPr>
                  <w:tcW w:w="738" w:type="pct"/>
                  <w:shd w:val="clear" w:color="auto" w:fill="auto"/>
                  <w:vAlign w:val="center"/>
                </w:tcPr>
                <w:p w14:paraId="76F18F8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900-099-S17</w:t>
                  </w:r>
                </w:p>
              </w:tc>
              <w:tc>
                <w:tcPr>
                  <w:tcW w:w="468" w:type="pct"/>
                  <w:shd w:val="clear" w:color="auto" w:fill="auto"/>
                  <w:vAlign w:val="center"/>
                </w:tcPr>
                <w:p w14:paraId="3AEDF81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0.72</w:t>
                  </w:r>
                </w:p>
              </w:tc>
              <w:tc>
                <w:tcPr>
                  <w:tcW w:w="712" w:type="pct"/>
                  <w:vAlign w:val="center"/>
                </w:tcPr>
                <w:p w14:paraId="0433E90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回用于生产</w:t>
                  </w:r>
                </w:p>
              </w:tc>
            </w:tr>
            <w:tr w14:paraId="58693FD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592709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4</w:t>
                  </w:r>
                </w:p>
              </w:tc>
              <w:tc>
                <w:tcPr>
                  <w:tcW w:w="812" w:type="pct"/>
                  <w:vAlign w:val="center"/>
                </w:tcPr>
                <w:p w14:paraId="2EF2A51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废液</w:t>
                  </w:r>
                </w:p>
              </w:tc>
              <w:tc>
                <w:tcPr>
                  <w:tcW w:w="396" w:type="pct"/>
                  <w:vMerge w:val="restart"/>
                  <w:vAlign w:val="center"/>
                </w:tcPr>
                <w:p w14:paraId="6A6036B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危险废物</w:t>
                  </w:r>
                </w:p>
              </w:tc>
              <w:tc>
                <w:tcPr>
                  <w:tcW w:w="756" w:type="pct"/>
                  <w:shd w:val="clear" w:color="auto" w:fill="auto"/>
                  <w:vAlign w:val="center"/>
                </w:tcPr>
                <w:p w14:paraId="7DD55AAF">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脱脂、酸洗、硅烷处理</w:t>
                  </w:r>
                </w:p>
              </w:tc>
              <w:tc>
                <w:tcPr>
                  <w:tcW w:w="359" w:type="pct"/>
                  <w:shd w:val="clear" w:color="auto" w:fill="auto"/>
                  <w:vAlign w:val="center"/>
                </w:tcPr>
                <w:p w14:paraId="3EC7650D">
                  <w:pPr>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液态</w:t>
                  </w:r>
                </w:p>
              </w:tc>
              <w:tc>
                <w:tcPr>
                  <w:tcW w:w="478" w:type="pct"/>
                  <w:shd w:val="clear" w:color="auto" w:fill="auto"/>
                  <w:vAlign w:val="center"/>
                </w:tcPr>
                <w:p w14:paraId="07B8CC54">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HW17</w:t>
                  </w:r>
                </w:p>
              </w:tc>
              <w:tc>
                <w:tcPr>
                  <w:tcW w:w="738" w:type="pct"/>
                  <w:shd w:val="clear" w:color="auto" w:fill="auto"/>
                  <w:vAlign w:val="center"/>
                </w:tcPr>
                <w:p w14:paraId="264AD591">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336-064-17</w:t>
                  </w:r>
                </w:p>
              </w:tc>
              <w:tc>
                <w:tcPr>
                  <w:tcW w:w="468" w:type="pct"/>
                  <w:vAlign w:val="center"/>
                </w:tcPr>
                <w:p w14:paraId="74F4917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5</w:t>
                  </w:r>
                </w:p>
              </w:tc>
              <w:tc>
                <w:tcPr>
                  <w:tcW w:w="712" w:type="pct"/>
                  <w:vMerge w:val="restart"/>
                  <w:vAlign w:val="center"/>
                </w:tcPr>
                <w:p w14:paraId="0F9CE26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rPr>
                    <w:t>委托</w:t>
                  </w:r>
                  <w:r>
                    <w:rPr>
                      <w:rFonts w:hint="default" w:ascii="Times New Roman" w:hAnsi="Times New Roman" w:eastAsia="仿宋" w:cs="Times New Roman"/>
                      <w:color w:val="auto"/>
                      <w:sz w:val="21"/>
                      <w:szCs w:val="21"/>
                      <w:vertAlign w:val="baseline"/>
                      <w:lang w:val="en-US" w:eastAsia="zh-CN"/>
                    </w:rPr>
                    <w:t>有资质单位处置（</w:t>
                  </w:r>
                  <w:r>
                    <w:rPr>
                      <w:rFonts w:hint="default" w:ascii="Times New Roman" w:hAnsi="Times New Roman" w:eastAsia="仿宋" w:cs="Times New Roman"/>
                      <w:color w:val="auto"/>
                      <w:sz w:val="21"/>
                      <w:szCs w:val="21"/>
                      <w:vertAlign w:val="baseline"/>
                    </w:rPr>
                    <w:t>苏州市和源环保科技有限公司</w:t>
                  </w:r>
                  <w:r>
                    <w:rPr>
                      <w:rFonts w:hint="default" w:ascii="Times New Roman" w:hAnsi="Times New Roman" w:eastAsia="仿宋" w:cs="Times New Roman"/>
                      <w:color w:val="auto"/>
                      <w:sz w:val="21"/>
                      <w:szCs w:val="21"/>
                      <w:vertAlign w:val="baseline"/>
                      <w:lang w:val="en-US" w:eastAsia="zh-CN"/>
                    </w:rPr>
                    <w:t>）</w:t>
                  </w:r>
                </w:p>
              </w:tc>
            </w:tr>
            <w:tr w14:paraId="644A4EC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766D73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5</w:t>
                  </w:r>
                </w:p>
              </w:tc>
              <w:tc>
                <w:tcPr>
                  <w:tcW w:w="812" w:type="pct"/>
                  <w:vAlign w:val="center"/>
                </w:tcPr>
                <w:p w14:paraId="318DCEB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电泳槽渣</w:t>
                  </w:r>
                </w:p>
              </w:tc>
              <w:tc>
                <w:tcPr>
                  <w:tcW w:w="396" w:type="pct"/>
                  <w:vMerge w:val="continue"/>
                  <w:vAlign w:val="center"/>
                </w:tcPr>
                <w:p w14:paraId="694EB90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shd w:val="clear" w:color="auto" w:fill="auto"/>
                  <w:vAlign w:val="center"/>
                </w:tcPr>
                <w:p w14:paraId="13A478E4">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电泳</w:t>
                  </w:r>
                </w:p>
              </w:tc>
              <w:tc>
                <w:tcPr>
                  <w:tcW w:w="359" w:type="pct"/>
                  <w:shd w:val="clear" w:color="auto" w:fill="auto"/>
                  <w:vAlign w:val="center"/>
                </w:tcPr>
                <w:p w14:paraId="256572CC">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固态</w:t>
                  </w:r>
                </w:p>
              </w:tc>
              <w:tc>
                <w:tcPr>
                  <w:tcW w:w="478" w:type="pct"/>
                  <w:shd w:val="clear" w:color="auto" w:fill="auto"/>
                  <w:vAlign w:val="center"/>
                </w:tcPr>
                <w:p w14:paraId="726C3C8E">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HW12</w:t>
                  </w:r>
                </w:p>
              </w:tc>
              <w:tc>
                <w:tcPr>
                  <w:tcW w:w="738" w:type="pct"/>
                  <w:shd w:val="clear" w:color="auto" w:fill="auto"/>
                  <w:vAlign w:val="center"/>
                </w:tcPr>
                <w:p w14:paraId="7408DB4A">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900-252-12</w:t>
                  </w:r>
                </w:p>
              </w:tc>
              <w:tc>
                <w:tcPr>
                  <w:tcW w:w="468" w:type="pct"/>
                  <w:vAlign w:val="center"/>
                </w:tcPr>
                <w:p w14:paraId="1A01C2F3">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w:t>
                  </w:r>
                </w:p>
              </w:tc>
              <w:tc>
                <w:tcPr>
                  <w:tcW w:w="712" w:type="pct"/>
                  <w:vMerge w:val="continue"/>
                  <w:vAlign w:val="center"/>
                </w:tcPr>
                <w:p w14:paraId="458B7E7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4439D2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5891AE0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6</w:t>
                  </w:r>
                </w:p>
              </w:tc>
              <w:tc>
                <w:tcPr>
                  <w:tcW w:w="812" w:type="pct"/>
                  <w:vAlign w:val="center"/>
                </w:tcPr>
                <w:p w14:paraId="2C035EE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废污泥</w:t>
                  </w:r>
                </w:p>
              </w:tc>
              <w:tc>
                <w:tcPr>
                  <w:tcW w:w="396" w:type="pct"/>
                  <w:vMerge w:val="continue"/>
                  <w:vAlign w:val="center"/>
                </w:tcPr>
                <w:p w14:paraId="2EF1541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shd w:val="clear" w:color="auto" w:fill="auto"/>
                  <w:vAlign w:val="center"/>
                </w:tcPr>
                <w:p w14:paraId="4BC80874">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污水站</w:t>
                  </w:r>
                </w:p>
              </w:tc>
              <w:tc>
                <w:tcPr>
                  <w:tcW w:w="359" w:type="pct"/>
                  <w:shd w:val="clear" w:color="auto" w:fill="auto"/>
                  <w:vAlign w:val="center"/>
                </w:tcPr>
                <w:p w14:paraId="0F6A2808">
                  <w:pPr>
                    <w:widowControl/>
                    <w:adjustRightInd w:val="0"/>
                    <w:snapToGrid w:val="0"/>
                    <w:jc w:val="center"/>
                    <w:textAlignment w:val="baseline"/>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pacing w:val="4"/>
                      <w:kern w:val="0"/>
                      <w:sz w:val="21"/>
                      <w:szCs w:val="21"/>
                    </w:rPr>
                    <w:t>固态</w:t>
                  </w:r>
                </w:p>
              </w:tc>
              <w:tc>
                <w:tcPr>
                  <w:tcW w:w="478" w:type="pct"/>
                  <w:shd w:val="clear" w:color="auto" w:fill="auto"/>
                  <w:vAlign w:val="center"/>
                </w:tcPr>
                <w:p w14:paraId="4DFEBAED">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HW17</w:t>
                  </w:r>
                </w:p>
              </w:tc>
              <w:tc>
                <w:tcPr>
                  <w:tcW w:w="738" w:type="pct"/>
                  <w:shd w:val="clear" w:color="auto" w:fill="auto"/>
                  <w:vAlign w:val="center"/>
                </w:tcPr>
                <w:p w14:paraId="6B177C6B">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336-064-17</w:t>
                  </w:r>
                </w:p>
              </w:tc>
              <w:tc>
                <w:tcPr>
                  <w:tcW w:w="468" w:type="pct"/>
                  <w:vAlign w:val="center"/>
                </w:tcPr>
                <w:p w14:paraId="27242DC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30</w:t>
                  </w:r>
                </w:p>
              </w:tc>
              <w:tc>
                <w:tcPr>
                  <w:tcW w:w="712" w:type="pct"/>
                  <w:vMerge w:val="continue"/>
                  <w:vAlign w:val="center"/>
                </w:tcPr>
                <w:p w14:paraId="309527ED">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79A2C3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277" w:type="pct"/>
                  <w:vAlign w:val="center"/>
                </w:tcPr>
                <w:p w14:paraId="5BDC22E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7</w:t>
                  </w:r>
                </w:p>
              </w:tc>
              <w:tc>
                <w:tcPr>
                  <w:tcW w:w="812" w:type="pct"/>
                  <w:vAlign w:val="center"/>
                </w:tcPr>
                <w:p w14:paraId="14CE58B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废活性炭</w:t>
                  </w:r>
                </w:p>
              </w:tc>
              <w:tc>
                <w:tcPr>
                  <w:tcW w:w="396" w:type="pct"/>
                  <w:vMerge w:val="continue"/>
                  <w:vAlign w:val="center"/>
                </w:tcPr>
                <w:p w14:paraId="10EA770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shd w:val="clear" w:color="auto" w:fill="auto"/>
                  <w:vAlign w:val="center"/>
                </w:tcPr>
                <w:p w14:paraId="1E31ED24">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废气处理</w:t>
                  </w:r>
                </w:p>
              </w:tc>
              <w:tc>
                <w:tcPr>
                  <w:tcW w:w="359" w:type="pct"/>
                  <w:shd w:val="clear" w:color="auto" w:fill="auto"/>
                  <w:vAlign w:val="center"/>
                </w:tcPr>
                <w:p w14:paraId="30388137">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spacing w:val="4"/>
                      <w:kern w:val="0"/>
                      <w:sz w:val="21"/>
                      <w:szCs w:val="21"/>
                    </w:rPr>
                    <w:t>固态</w:t>
                  </w:r>
                </w:p>
              </w:tc>
              <w:tc>
                <w:tcPr>
                  <w:tcW w:w="478" w:type="pct"/>
                  <w:shd w:val="clear" w:color="auto" w:fill="auto"/>
                  <w:vAlign w:val="center"/>
                </w:tcPr>
                <w:p w14:paraId="388AC1DA">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HW49</w:t>
                  </w:r>
                </w:p>
              </w:tc>
              <w:tc>
                <w:tcPr>
                  <w:tcW w:w="738" w:type="pct"/>
                  <w:shd w:val="clear" w:color="auto" w:fill="auto"/>
                  <w:vAlign w:val="center"/>
                </w:tcPr>
                <w:p w14:paraId="4279CA5A">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900-039-49</w:t>
                  </w:r>
                </w:p>
              </w:tc>
              <w:tc>
                <w:tcPr>
                  <w:tcW w:w="468" w:type="pct"/>
                  <w:vAlign w:val="center"/>
                </w:tcPr>
                <w:p w14:paraId="5B37261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4.5</w:t>
                  </w:r>
                </w:p>
              </w:tc>
              <w:tc>
                <w:tcPr>
                  <w:tcW w:w="712" w:type="pct"/>
                  <w:vMerge w:val="continue"/>
                  <w:vAlign w:val="center"/>
                </w:tcPr>
                <w:p w14:paraId="1CAF1BC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7912F1C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12B376D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8</w:t>
                  </w:r>
                </w:p>
              </w:tc>
              <w:tc>
                <w:tcPr>
                  <w:tcW w:w="812" w:type="pct"/>
                  <w:vAlign w:val="center"/>
                </w:tcPr>
                <w:p w14:paraId="75BFD9D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蒸发结晶盐</w:t>
                  </w:r>
                </w:p>
              </w:tc>
              <w:tc>
                <w:tcPr>
                  <w:tcW w:w="396" w:type="pct"/>
                  <w:vMerge w:val="continue"/>
                  <w:vAlign w:val="center"/>
                </w:tcPr>
                <w:p w14:paraId="3E7C253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shd w:val="clear" w:color="auto" w:fill="auto"/>
                  <w:vAlign w:val="center"/>
                </w:tcPr>
                <w:p w14:paraId="40C3C435">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污水站</w:t>
                  </w:r>
                </w:p>
              </w:tc>
              <w:tc>
                <w:tcPr>
                  <w:tcW w:w="359" w:type="pct"/>
                  <w:shd w:val="clear" w:color="auto" w:fill="auto"/>
                  <w:vAlign w:val="center"/>
                </w:tcPr>
                <w:p w14:paraId="1487EAC8">
                  <w:pPr>
                    <w:pStyle w:val="47"/>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pacing w:val="4"/>
                      <w:kern w:val="0"/>
                      <w:sz w:val="21"/>
                      <w:szCs w:val="21"/>
                    </w:rPr>
                    <w:t>固态</w:t>
                  </w:r>
                </w:p>
              </w:tc>
              <w:tc>
                <w:tcPr>
                  <w:tcW w:w="478" w:type="pct"/>
                  <w:shd w:val="clear" w:color="auto" w:fill="auto"/>
                  <w:vAlign w:val="center"/>
                </w:tcPr>
                <w:p w14:paraId="10D4D652">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HW11</w:t>
                  </w:r>
                </w:p>
              </w:tc>
              <w:tc>
                <w:tcPr>
                  <w:tcW w:w="738" w:type="pct"/>
                  <w:shd w:val="clear" w:color="auto" w:fill="auto"/>
                  <w:vAlign w:val="center"/>
                </w:tcPr>
                <w:p w14:paraId="4FAB1E99">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900-013-11</w:t>
                  </w:r>
                </w:p>
              </w:tc>
              <w:tc>
                <w:tcPr>
                  <w:tcW w:w="468" w:type="pct"/>
                  <w:vAlign w:val="center"/>
                </w:tcPr>
                <w:p w14:paraId="624B799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3</w:t>
                  </w:r>
                </w:p>
              </w:tc>
              <w:tc>
                <w:tcPr>
                  <w:tcW w:w="712" w:type="pct"/>
                  <w:vMerge w:val="continue"/>
                  <w:vAlign w:val="center"/>
                </w:tcPr>
                <w:p w14:paraId="576782D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4CC873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4D31ED7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9</w:t>
                  </w:r>
                </w:p>
              </w:tc>
              <w:tc>
                <w:tcPr>
                  <w:tcW w:w="812" w:type="pct"/>
                  <w:vAlign w:val="center"/>
                </w:tcPr>
                <w:p w14:paraId="21DDCD9C">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喷淋塔废液</w:t>
                  </w:r>
                </w:p>
              </w:tc>
              <w:tc>
                <w:tcPr>
                  <w:tcW w:w="396" w:type="pct"/>
                  <w:vMerge w:val="continue"/>
                  <w:vAlign w:val="center"/>
                </w:tcPr>
                <w:p w14:paraId="6863130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c>
                <w:tcPr>
                  <w:tcW w:w="756" w:type="pct"/>
                  <w:shd w:val="clear" w:color="auto" w:fill="auto"/>
                  <w:vAlign w:val="center"/>
                </w:tcPr>
                <w:p w14:paraId="3858A839">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废气处理</w:t>
                  </w:r>
                </w:p>
              </w:tc>
              <w:tc>
                <w:tcPr>
                  <w:tcW w:w="359" w:type="pct"/>
                  <w:shd w:val="clear" w:color="auto" w:fill="auto"/>
                  <w:vAlign w:val="center"/>
                </w:tcPr>
                <w:p w14:paraId="02F50383">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液态</w:t>
                  </w:r>
                </w:p>
              </w:tc>
              <w:tc>
                <w:tcPr>
                  <w:tcW w:w="478" w:type="pct"/>
                  <w:shd w:val="clear" w:color="auto" w:fill="auto"/>
                  <w:vAlign w:val="center"/>
                </w:tcPr>
                <w:p w14:paraId="1FF954C9">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HW49</w:t>
                  </w:r>
                </w:p>
              </w:tc>
              <w:tc>
                <w:tcPr>
                  <w:tcW w:w="738" w:type="pct"/>
                  <w:shd w:val="clear" w:color="auto" w:fill="auto"/>
                  <w:vAlign w:val="center"/>
                </w:tcPr>
                <w:p w14:paraId="2ADC3D01">
                  <w:pPr>
                    <w:pStyle w:val="47"/>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900-041-49</w:t>
                  </w:r>
                </w:p>
              </w:tc>
              <w:tc>
                <w:tcPr>
                  <w:tcW w:w="468" w:type="pct"/>
                  <w:vAlign w:val="center"/>
                </w:tcPr>
                <w:p w14:paraId="1CC462A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w:t>
                  </w:r>
                </w:p>
              </w:tc>
              <w:tc>
                <w:tcPr>
                  <w:tcW w:w="712" w:type="pct"/>
                  <w:vMerge w:val="continue"/>
                  <w:vAlign w:val="center"/>
                </w:tcPr>
                <w:p w14:paraId="7CFC75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rPr>
                  </w:pPr>
                </w:p>
              </w:tc>
            </w:tr>
            <w:tr w14:paraId="37F4503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2FBE998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10</w:t>
                  </w:r>
                </w:p>
              </w:tc>
              <w:tc>
                <w:tcPr>
                  <w:tcW w:w="812" w:type="pct"/>
                  <w:vAlign w:val="center"/>
                </w:tcPr>
                <w:p w14:paraId="68438CF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生活垃圾</w:t>
                  </w:r>
                </w:p>
              </w:tc>
              <w:tc>
                <w:tcPr>
                  <w:tcW w:w="396" w:type="pct"/>
                  <w:vAlign w:val="center"/>
                </w:tcPr>
                <w:p w14:paraId="7B7CA12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员工生活</w:t>
                  </w:r>
                </w:p>
              </w:tc>
              <w:tc>
                <w:tcPr>
                  <w:tcW w:w="756" w:type="pct"/>
                  <w:shd w:val="clear" w:color="auto" w:fill="auto"/>
                  <w:vAlign w:val="center"/>
                </w:tcPr>
                <w:p w14:paraId="3CDC8658">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员工生活</w:t>
                  </w:r>
                </w:p>
              </w:tc>
              <w:tc>
                <w:tcPr>
                  <w:tcW w:w="359" w:type="pct"/>
                  <w:shd w:val="clear" w:color="auto" w:fill="auto"/>
                  <w:vAlign w:val="center"/>
                </w:tcPr>
                <w:p w14:paraId="21622D61">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固态</w:t>
                  </w:r>
                </w:p>
              </w:tc>
              <w:tc>
                <w:tcPr>
                  <w:tcW w:w="478" w:type="pct"/>
                  <w:shd w:val="clear" w:color="auto" w:fill="auto"/>
                  <w:vAlign w:val="center"/>
                </w:tcPr>
                <w:p w14:paraId="3096B376">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SW64</w:t>
                  </w:r>
                </w:p>
              </w:tc>
              <w:tc>
                <w:tcPr>
                  <w:tcW w:w="738" w:type="pct"/>
                  <w:shd w:val="clear" w:color="auto" w:fill="auto"/>
                  <w:vAlign w:val="center"/>
                </w:tcPr>
                <w:p w14:paraId="57B030EF">
                  <w:pPr>
                    <w:pStyle w:val="47"/>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900-099-S64</w:t>
                  </w:r>
                </w:p>
              </w:tc>
              <w:tc>
                <w:tcPr>
                  <w:tcW w:w="468" w:type="pct"/>
                  <w:vAlign w:val="center"/>
                </w:tcPr>
                <w:p w14:paraId="254F5EA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7</w:t>
                  </w:r>
                </w:p>
              </w:tc>
              <w:tc>
                <w:tcPr>
                  <w:tcW w:w="712" w:type="pct"/>
                  <w:vAlign w:val="center"/>
                </w:tcPr>
                <w:p w14:paraId="540437C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环卫部门清运</w:t>
                  </w:r>
                </w:p>
              </w:tc>
            </w:tr>
          </w:tbl>
          <w:p w14:paraId="403C73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现有项目一般固体废弃物和危险废物分开贮存，并分别设有一般固体废弃物标志牌、危险固体废弃物标志牌。一般固体废弃物贮存场所设置符合《一般工业固体废物贮存和填埋污染控制标准》（GB 18599-2020）。危废暂存区面积</w:t>
            </w:r>
            <w:r>
              <w:rPr>
                <w:rFonts w:hint="eastAsia" w:cs="Times New Roman"/>
                <w:b w:val="0"/>
                <w:bCs w:val="0"/>
                <w:color w:val="auto"/>
                <w:sz w:val="24"/>
                <w:szCs w:val="24"/>
                <w:lang w:val="en-US" w:eastAsia="zh-CN"/>
              </w:rPr>
              <w:t>40</w:t>
            </w:r>
            <w:r>
              <w:rPr>
                <w:rFonts w:hint="default" w:ascii="Times New Roman" w:hAnsi="Times New Roman" w:cs="Times New Roman"/>
                <w:b w:val="0"/>
                <w:bCs w:val="0"/>
                <w:color w:val="auto"/>
                <w:sz w:val="24"/>
                <w:szCs w:val="24"/>
                <w:lang w:eastAsia="zh-CN"/>
              </w:rPr>
              <w:t>平方米，地面为硬化地面+环氧地坪漆，具备防风、防雨、防渗、防漏措施；危险废物分类存放，并张贴环保标识牌；厂内危险废物的收集和贮存符合《危险废物贮存污染控制标准》（GB 18597-2023）和《江苏省固体废物污染环境防治条例》的有关要求。各种固废均能得到合理处置，对外实</w:t>
            </w:r>
            <w:r>
              <w:rPr>
                <w:rFonts w:hint="eastAsia" w:ascii="宋体" w:hAnsi="宋体" w:eastAsia="宋体" w:cs="宋体"/>
                <w:b w:val="0"/>
                <w:bCs w:val="0"/>
                <w:color w:val="auto"/>
                <w:sz w:val="24"/>
                <w:szCs w:val="24"/>
                <w:lang w:eastAsia="zh-CN"/>
              </w:rPr>
              <w:t>现</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lang w:eastAsia="zh-CN"/>
              </w:rPr>
              <w:t>零排放</w:t>
            </w:r>
            <w:r>
              <w:rPr>
                <w:rFonts w:hint="eastAsia" w:ascii="宋体" w:hAnsi="宋体" w:cs="宋体"/>
                <w:b w:val="0"/>
                <w:bCs w:val="0"/>
                <w:color w:val="auto"/>
                <w:sz w:val="24"/>
                <w:szCs w:val="24"/>
                <w:lang w:eastAsia="zh-CN"/>
              </w:rPr>
              <w:t>”</w:t>
            </w:r>
            <w:r>
              <w:rPr>
                <w:rFonts w:hint="default" w:ascii="Times New Roman" w:hAnsi="Times New Roman" w:cs="Times New Roman"/>
                <w:b w:val="0"/>
                <w:bCs w:val="0"/>
                <w:color w:val="auto"/>
                <w:sz w:val="24"/>
                <w:szCs w:val="24"/>
                <w:lang w:eastAsia="zh-CN"/>
              </w:rPr>
              <w:t>，对周围环境不会带来二次污染及其他影响。</w:t>
            </w:r>
          </w:p>
          <w:p w14:paraId="05DDA4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eastAsia="zh-CN"/>
              </w:rPr>
              <w:t>）</w:t>
            </w:r>
            <w:r>
              <w:rPr>
                <w:b w:val="0"/>
                <w:bCs w:val="0"/>
                <w:color w:val="auto"/>
                <w:sz w:val="24"/>
                <w:szCs w:val="24"/>
              </w:rPr>
              <w:t>现有项目污染物排放情况汇总</w:t>
            </w:r>
          </w:p>
          <w:p w14:paraId="1C8AA34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现有项目污染物产排情况一览表（单位：t/a）</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Layout w:type="fixed"/>
              <w:tblCellMar>
                <w:top w:w="0" w:type="dxa"/>
                <w:left w:w="108" w:type="dxa"/>
                <w:bottom w:w="0" w:type="dxa"/>
                <w:right w:w="108" w:type="dxa"/>
              </w:tblCellMar>
            </w:tblPr>
            <w:tblGrid>
              <w:gridCol w:w="574"/>
              <w:gridCol w:w="1272"/>
              <w:gridCol w:w="2442"/>
              <w:gridCol w:w="1944"/>
              <w:gridCol w:w="3023"/>
            </w:tblGrid>
            <w:tr w14:paraId="5F1372D8">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PrEx>
              <w:trPr>
                <w:cantSplit/>
                <w:trHeight w:val="57" w:hRule="atLeast"/>
                <w:jc w:val="center"/>
              </w:trPr>
              <w:tc>
                <w:tcPr>
                  <w:tcW w:w="997" w:type="pct"/>
                  <w:gridSpan w:val="2"/>
                  <w:tcBorders>
                    <w:tl2br w:val="nil"/>
                    <w:tr2bl w:val="nil"/>
                  </w:tcBorders>
                  <w:noWrap w:val="0"/>
                  <w:vAlign w:val="center"/>
                </w:tcPr>
                <w:p w14:paraId="2D61FCE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种类</w:t>
                  </w:r>
                </w:p>
              </w:tc>
              <w:tc>
                <w:tcPr>
                  <w:tcW w:w="1319" w:type="pct"/>
                  <w:tcBorders>
                    <w:tl2br w:val="nil"/>
                    <w:tr2bl w:val="nil"/>
                  </w:tcBorders>
                  <w:noWrap w:val="0"/>
                  <w:vAlign w:val="center"/>
                </w:tcPr>
                <w:p w14:paraId="3804E8B7">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1050" w:type="pct"/>
                  <w:tcBorders>
                    <w:tl2br w:val="nil"/>
                    <w:tr2bl w:val="nil"/>
                  </w:tcBorders>
                  <w:noWrap w:val="0"/>
                  <w:vAlign w:val="center"/>
                </w:tcPr>
                <w:p w14:paraId="123ED774">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批复总量</w:t>
                  </w:r>
                </w:p>
              </w:tc>
              <w:tc>
                <w:tcPr>
                  <w:tcW w:w="1633" w:type="pct"/>
                  <w:tcBorders>
                    <w:tl2br w:val="nil"/>
                    <w:tr2bl w:val="nil"/>
                  </w:tcBorders>
                  <w:noWrap w:val="0"/>
                  <w:vAlign w:val="center"/>
                </w:tcPr>
                <w:p w14:paraId="390F295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实际排放量</w:t>
                  </w:r>
                </w:p>
              </w:tc>
            </w:tr>
            <w:tr w14:paraId="6F03E0DA">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restart"/>
                  <w:tcBorders>
                    <w:tl2br w:val="nil"/>
                    <w:tr2bl w:val="nil"/>
                  </w:tcBorders>
                  <w:noWrap w:val="0"/>
                  <w:vAlign w:val="center"/>
                </w:tcPr>
                <w:p w14:paraId="161E6922">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废水</w:t>
                  </w:r>
                </w:p>
              </w:tc>
              <w:tc>
                <w:tcPr>
                  <w:tcW w:w="1319" w:type="pct"/>
                  <w:tcBorders>
                    <w:tl2br w:val="nil"/>
                    <w:tr2bl w:val="nil"/>
                  </w:tcBorders>
                  <w:noWrap w:val="0"/>
                  <w:vAlign w:val="center"/>
                </w:tcPr>
                <w:p w14:paraId="7F4CDF7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eastAsia="zh-CN"/>
                    </w:rPr>
                    <w:t>废水量</w:t>
                  </w:r>
                </w:p>
              </w:tc>
              <w:tc>
                <w:tcPr>
                  <w:tcW w:w="1050" w:type="pct"/>
                  <w:tcBorders>
                    <w:tl2br w:val="nil"/>
                    <w:tr2bl w:val="nil"/>
                  </w:tcBorders>
                  <w:shd w:val="clear" w:color="auto" w:fill="auto"/>
                  <w:noWrap w:val="0"/>
                  <w:vAlign w:val="center"/>
                </w:tcPr>
                <w:p w14:paraId="5A686635">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2080</w:t>
                  </w:r>
                </w:p>
              </w:tc>
              <w:tc>
                <w:tcPr>
                  <w:tcW w:w="1633" w:type="pct"/>
                  <w:tcBorders>
                    <w:tl2br w:val="nil"/>
                    <w:tr2bl w:val="nil"/>
                  </w:tcBorders>
                  <w:noWrap w:val="0"/>
                  <w:vAlign w:val="center"/>
                </w:tcPr>
                <w:p w14:paraId="20C23663">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2080</w:t>
                  </w:r>
                </w:p>
              </w:tc>
            </w:tr>
            <w:tr w14:paraId="011C0487">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6F6D2D0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22C5C57B">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1050" w:type="pct"/>
                  <w:tcBorders>
                    <w:tl2br w:val="nil"/>
                    <w:tr2bl w:val="nil"/>
                  </w:tcBorders>
                  <w:shd w:val="clear" w:color="auto" w:fill="auto"/>
                  <w:noWrap w:val="0"/>
                  <w:vAlign w:val="center"/>
                </w:tcPr>
                <w:p w14:paraId="525ABFB9">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0.572</w:t>
                  </w:r>
                </w:p>
              </w:tc>
              <w:tc>
                <w:tcPr>
                  <w:tcW w:w="1633" w:type="pct"/>
                  <w:tcBorders>
                    <w:tl2br w:val="nil"/>
                    <w:tr2bl w:val="nil"/>
                  </w:tcBorders>
                  <w:noWrap w:val="0"/>
                  <w:vAlign w:val="center"/>
                </w:tcPr>
                <w:p w14:paraId="7CC66434">
                  <w:pPr>
                    <w:pStyle w:val="47"/>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0.4472</w:t>
                  </w:r>
                </w:p>
              </w:tc>
            </w:tr>
            <w:tr w14:paraId="42108729">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1EB2FCC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2F8710B4">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1050" w:type="pct"/>
                  <w:tcBorders>
                    <w:tl2br w:val="nil"/>
                    <w:tr2bl w:val="nil"/>
                  </w:tcBorders>
                  <w:shd w:val="clear" w:color="auto" w:fill="auto"/>
                  <w:noWrap w:val="0"/>
                  <w:vAlign w:val="center"/>
                </w:tcPr>
                <w:p w14:paraId="645649F7">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0.44</w:t>
                  </w:r>
                </w:p>
              </w:tc>
              <w:tc>
                <w:tcPr>
                  <w:tcW w:w="1633" w:type="pct"/>
                  <w:tcBorders>
                    <w:tl2br w:val="nil"/>
                    <w:tr2bl w:val="nil"/>
                  </w:tcBorders>
                  <w:noWrap w:val="0"/>
                  <w:vAlign w:val="center"/>
                </w:tcPr>
                <w:p w14:paraId="73F73ADA">
                  <w:pPr>
                    <w:pStyle w:val="47"/>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0.25468</w:t>
                  </w:r>
                </w:p>
              </w:tc>
            </w:tr>
            <w:tr w14:paraId="61024E88">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3F9F83E4">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5A78105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1050" w:type="pct"/>
                  <w:tcBorders>
                    <w:tl2br w:val="nil"/>
                    <w:tr2bl w:val="nil"/>
                  </w:tcBorders>
                  <w:shd w:val="clear" w:color="auto" w:fill="auto"/>
                  <w:noWrap w:val="0"/>
                  <w:vAlign w:val="center"/>
                </w:tcPr>
                <w:p w14:paraId="7DA6173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0.0348</w:t>
                  </w:r>
                </w:p>
              </w:tc>
              <w:tc>
                <w:tcPr>
                  <w:tcW w:w="1633" w:type="pct"/>
                  <w:tcBorders>
                    <w:tl2br w:val="nil"/>
                    <w:tr2bl w:val="nil"/>
                  </w:tcBorders>
                  <w:noWrap w:val="0"/>
                  <w:vAlign w:val="center"/>
                </w:tcPr>
                <w:p w14:paraId="34BAA16F">
                  <w:pPr>
                    <w:pStyle w:val="47"/>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0.016524</w:t>
                  </w:r>
                </w:p>
              </w:tc>
            </w:tr>
            <w:tr w14:paraId="470A677F">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0AEE5F37">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6B4370A7">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TP</w:t>
                  </w:r>
                </w:p>
              </w:tc>
              <w:tc>
                <w:tcPr>
                  <w:tcW w:w="1050" w:type="pct"/>
                  <w:tcBorders>
                    <w:tl2br w:val="nil"/>
                    <w:tr2bl w:val="nil"/>
                  </w:tcBorders>
                  <w:shd w:val="clear" w:color="auto" w:fill="auto"/>
                  <w:noWrap w:val="0"/>
                  <w:vAlign w:val="center"/>
                </w:tcPr>
                <w:p w14:paraId="64266792">
                  <w:pPr>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0.00528</w:t>
                  </w:r>
                </w:p>
              </w:tc>
              <w:tc>
                <w:tcPr>
                  <w:tcW w:w="1633" w:type="pct"/>
                  <w:tcBorders>
                    <w:tl2br w:val="nil"/>
                    <w:tr2bl w:val="nil"/>
                  </w:tcBorders>
                  <w:noWrap w:val="0"/>
                  <w:vAlign w:val="center"/>
                </w:tcPr>
                <w:p w14:paraId="21463ABA">
                  <w:pPr>
                    <w:pStyle w:val="47"/>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0.0007236</w:t>
                  </w:r>
                </w:p>
              </w:tc>
            </w:tr>
            <w:tr w14:paraId="4996467B">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restart"/>
                  <w:tcBorders>
                    <w:tl2br w:val="nil"/>
                    <w:tr2bl w:val="nil"/>
                  </w:tcBorders>
                  <w:noWrap w:val="0"/>
                  <w:vAlign w:val="center"/>
                </w:tcPr>
                <w:p w14:paraId="3EFAC346">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废气</w:t>
                  </w:r>
                </w:p>
              </w:tc>
              <w:tc>
                <w:tcPr>
                  <w:tcW w:w="686" w:type="pct"/>
                  <w:vMerge w:val="restart"/>
                  <w:tcBorders>
                    <w:tl2br w:val="nil"/>
                    <w:tr2bl w:val="nil"/>
                  </w:tcBorders>
                  <w:noWrap w:val="0"/>
                  <w:vAlign w:val="center"/>
                </w:tcPr>
                <w:p w14:paraId="3FEC15CF">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有组织</w:t>
                  </w:r>
                </w:p>
              </w:tc>
              <w:tc>
                <w:tcPr>
                  <w:tcW w:w="1319" w:type="pct"/>
                  <w:tcBorders>
                    <w:tl2br w:val="nil"/>
                    <w:tr2bl w:val="nil"/>
                  </w:tcBorders>
                  <w:noWrap w:val="0"/>
                  <w:vAlign w:val="center"/>
                </w:tcPr>
                <w:p w14:paraId="1B85CC9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颗粒物</w:t>
                  </w:r>
                </w:p>
              </w:tc>
              <w:tc>
                <w:tcPr>
                  <w:tcW w:w="1050" w:type="pct"/>
                  <w:tcBorders>
                    <w:tl2br w:val="nil"/>
                    <w:tr2bl w:val="nil"/>
                  </w:tcBorders>
                  <w:shd w:val="clear" w:color="auto" w:fill="auto"/>
                  <w:noWrap w:val="0"/>
                  <w:vAlign w:val="center"/>
                </w:tcPr>
                <w:p w14:paraId="73CA28F6">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0.0974</w:t>
                  </w:r>
                </w:p>
              </w:tc>
              <w:tc>
                <w:tcPr>
                  <w:tcW w:w="1633" w:type="pct"/>
                  <w:tcBorders>
                    <w:tl2br w:val="nil"/>
                    <w:tr2bl w:val="nil"/>
                  </w:tcBorders>
                  <w:shd w:val="clear" w:color="auto" w:fill="auto"/>
                  <w:noWrap w:val="0"/>
                  <w:vAlign w:val="center"/>
                </w:tcPr>
                <w:p w14:paraId="099FFE00">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0.01347</w:t>
                  </w:r>
                </w:p>
              </w:tc>
            </w:tr>
            <w:tr w14:paraId="76B52661">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527B48AE">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686" w:type="pct"/>
                  <w:vMerge w:val="continue"/>
                  <w:tcBorders>
                    <w:tl2br w:val="nil"/>
                    <w:tr2bl w:val="nil"/>
                  </w:tcBorders>
                  <w:noWrap w:val="0"/>
                  <w:vAlign w:val="center"/>
                </w:tcPr>
                <w:p w14:paraId="081BAF35">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1319" w:type="pct"/>
                  <w:tcBorders>
                    <w:tl2br w:val="nil"/>
                    <w:tr2bl w:val="nil"/>
                  </w:tcBorders>
                  <w:noWrap w:val="0"/>
                  <w:vAlign w:val="center"/>
                </w:tcPr>
                <w:p w14:paraId="4C1CA5B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非甲烷总烃</w:t>
                  </w:r>
                </w:p>
              </w:tc>
              <w:tc>
                <w:tcPr>
                  <w:tcW w:w="1050" w:type="pct"/>
                  <w:tcBorders>
                    <w:tl2br w:val="nil"/>
                    <w:tr2bl w:val="nil"/>
                  </w:tcBorders>
                  <w:shd w:val="clear" w:color="auto" w:fill="auto"/>
                  <w:noWrap w:val="0"/>
                  <w:vAlign w:val="center"/>
                </w:tcPr>
                <w:p w14:paraId="76F0804C">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0.1253</w:t>
                  </w:r>
                </w:p>
              </w:tc>
              <w:tc>
                <w:tcPr>
                  <w:tcW w:w="1633" w:type="pct"/>
                  <w:tcBorders>
                    <w:tl2br w:val="nil"/>
                    <w:tr2bl w:val="nil"/>
                  </w:tcBorders>
                  <w:shd w:val="clear" w:color="auto" w:fill="auto"/>
                  <w:noWrap w:val="0"/>
                  <w:vAlign w:val="center"/>
                </w:tcPr>
                <w:p w14:paraId="545BB42C">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0.01302</w:t>
                  </w:r>
                </w:p>
              </w:tc>
            </w:tr>
            <w:tr w14:paraId="7D9761CB">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3BB34159">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686" w:type="pct"/>
                  <w:vMerge w:val="continue"/>
                  <w:tcBorders>
                    <w:tl2br w:val="nil"/>
                    <w:tr2bl w:val="nil"/>
                  </w:tcBorders>
                  <w:noWrap w:val="0"/>
                  <w:vAlign w:val="center"/>
                </w:tcPr>
                <w:p w14:paraId="0B884904">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1319" w:type="pct"/>
                  <w:tcBorders>
                    <w:tl2br w:val="nil"/>
                    <w:tr2bl w:val="nil"/>
                  </w:tcBorders>
                  <w:noWrap w:val="0"/>
                  <w:vAlign w:val="center"/>
                </w:tcPr>
                <w:p w14:paraId="2DE0523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二氧化硫</w:t>
                  </w:r>
                </w:p>
              </w:tc>
              <w:tc>
                <w:tcPr>
                  <w:tcW w:w="1050" w:type="pct"/>
                  <w:tcBorders>
                    <w:tl2br w:val="nil"/>
                    <w:tr2bl w:val="nil"/>
                  </w:tcBorders>
                  <w:shd w:val="clear" w:color="auto" w:fill="auto"/>
                  <w:noWrap w:val="0"/>
                  <w:vAlign w:val="center"/>
                </w:tcPr>
                <w:p w14:paraId="0FEB860F">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0.14</w:t>
                  </w:r>
                </w:p>
              </w:tc>
              <w:tc>
                <w:tcPr>
                  <w:tcW w:w="1633" w:type="pct"/>
                  <w:tcBorders>
                    <w:tl2br w:val="nil"/>
                    <w:tr2bl w:val="nil"/>
                  </w:tcBorders>
                  <w:shd w:val="clear" w:color="auto" w:fill="auto"/>
                  <w:noWrap w:val="0"/>
                  <w:vAlign w:val="center"/>
                </w:tcPr>
                <w:p w14:paraId="25F26F6C">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w:t>
                  </w:r>
                </w:p>
              </w:tc>
            </w:tr>
            <w:tr w14:paraId="5851D83E">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1E1BE46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686" w:type="pct"/>
                  <w:vMerge w:val="continue"/>
                  <w:tcBorders>
                    <w:tl2br w:val="nil"/>
                    <w:tr2bl w:val="nil"/>
                  </w:tcBorders>
                  <w:noWrap w:val="0"/>
                  <w:vAlign w:val="center"/>
                </w:tcPr>
                <w:p w14:paraId="1FF0C645">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1319" w:type="pct"/>
                  <w:tcBorders>
                    <w:tl2br w:val="nil"/>
                    <w:tr2bl w:val="nil"/>
                  </w:tcBorders>
                  <w:noWrap w:val="0"/>
                  <w:vAlign w:val="center"/>
                </w:tcPr>
                <w:p w14:paraId="2BB60C5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氮氧化物</w:t>
                  </w:r>
                </w:p>
              </w:tc>
              <w:tc>
                <w:tcPr>
                  <w:tcW w:w="1050" w:type="pct"/>
                  <w:tcBorders>
                    <w:tl2br w:val="nil"/>
                    <w:tr2bl w:val="nil"/>
                  </w:tcBorders>
                  <w:shd w:val="clear" w:color="auto" w:fill="auto"/>
                  <w:noWrap w:val="0"/>
                  <w:vAlign w:val="center"/>
                </w:tcPr>
                <w:p w14:paraId="2B6915CB">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0.748</w:t>
                  </w:r>
                </w:p>
              </w:tc>
              <w:tc>
                <w:tcPr>
                  <w:tcW w:w="1633" w:type="pct"/>
                  <w:tcBorders>
                    <w:tl2br w:val="nil"/>
                    <w:tr2bl w:val="nil"/>
                  </w:tcBorders>
                  <w:shd w:val="clear" w:color="auto" w:fill="auto"/>
                  <w:noWrap w:val="0"/>
                  <w:vAlign w:val="center"/>
                </w:tcPr>
                <w:p w14:paraId="62FE5B99">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0.0795</w:t>
                  </w:r>
                </w:p>
              </w:tc>
            </w:tr>
            <w:tr w14:paraId="00FD1233">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6A87954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continue"/>
                  <w:tcBorders>
                    <w:tl2br w:val="nil"/>
                    <w:tr2bl w:val="nil"/>
                  </w:tcBorders>
                  <w:noWrap w:val="0"/>
                  <w:vAlign w:val="center"/>
                </w:tcPr>
                <w:p w14:paraId="780F073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4168446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氯化氢</w:t>
                  </w:r>
                </w:p>
              </w:tc>
              <w:tc>
                <w:tcPr>
                  <w:tcW w:w="1050" w:type="pct"/>
                  <w:tcBorders>
                    <w:tl2br w:val="nil"/>
                    <w:tr2bl w:val="nil"/>
                  </w:tcBorders>
                  <w:shd w:val="clear" w:color="auto" w:fill="auto"/>
                  <w:noWrap w:val="0"/>
                  <w:vAlign w:val="center"/>
                </w:tcPr>
                <w:p w14:paraId="6778A49F">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0.0021</w:t>
                  </w:r>
                </w:p>
              </w:tc>
              <w:tc>
                <w:tcPr>
                  <w:tcW w:w="1633" w:type="pct"/>
                  <w:tcBorders>
                    <w:tl2br w:val="nil"/>
                    <w:tr2bl w:val="nil"/>
                  </w:tcBorders>
                  <w:shd w:val="clear" w:color="auto" w:fill="auto"/>
                  <w:noWrap w:val="0"/>
                  <w:vAlign w:val="center"/>
                </w:tcPr>
                <w:p w14:paraId="4F95E881">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w:t>
                  </w:r>
                </w:p>
              </w:tc>
            </w:tr>
            <w:tr w14:paraId="5A1723AC">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223D095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continue"/>
                  <w:tcBorders>
                    <w:tl2br w:val="nil"/>
                    <w:tr2bl w:val="nil"/>
                  </w:tcBorders>
                  <w:noWrap w:val="0"/>
                  <w:vAlign w:val="center"/>
                </w:tcPr>
                <w:p w14:paraId="5E56386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4C54AE5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kern w:val="2"/>
                      <w:sz w:val="21"/>
                      <w:szCs w:val="21"/>
                      <w:lang w:val="en-US" w:eastAsia="zh-CN" w:bidi="ar-SA"/>
                    </w:rPr>
                    <w:t>硫酸雾</w:t>
                  </w:r>
                </w:p>
              </w:tc>
              <w:tc>
                <w:tcPr>
                  <w:tcW w:w="1050" w:type="pct"/>
                  <w:tcBorders>
                    <w:tl2br w:val="nil"/>
                    <w:tr2bl w:val="nil"/>
                  </w:tcBorders>
                  <w:shd w:val="clear" w:color="auto" w:fill="auto"/>
                  <w:noWrap w:val="0"/>
                  <w:vAlign w:val="center"/>
                </w:tcPr>
                <w:p w14:paraId="4E4B0848">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0.0057</w:t>
                  </w:r>
                </w:p>
              </w:tc>
              <w:tc>
                <w:tcPr>
                  <w:tcW w:w="1633" w:type="pct"/>
                  <w:tcBorders>
                    <w:tl2br w:val="nil"/>
                    <w:tr2bl w:val="nil"/>
                  </w:tcBorders>
                  <w:shd w:val="clear" w:color="auto" w:fill="auto"/>
                  <w:noWrap w:val="0"/>
                  <w:vAlign w:val="center"/>
                </w:tcPr>
                <w:p w14:paraId="542E7E95">
                  <w:pPr>
                    <w:jc w:val="center"/>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w:t>
                  </w:r>
                </w:p>
              </w:tc>
            </w:tr>
            <w:tr w14:paraId="306068A6">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4D1A8A4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restart"/>
                  <w:tcBorders>
                    <w:tl2br w:val="nil"/>
                    <w:tr2bl w:val="nil"/>
                  </w:tcBorders>
                  <w:noWrap w:val="0"/>
                  <w:vAlign w:val="center"/>
                </w:tcPr>
                <w:p w14:paraId="6703512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无组织</w:t>
                  </w:r>
                </w:p>
              </w:tc>
              <w:tc>
                <w:tcPr>
                  <w:tcW w:w="1319" w:type="pct"/>
                  <w:tcBorders>
                    <w:tl2br w:val="nil"/>
                    <w:tr2bl w:val="nil"/>
                  </w:tcBorders>
                  <w:shd w:val="clear" w:color="auto" w:fill="auto"/>
                  <w:noWrap w:val="0"/>
                  <w:vAlign w:val="center"/>
                </w:tcPr>
                <w:p w14:paraId="6BAAF7B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颗粒物</w:t>
                  </w:r>
                </w:p>
              </w:tc>
              <w:tc>
                <w:tcPr>
                  <w:tcW w:w="1050" w:type="pct"/>
                  <w:tcBorders>
                    <w:tl2br w:val="nil"/>
                    <w:tr2bl w:val="nil"/>
                  </w:tcBorders>
                  <w:shd w:val="clear" w:color="auto" w:fill="auto"/>
                  <w:noWrap w:val="0"/>
                  <w:vAlign w:val="center"/>
                </w:tcPr>
                <w:p w14:paraId="0456994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0.096</w:t>
                  </w:r>
                </w:p>
              </w:tc>
              <w:tc>
                <w:tcPr>
                  <w:tcW w:w="1633" w:type="pct"/>
                  <w:tcBorders>
                    <w:tl2br w:val="nil"/>
                    <w:tr2bl w:val="nil"/>
                  </w:tcBorders>
                  <w:noWrap w:val="0"/>
                  <w:vAlign w:val="center"/>
                </w:tcPr>
                <w:p w14:paraId="0010167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14:paraId="602F4EF9">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6D8243C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continue"/>
                  <w:tcBorders>
                    <w:tl2br w:val="nil"/>
                    <w:tr2bl w:val="nil"/>
                  </w:tcBorders>
                  <w:noWrap w:val="0"/>
                  <w:vAlign w:val="center"/>
                </w:tcPr>
                <w:p w14:paraId="1010B86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1319" w:type="pct"/>
                  <w:tcBorders>
                    <w:tl2br w:val="nil"/>
                    <w:tr2bl w:val="nil"/>
                  </w:tcBorders>
                  <w:shd w:val="clear" w:color="auto" w:fill="auto"/>
                  <w:noWrap w:val="0"/>
                  <w:vAlign w:val="center"/>
                </w:tcPr>
                <w:p w14:paraId="31075E1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非甲烷总烃</w:t>
                  </w:r>
                </w:p>
              </w:tc>
              <w:tc>
                <w:tcPr>
                  <w:tcW w:w="1050" w:type="pct"/>
                  <w:tcBorders>
                    <w:tl2br w:val="nil"/>
                    <w:tr2bl w:val="nil"/>
                  </w:tcBorders>
                  <w:shd w:val="clear" w:color="auto" w:fill="auto"/>
                  <w:noWrap w:val="0"/>
                  <w:vAlign w:val="center"/>
                </w:tcPr>
                <w:p w14:paraId="0CAF587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0.139</w:t>
                  </w:r>
                </w:p>
              </w:tc>
              <w:tc>
                <w:tcPr>
                  <w:tcW w:w="1633" w:type="pct"/>
                  <w:tcBorders>
                    <w:tl2br w:val="nil"/>
                    <w:tr2bl w:val="nil"/>
                  </w:tcBorders>
                  <w:noWrap w:val="0"/>
                  <w:vAlign w:val="center"/>
                </w:tcPr>
                <w:p w14:paraId="08A46BF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14:paraId="14C6E5F2">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4521374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continue"/>
                  <w:tcBorders>
                    <w:tl2br w:val="nil"/>
                    <w:tr2bl w:val="nil"/>
                  </w:tcBorders>
                  <w:noWrap w:val="0"/>
                  <w:vAlign w:val="center"/>
                </w:tcPr>
                <w:p w14:paraId="4A78B20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p>
              </w:tc>
              <w:tc>
                <w:tcPr>
                  <w:tcW w:w="1319" w:type="pct"/>
                  <w:tcBorders>
                    <w:tl2br w:val="nil"/>
                    <w:tr2bl w:val="nil"/>
                  </w:tcBorders>
                  <w:shd w:val="clear" w:color="auto" w:fill="auto"/>
                  <w:noWrap w:val="0"/>
                  <w:vAlign w:val="center"/>
                </w:tcPr>
                <w:p w14:paraId="14582E8C">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氯化氢</w:t>
                  </w:r>
                </w:p>
              </w:tc>
              <w:tc>
                <w:tcPr>
                  <w:tcW w:w="1050" w:type="pct"/>
                  <w:tcBorders>
                    <w:tl2br w:val="nil"/>
                    <w:tr2bl w:val="nil"/>
                  </w:tcBorders>
                  <w:shd w:val="clear" w:color="auto" w:fill="auto"/>
                  <w:noWrap w:val="0"/>
                  <w:vAlign w:val="center"/>
                </w:tcPr>
                <w:p w14:paraId="378E185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0.0023</w:t>
                  </w:r>
                </w:p>
              </w:tc>
              <w:tc>
                <w:tcPr>
                  <w:tcW w:w="1633" w:type="pct"/>
                  <w:tcBorders>
                    <w:tl2br w:val="nil"/>
                    <w:tr2bl w:val="nil"/>
                  </w:tcBorders>
                  <w:noWrap w:val="0"/>
                  <w:vAlign w:val="center"/>
                </w:tcPr>
                <w:p w14:paraId="3CF28D8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14:paraId="23640F41">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310" w:type="pct"/>
                  <w:vMerge w:val="continue"/>
                  <w:tcBorders>
                    <w:tl2br w:val="nil"/>
                    <w:tr2bl w:val="nil"/>
                  </w:tcBorders>
                  <w:noWrap w:val="0"/>
                  <w:vAlign w:val="center"/>
                </w:tcPr>
                <w:p w14:paraId="453B899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86" w:type="pct"/>
                  <w:vMerge w:val="continue"/>
                  <w:tcBorders>
                    <w:tl2br w:val="nil"/>
                    <w:tr2bl w:val="nil"/>
                  </w:tcBorders>
                  <w:noWrap w:val="0"/>
                  <w:vAlign w:val="center"/>
                </w:tcPr>
                <w:p w14:paraId="4DA0C3D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shd w:val="clear" w:color="auto" w:fill="auto"/>
                  <w:noWrap w:val="0"/>
                  <w:vAlign w:val="center"/>
                </w:tcPr>
                <w:p w14:paraId="6EBDE94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硫酸雾</w:t>
                  </w:r>
                </w:p>
              </w:tc>
              <w:tc>
                <w:tcPr>
                  <w:tcW w:w="1050" w:type="pct"/>
                  <w:tcBorders>
                    <w:tl2br w:val="nil"/>
                    <w:tr2bl w:val="nil"/>
                  </w:tcBorders>
                  <w:shd w:val="clear" w:color="auto" w:fill="auto"/>
                  <w:noWrap w:val="0"/>
                  <w:vAlign w:val="center"/>
                </w:tcPr>
                <w:p w14:paraId="37B9167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0.0063</w:t>
                  </w:r>
                </w:p>
              </w:tc>
              <w:tc>
                <w:tcPr>
                  <w:tcW w:w="1633" w:type="pct"/>
                  <w:tcBorders>
                    <w:tl2br w:val="nil"/>
                    <w:tr2bl w:val="nil"/>
                  </w:tcBorders>
                  <w:noWrap w:val="0"/>
                  <w:vAlign w:val="center"/>
                </w:tcPr>
                <w:p w14:paraId="2C3BF36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14:paraId="0719FD46">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restart"/>
                  <w:tcBorders>
                    <w:tl2br w:val="nil"/>
                    <w:tr2bl w:val="nil"/>
                  </w:tcBorders>
                  <w:noWrap w:val="0"/>
                  <w:vAlign w:val="center"/>
                </w:tcPr>
                <w:p w14:paraId="217E62B8">
                  <w:pPr>
                    <w:keepNext w:val="0"/>
                    <w:keepLines w:val="0"/>
                    <w:pageBreakBefore w:val="0"/>
                    <w:kinsoku/>
                    <w:wordWrap/>
                    <w:overflowPunct/>
                    <w:topLinePunct w:val="0"/>
                    <w:autoSpaceDE/>
                    <w:autoSpaceDN/>
                    <w:bidi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1319" w:type="pct"/>
                  <w:tcBorders>
                    <w:tl2br w:val="nil"/>
                    <w:tr2bl w:val="nil"/>
                  </w:tcBorders>
                  <w:noWrap w:val="0"/>
                  <w:vAlign w:val="center"/>
                </w:tcPr>
                <w:p w14:paraId="4936E86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一般固废</w:t>
                  </w:r>
                </w:p>
              </w:tc>
              <w:tc>
                <w:tcPr>
                  <w:tcW w:w="1050" w:type="pct"/>
                  <w:tcBorders>
                    <w:tl2br w:val="nil"/>
                    <w:tr2bl w:val="nil"/>
                  </w:tcBorders>
                  <w:noWrap w:val="0"/>
                  <w:vAlign w:val="center"/>
                </w:tcPr>
                <w:p w14:paraId="1D942EB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633" w:type="pct"/>
                  <w:tcBorders>
                    <w:tl2br w:val="nil"/>
                    <w:tr2bl w:val="nil"/>
                  </w:tcBorders>
                  <w:noWrap w:val="0"/>
                  <w:vAlign w:val="center"/>
                </w:tcPr>
                <w:p w14:paraId="02EE56C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664E3AEE">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6AF77D4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52ED6C7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危险废物</w:t>
                  </w:r>
                </w:p>
              </w:tc>
              <w:tc>
                <w:tcPr>
                  <w:tcW w:w="1050" w:type="pct"/>
                  <w:tcBorders>
                    <w:tl2br w:val="nil"/>
                    <w:tr2bl w:val="nil"/>
                  </w:tcBorders>
                  <w:noWrap w:val="0"/>
                  <w:vAlign w:val="center"/>
                </w:tcPr>
                <w:p w14:paraId="325F9BE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633" w:type="pct"/>
                  <w:tcBorders>
                    <w:tl2br w:val="nil"/>
                    <w:tr2bl w:val="nil"/>
                  </w:tcBorders>
                  <w:noWrap w:val="0"/>
                  <w:vAlign w:val="center"/>
                </w:tcPr>
                <w:p w14:paraId="13FBABF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r w14:paraId="4BD5170C">
              <w:tblPrEx>
                <w:tblBorders>
                  <w:top w:val="single" w:color="000000" w:sz="12" w:space="0"/>
                  <w:left w:val="single" w:color="000000" w:sz="12" w:space="0"/>
                  <w:bottom w:val="single" w:color="000000" w:sz="12" w:space="0"/>
                  <w:right w:val="single" w:color="000000" w:sz="12" w:space="0"/>
                  <w:insideH w:val="single" w:color="auto" w:sz="8" w:space="0"/>
                  <w:insideV w:val="single" w:color="auto" w:sz="8" w:space="0"/>
                </w:tblBorders>
                <w:tblCellMar>
                  <w:top w:w="0" w:type="dxa"/>
                  <w:left w:w="108" w:type="dxa"/>
                  <w:bottom w:w="0" w:type="dxa"/>
                  <w:right w:w="108" w:type="dxa"/>
                </w:tblCellMar>
              </w:tblPrEx>
              <w:trPr>
                <w:cantSplit/>
                <w:trHeight w:val="57" w:hRule="atLeast"/>
                <w:jc w:val="center"/>
              </w:trPr>
              <w:tc>
                <w:tcPr>
                  <w:tcW w:w="997" w:type="pct"/>
                  <w:gridSpan w:val="2"/>
                  <w:vMerge w:val="continue"/>
                  <w:tcBorders>
                    <w:tl2br w:val="nil"/>
                    <w:tr2bl w:val="nil"/>
                  </w:tcBorders>
                  <w:noWrap w:val="0"/>
                  <w:vAlign w:val="center"/>
                </w:tcPr>
                <w:p w14:paraId="52ECCFA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1319" w:type="pct"/>
                  <w:tcBorders>
                    <w:tl2br w:val="nil"/>
                    <w:tr2bl w:val="nil"/>
                  </w:tcBorders>
                  <w:noWrap w:val="0"/>
                  <w:vAlign w:val="center"/>
                </w:tcPr>
                <w:p w14:paraId="1233DF7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生活垃圾</w:t>
                  </w:r>
                </w:p>
              </w:tc>
              <w:tc>
                <w:tcPr>
                  <w:tcW w:w="1050" w:type="pct"/>
                  <w:tcBorders>
                    <w:tl2br w:val="nil"/>
                    <w:tr2bl w:val="nil"/>
                  </w:tcBorders>
                  <w:noWrap w:val="0"/>
                  <w:vAlign w:val="center"/>
                </w:tcPr>
                <w:p w14:paraId="2FFF690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633" w:type="pct"/>
                  <w:tcBorders>
                    <w:tl2br w:val="nil"/>
                    <w:tr2bl w:val="nil"/>
                  </w:tcBorders>
                  <w:noWrap w:val="0"/>
                  <w:vAlign w:val="center"/>
                </w:tcPr>
                <w:p w14:paraId="02C6CD3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r>
          </w:tbl>
          <w:p w14:paraId="2C957B0C">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ascii="Times New Roman" w:hAnsi="Times New Roman"/>
                <w:b/>
                <w:color w:val="auto"/>
                <w:sz w:val="24"/>
                <w:szCs w:val="24"/>
              </w:rPr>
            </w:pPr>
            <w:r>
              <w:rPr>
                <w:rFonts w:hint="eastAsia"/>
                <w:b/>
                <w:color w:val="auto"/>
                <w:sz w:val="24"/>
                <w:szCs w:val="24"/>
                <w:lang w:val="en-US" w:eastAsia="zh-CN"/>
              </w:rPr>
              <w:t>5、</w:t>
            </w:r>
            <w:r>
              <w:rPr>
                <w:rFonts w:hint="default" w:ascii="Times New Roman" w:hAnsi="Times New Roman"/>
                <w:b/>
                <w:color w:val="auto"/>
                <w:sz w:val="24"/>
                <w:szCs w:val="24"/>
              </w:rPr>
              <w:t>原有</w:t>
            </w:r>
            <w:r>
              <w:rPr>
                <w:rFonts w:hint="default" w:ascii="Times New Roman" w:hAnsi="Times New Roman"/>
                <w:b/>
                <w:color w:val="auto"/>
                <w:kern w:val="0"/>
                <w:sz w:val="24"/>
                <w:szCs w:val="24"/>
              </w:rPr>
              <w:t>卫生防护距离设置情况</w:t>
            </w:r>
          </w:p>
          <w:p w14:paraId="50B5972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4"/>
              </w:rPr>
            </w:pPr>
            <w:r>
              <w:rPr>
                <w:rFonts w:hint="default" w:ascii="Times New Roman" w:hAnsi="Times New Roman"/>
                <w:color w:val="auto"/>
                <w:sz w:val="24"/>
                <w:szCs w:val="24"/>
              </w:rPr>
              <w:t>根据原环评及批复，</w:t>
            </w:r>
            <w:r>
              <w:rPr>
                <w:rFonts w:hint="eastAsia" w:ascii="Times New Roman" w:hAnsi="Times New Roman"/>
                <w:color w:val="auto"/>
                <w:sz w:val="24"/>
                <w:szCs w:val="24"/>
              </w:rPr>
              <w:t>现有项目以</w:t>
            </w:r>
            <w:r>
              <w:rPr>
                <w:rFonts w:hint="eastAsia"/>
                <w:color w:val="auto"/>
                <w:sz w:val="24"/>
                <w:szCs w:val="24"/>
                <w:lang w:val="en-US" w:eastAsia="zh-CN"/>
              </w:rPr>
              <w:t>生产车间</w:t>
            </w:r>
            <w:r>
              <w:rPr>
                <w:rFonts w:hint="eastAsia" w:ascii="Times New Roman" w:hAnsi="Times New Roman"/>
                <w:color w:val="auto"/>
                <w:sz w:val="24"/>
                <w:szCs w:val="24"/>
                <w:lang w:val="en-US" w:eastAsia="zh-CN"/>
              </w:rPr>
              <w:t>边</w:t>
            </w:r>
            <w:r>
              <w:rPr>
                <w:rFonts w:hint="eastAsia" w:ascii="Times New Roman" w:hAnsi="Times New Roman"/>
                <w:color w:val="auto"/>
                <w:sz w:val="24"/>
                <w:szCs w:val="24"/>
              </w:rPr>
              <w:t>界</w:t>
            </w:r>
            <w:r>
              <w:rPr>
                <w:rFonts w:hint="eastAsia" w:ascii="Times New Roman" w:hAnsi="Times New Roman"/>
                <w:color w:val="auto"/>
                <w:sz w:val="24"/>
                <w:szCs w:val="24"/>
                <w:lang w:val="en-US" w:eastAsia="zh-CN"/>
              </w:rPr>
              <w:t>为起点</w:t>
            </w:r>
            <w:r>
              <w:rPr>
                <w:rFonts w:hint="eastAsia" w:ascii="Times New Roman" w:hAnsi="Times New Roman"/>
                <w:color w:val="auto"/>
                <w:sz w:val="24"/>
                <w:szCs w:val="24"/>
              </w:rPr>
              <w:t>设置100米</w:t>
            </w:r>
            <w:r>
              <w:rPr>
                <w:rFonts w:hint="eastAsia" w:ascii="Times New Roman" w:hAnsi="Times New Roman"/>
                <w:color w:val="auto"/>
                <w:sz w:val="24"/>
                <w:szCs w:val="24"/>
                <w:lang w:val="en-US" w:eastAsia="zh-CN"/>
              </w:rPr>
              <w:t>的</w:t>
            </w:r>
            <w:r>
              <w:rPr>
                <w:rFonts w:hint="eastAsia" w:ascii="Times New Roman" w:hAnsi="Times New Roman"/>
                <w:color w:val="auto"/>
                <w:sz w:val="24"/>
                <w:szCs w:val="24"/>
              </w:rPr>
              <w:t>卫生防护距离，</w:t>
            </w:r>
            <w:r>
              <w:rPr>
                <w:rFonts w:hint="default" w:ascii="Times New Roman" w:hAnsi="Times New Roman"/>
                <w:color w:val="auto"/>
                <w:sz w:val="24"/>
                <w:szCs w:val="24"/>
              </w:rPr>
              <w:t>卫生防护距离</w:t>
            </w:r>
            <w:r>
              <w:rPr>
                <w:rFonts w:hint="eastAsia" w:ascii="Times New Roman" w:hAnsi="Times New Roman"/>
                <w:color w:val="auto"/>
                <w:sz w:val="24"/>
                <w:szCs w:val="24"/>
              </w:rPr>
              <w:t>内无敏感点</w:t>
            </w:r>
            <w:r>
              <w:rPr>
                <w:rFonts w:hint="default" w:ascii="Times New Roman" w:hAnsi="Times New Roman"/>
                <w:color w:val="auto"/>
                <w:sz w:val="24"/>
                <w:szCs w:val="24"/>
              </w:rPr>
              <w:t>。</w:t>
            </w:r>
          </w:p>
          <w:p w14:paraId="1012A0FC">
            <w:pPr>
              <w:keepNext w:val="0"/>
              <w:keepLines w:val="0"/>
              <w:suppressLineNumbers w:val="0"/>
              <w:spacing w:before="0" w:beforeAutospacing="0" w:after="0" w:afterAutospacing="0" w:line="360" w:lineRule="auto"/>
              <w:ind w:left="0" w:right="0" w:firstLine="482" w:firstLineChars="200"/>
              <w:rPr>
                <w:rFonts w:hint="default" w:ascii="Times New Roman" w:hAnsi="Times New Roman"/>
                <w:b/>
                <w:bCs/>
                <w:color w:val="auto"/>
                <w:sz w:val="24"/>
                <w:szCs w:val="24"/>
              </w:rPr>
            </w:pPr>
            <w:r>
              <w:rPr>
                <w:rFonts w:hint="eastAsia"/>
                <w:b/>
                <w:bCs/>
                <w:color w:val="auto"/>
                <w:sz w:val="24"/>
                <w:szCs w:val="24"/>
                <w:lang w:val="en-US" w:eastAsia="zh-CN"/>
              </w:rPr>
              <w:t>6、</w:t>
            </w:r>
            <w:r>
              <w:rPr>
                <w:rFonts w:hint="default" w:ascii="Times New Roman" w:hAnsi="Times New Roman"/>
                <w:b/>
                <w:bCs/>
                <w:color w:val="auto"/>
                <w:sz w:val="24"/>
                <w:szCs w:val="24"/>
              </w:rPr>
              <w:t>周边居民投诉情况</w:t>
            </w:r>
          </w:p>
          <w:p w14:paraId="46DA7F3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auto"/>
                <w:sz w:val="24"/>
                <w:szCs w:val="24"/>
              </w:rPr>
            </w:pPr>
            <w:r>
              <w:rPr>
                <w:rFonts w:hint="default" w:ascii="Times New Roman" w:hAnsi="Times New Roman"/>
                <w:color w:val="auto"/>
                <w:sz w:val="24"/>
                <w:szCs w:val="24"/>
              </w:rPr>
              <w:t>未收到周边居民的相关投诉。</w:t>
            </w:r>
          </w:p>
          <w:p w14:paraId="157DD50B">
            <w:pPr>
              <w:pStyle w:val="16"/>
              <w:keepNext w:val="0"/>
              <w:keepLines w:val="0"/>
              <w:suppressLineNumbers w:val="0"/>
              <w:tabs>
                <w:tab w:val="left" w:pos="732"/>
              </w:tabs>
              <w:adjustRightInd w:val="0"/>
              <w:spacing w:before="0" w:beforeAutospacing="0" w:after="0" w:afterAutospacing="0" w:line="360" w:lineRule="auto"/>
              <w:ind w:left="0" w:leftChars="0" w:right="0" w:firstLine="482" w:firstLineChars="200"/>
              <w:rPr>
                <w:rFonts w:hint="default" w:ascii="Times New Roman" w:hAnsi="Times New Roman"/>
                <w:b/>
                <w:bCs/>
                <w:color w:val="auto"/>
                <w:sz w:val="24"/>
                <w:szCs w:val="24"/>
              </w:rPr>
            </w:pPr>
            <w:r>
              <w:rPr>
                <w:rFonts w:hint="eastAsia"/>
                <w:b/>
                <w:color w:val="auto"/>
                <w:sz w:val="24"/>
                <w:szCs w:val="24"/>
                <w:lang w:val="en-US" w:eastAsia="zh-CN"/>
              </w:rPr>
              <w:t>7、</w:t>
            </w:r>
            <w:r>
              <w:rPr>
                <w:rFonts w:hint="eastAsia" w:ascii="Times New Roman" w:hAnsi="Times New Roman"/>
                <w:b/>
                <w:bCs/>
                <w:color w:val="auto"/>
                <w:sz w:val="24"/>
                <w:szCs w:val="24"/>
              </w:rPr>
              <w:t>现</w:t>
            </w:r>
            <w:r>
              <w:rPr>
                <w:rFonts w:hint="default" w:ascii="Times New Roman" w:hAnsi="Times New Roman"/>
                <w:b/>
                <w:bCs/>
                <w:color w:val="auto"/>
                <w:sz w:val="24"/>
                <w:szCs w:val="24"/>
              </w:rPr>
              <w:t>有项目排污许可证申领</w:t>
            </w:r>
          </w:p>
          <w:p w14:paraId="3176ECB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苏州</w:t>
            </w:r>
            <w:r>
              <w:rPr>
                <w:rFonts w:hint="eastAsia"/>
                <w:color w:val="auto"/>
                <w:sz w:val="24"/>
                <w:szCs w:val="24"/>
                <w:highlight w:val="none"/>
                <w:lang w:val="en-US" w:eastAsia="zh-CN"/>
              </w:rPr>
              <w:t>市利达亿涂饰厂</w:t>
            </w:r>
            <w:r>
              <w:rPr>
                <w:rFonts w:hint="eastAsia" w:ascii="Times New Roman" w:hAnsi="Times New Roman"/>
                <w:color w:val="auto"/>
                <w:sz w:val="24"/>
                <w:szCs w:val="24"/>
                <w:highlight w:val="none"/>
              </w:rPr>
              <w:t>已于</w:t>
            </w:r>
            <w:r>
              <w:rPr>
                <w:rFonts w:hint="eastAsia"/>
                <w:color w:val="auto"/>
                <w:sz w:val="24"/>
                <w:szCs w:val="24"/>
                <w:highlight w:val="none"/>
                <w:lang w:eastAsia="zh-CN"/>
              </w:rPr>
              <w:t>2025年8月26日</w:t>
            </w:r>
            <w:r>
              <w:rPr>
                <w:rFonts w:hint="eastAsia" w:ascii="Times New Roman" w:hAnsi="Times New Roman"/>
                <w:color w:val="auto"/>
                <w:sz w:val="24"/>
                <w:szCs w:val="24"/>
                <w:highlight w:val="none"/>
              </w:rPr>
              <w:t>取得固定污染源排污</w:t>
            </w:r>
            <w:r>
              <w:rPr>
                <w:rFonts w:hint="eastAsia"/>
                <w:color w:val="auto"/>
                <w:sz w:val="24"/>
                <w:szCs w:val="24"/>
                <w:highlight w:val="none"/>
                <w:lang w:val="en-US" w:eastAsia="zh-CN"/>
              </w:rPr>
              <w:t>许可证</w:t>
            </w:r>
            <w:r>
              <w:rPr>
                <w:rFonts w:hint="eastAsia" w:ascii="Times New Roman" w:hAnsi="Times New Roman"/>
                <w:color w:val="auto"/>
                <w:sz w:val="24"/>
                <w:szCs w:val="24"/>
                <w:highlight w:val="none"/>
              </w:rPr>
              <w:t>（</w:t>
            </w:r>
            <w:r>
              <w:rPr>
                <w:rFonts w:hint="eastAsia"/>
                <w:color w:val="auto"/>
                <w:sz w:val="24"/>
                <w:szCs w:val="24"/>
                <w:highlight w:val="none"/>
                <w:lang w:val="en-US" w:eastAsia="zh-CN"/>
              </w:rPr>
              <w:t>许可证</w:t>
            </w:r>
            <w:r>
              <w:rPr>
                <w:rFonts w:hint="eastAsia" w:ascii="Times New Roman" w:hAnsi="Times New Roman"/>
                <w:color w:val="auto"/>
                <w:sz w:val="24"/>
                <w:szCs w:val="24"/>
                <w:highlight w:val="none"/>
              </w:rPr>
              <w:t>编号：</w:t>
            </w:r>
            <w:r>
              <w:rPr>
                <w:rFonts w:hint="eastAsia"/>
                <w:color w:val="auto"/>
                <w:sz w:val="24"/>
                <w:szCs w:val="24"/>
                <w:highlight w:val="none"/>
                <w:lang w:val="en-US" w:eastAsia="zh-CN"/>
              </w:rPr>
              <w:t>91320507X32302943H001P</w:t>
            </w:r>
            <w:r>
              <w:rPr>
                <w:rFonts w:hint="eastAsia" w:ascii="Times New Roman" w:hAnsi="Times New Roman"/>
                <w:color w:val="auto"/>
                <w:sz w:val="24"/>
                <w:szCs w:val="24"/>
                <w:highlight w:val="none"/>
              </w:rPr>
              <w:t>）。</w:t>
            </w:r>
          </w:p>
          <w:p w14:paraId="36097F14">
            <w:pPr>
              <w:keepNext w:val="0"/>
              <w:keepLines w:val="0"/>
              <w:suppressLineNumbers w:val="0"/>
              <w:spacing w:before="0" w:beforeAutospacing="0" w:after="0" w:afterAutospacing="0" w:line="360" w:lineRule="auto"/>
              <w:ind w:left="0" w:right="0" w:firstLine="482" w:firstLineChars="200"/>
              <w:rPr>
                <w:rFonts w:hint="eastAsia" w:ascii="Times New Roman" w:hAnsi="Times New Roman"/>
                <w:b/>
                <w:bCs/>
                <w:color w:val="auto"/>
                <w:sz w:val="24"/>
                <w:szCs w:val="24"/>
              </w:rPr>
            </w:pPr>
            <w:r>
              <w:rPr>
                <w:rFonts w:hint="eastAsia"/>
                <w:b/>
                <w:bCs/>
                <w:color w:val="auto"/>
                <w:sz w:val="24"/>
                <w:szCs w:val="24"/>
                <w:lang w:val="en-US" w:eastAsia="zh-CN"/>
              </w:rPr>
              <w:t>8、</w:t>
            </w:r>
            <w:r>
              <w:rPr>
                <w:rFonts w:hint="eastAsia" w:ascii="Times New Roman" w:hAnsi="Times New Roman"/>
                <w:b/>
                <w:bCs/>
                <w:color w:val="auto"/>
                <w:sz w:val="24"/>
                <w:szCs w:val="24"/>
              </w:rPr>
              <w:t>现</w:t>
            </w:r>
            <w:r>
              <w:rPr>
                <w:rFonts w:hint="default" w:ascii="Times New Roman" w:hAnsi="Times New Roman"/>
                <w:b/>
                <w:bCs/>
                <w:color w:val="auto"/>
                <w:sz w:val="24"/>
                <w:szCs w:val="24"/>
              </w:rPr>
              <w:t>有项目突发环境事件应急预案备案情况</w:t>
            </w:r>
          </w:p>
          <w:p w14:paraId="5586ED8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企业于202</w:t>
            </w:r>
            <w:r>
              <w:rPr>
                <w:rFonts w:hint="eastAsia" w:cs="Times New Roman"/>
                <w:bCs/>
                <w:color w:val="auto"/>
                <w:sz w:val="24"/>
                <w:szCs w:val="24"/>
                <w:lang w:val="en-US" w:eastAsia="zh-CN"/>
              </w:rPr>
              <w:t>2</w:t>
            </w:r>
            <w:r>
              <w:rPr>
                <w:rFonts w:hint="default" w:ascii="Times New Roman" w:hAnsi="Times New Roman" w:cs="Times New Roman"/>
                <w:bCs/>
                <w:color w:val="auto"/>
                <w:sz w:val="24"/>
                <w:szCs w:val="24"/>
              </w:rPr>
              <w:t>年</w:t>
            </w:r>
            <w:r>
              <w:rPr>
                <w:rFonts w:hint="eastAsia" w:cs="Times New Roman"/>
                <w:bCs/>
                <w:color w:val="auto"/>
                <w:sz w:val="24"/>
                <w:szCs w:val="24"/>
                <w:lang w:val="en-US" w:eastAsia="zh-CN"/>
              </w:rPr>
              <w:t>9</w:t>
            </w:r>
            <w:r>
              <w:rPr>
                <w:rFonts w:hint="default" w:ascii="Times New Roman" w:hAnsi="Times New Roman" w:cs="Times New Roman"/>
                <w:bCs/>
                <w:color w:val="auto"/>
                <w:sz w:val="24"/>
                <w:szCs w:val="24"/>
              </w:rPr>
              <w:t>月</w:t>
            </w:r>
            <w:r>
              <w:rPr>
                <w:rFonts w:hint="eastAsia" w:cs="Times New Roman"/>
                <w:bCs/>
                <w:color w:val="auto"/>
                <w:sz w:val="24"/>
                <w:szCs w:val="24"/>
                <w:lang w:val="en-US" w:eastAsia="zh-CN"/>
              </w:rPr>
              <w:t>27</w:t>
            </w:r>
            <w:r>
              <w:rPr>
                <w:rFonts w:hint="default" w:ascii="Times New Roman" w:hAnsi="Times New Roman" w:cs="Times New Roman"/>
                <w:bCs/>
                <w:color w:val="auto"/>
                <w:sz w:val="24"/>
                <w:szCs w:val="24"/>
              </w:rPr>
              <w:t>日进行了突发环境事件应急预案的备案，备案证编号</w:t>
            </w:r>
            <w:r>
              <w:rPr>
                <w:rFonts w:hint="eastAsia" w:ascii="Times New Roman" w:hAnsi="Times New Roman" w:cs="Times New Roman"/>
                <w:bCs/>
                <w:color w:val="auto"/>
                <w:sz w:val="24"/>
                <w:szCs w:val="24"/>
              </w:rPr>
              <w:t>：320507-202</w:t>
            </w:r>
            <w:r>
              <w:rPr>
                <w:rFonts w:hint="eastAsia" w:cs="Times New Roman"/>
                <w:bCs/>
                <w:color w:val="auto"/>
                <w:sz w:val="24"/>
                <w:szCs w:val="24"/>
                <w:lang w:val="en-US" w:eastAsia="zh-CN"/>
              </w:rPr>
              <w:t>2</w:t>
            </w:r>
            <w:r>
              <w:rPr>
                <w:rFonts w:hint="eastAsia" w:ascii="Times New Roman" w:hAnsi="Times New Roman" w:cs="Times New Roman"/>
                <w:bCs/>
                <w:color w:val="auto"/>
                <w:sz w:val="24"/>
                <w:szCs w:val="24"/>
              </w:rPr>
              <w:t>-</w:t>
            </w:r>
            <w:r>
              <w:rPr>
                <w:rFonts w:hint="eastAsia" w:cs="Times New Roman"/>
                <w:bCs/>
                <w:color w:val="auto"/>
                <w:sz w:val="24"/>
                <w:szCs w:val="24"/>
                <w:lang w:val="en-US" w:eastAsia="zh-CN"/>
              </w:rPr>
              <w:t>134</w:t>
            </w:r>
            <w:r>
              <w:rPr>
                <w:rFonts w:hint="default" w:ascii="Times New Roman" w:hAnsi="Times New Roman" w:cs="Times New Roman"/>
                <w:bCs/>
                <w:color w:val="auto"/>
                <w:sz w:val="24"/>
                <w:szCs w:val="24"/>
              </w:rPr>
              <w:t>-L，企业风险级别为：一般[一般-大气</w:t>
            </w:r>
            <w:r>
              <w:rPr>
                <w:rFonts w:hint="eastAsia" w:ascii="Times New Roman" w:hAnsi="Times New Roman" w:cs="Times New Roman"/>
                <w:bCs/>
                <w:color w:val="auto"/>
                <w:sz w:val="24"/>
                <w:szCs w:val="24"/>
              </w:rPr>
              <w:t>（</w:t>
            </w:r>
            <w:r>
              <w:rPr>
                <w:rFonts w:hint="default" w:ascii="Times New Roman" w:hAnsi="Times New Roman" w:cs="Times New Roman"/>
                <w:bCs/>
                <w:color w:val="auto"/>
                <w:sz w:val="24"/>
                <w:szCs w:val="24"/>
              </w:rPr>
              <w:t>Q0</w:t>
            </w:r>
            <w:r>
              <w:rPr>
                <w:rFonts w:hint="eastAsia" w:ascii="Times New Roman" w:hAnsi="Times New Roman" w:cs="Times New Roman"/>
                <w:bCs/>
                <w:color w:val="auto"/>
                <w:sz w:val="24"/>
                <w:szCs w:val="24"/>
              </w:rPr>
              <w:t>）</w:t>
            </w:r>
            <w:r>
              <w:rPr>
                <w:rFonts w:hint="default" w:ascii="Times New Roman" w:hAnsi="Times New Roman" w:cs="Times New Roman"/>
                <w:bCs/>
                <w:color w:val="auto"/>
                <w:sz w:val="24"/>
                <w:szCs w:val="24"/>
              </w:rPr>
              <w:t>+一般-水（Q0）]。</w:t>
            </w:r>
          </w:p>
          <w:p w14:paraId="54CF0BF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现有项目</w:t>
            </w:r>
            <w:r>
              <w:rPr>
                <w:rFonts w:hint="eastAsia" w:ascii="Times New Roman" w:hAnsi="Times New Roman" w:cs="Times New Roman"/>
                <w:bCs/>
                <w:color w:val="auto"/>
                <w:sz w:val="24"/>
                <w:szCs w:val="24"/>
              </w:rPr>
              <w:t>厂区设置消防安全措施</w:t>
            </w:r>
            <w:r>
              <w:rPr>
                <w:rFonts w:hint="eastAsia" w:cs="Times New Roman"/>
                <w:bCs/>
                <w:color w:val="auto"/>
                <w:sz w:val="24"/>
                <w:szCs w:val="24"/>
                <w:lang w:eastAsia="zh-CN"/>
              </w:rPr>
              <w:t>；</w:t>
            </w:r>
            <w:r>
              <w:rPr>
                <w:rFonts w:hint="eastAsia" w:ascii="Times New Roman" w:hAnsi="Times New Roman" w:cs="Times New Roman"/>
                <w:bCs/>
                <w:color w:val="auto"/>
                <w:sz w:val="24"/>
                <w:szCs w:val="24"/>
              </w:rPr>
              <w:t>配备必要的个人防护装备、防毒器材、消防器材；配有足够的应急物资；危废仓库地面与裙脚采用坚固、防渗材料建造，并设有</w:t>
            </w:r>
            <w:r>
              <w:rPr>
                <w:rFonts w:hint="eastAsia" w:ascii="Times New Roman" w:hAnsi="Times New Roman" w:cs="Times New Roman"/>
                <w:bCs/>
                <w:color w:val="auto"/>
                <w:sz w:val="24"/>
                <w:szCs w:val="24"/>
                <w:lang w:val="en-US" w:eastAsia="zh-CN"/>
              </w:rPr>
              <w:t>防泄漏托盘</w:t>
            </w:r>
            <w:r>
              <w:rPr>
                <w:rFonts w:hint="eastAsia" w:ascii="Times New Roman" w:hAnsi="Times New Roman" w:cs="Times New Roman"/>
                <w:bCs/>
                <w:color w:val="auto"/>
                <w:sz w:val="24"/>
                <w:szCs w:val="24"/>
              </w:rPr>
              <w:t>。</w:t>
            </w:r>
          </w:p>
          <w:p w14:paraId="0392CAE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b/>
                <w:bCs/>
                <w:color w:val="auto"/>
                <w:sz w:val="24"/>
                <w:szCs w:val="24"/>
                <w:lang w:val="en-US" w:eastAsia="zh-CN"/>
              </w:rPr>
              <w:t>9、现有项目存在环境问题及</w:t>
            </w:r>
            <w:r>
              <w:rPr>
                <w:rFonts w:hint="eastAsia"/>
                <w:b/>
                <w:bCs/>
                <w:color w:val="auto"/>
                <w:sz w:val="24"/>
                <w:szCs w:val="24"/>
                <w:lang w:val="en-US" w:eastAsia="zh-CN"/>
              </w:rPr>
              <w:t>“以新带老”措施</w:t>
            </w:r>
          </w:p>
          <w:p w14:paraId="19180C3D">
            <w:pPr>
              <w:pStyle w:val="29"/>
              <w:spacing w:line="360" w:lineRule="auto"/>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现有项目位于</w:t>
            </w:r>
            <w:r>
              <w:rPr>
                <w:rFonts w:hint="default" w:ascii="Times New Roman" w:hAnsi="Times New Roman" w:eastAsia="宋体" w:cs="Times New Roman"/>
                <w:color w:val="auto"/>
                <w:sz w:val="24"/>
                <w:szCs w:val="24"/>
                <w:lang w:val="en-US" w:eastAsia="zh-CN"/>
              </w:rPr>
              <w:t>苏州市相城区</w:t>
            </w:r>
            <w:r>
              <w:rPr>
                <w:rFonts w:hint="eastAsia" w:ascii="Times New Roman" w:cs="Times New Roman"/>
                <w:color w:val="auto"/>
                <w:sz w:val="24"/>
                <w:szCs w:val="24"/>
                <w:lang w:val="en-US" w:eastAsia="zh-CN"/>
              </w:rPr>
              <w:t>太平工业园</w:t>
            </w:r>
            <w:r>
              <w:rPr>
                <w:rFonts w:hint="default" w:ascii="Times New Roman" w:hAnsi="Times New Roman" w:eastAsia="宋体" w:cs="Times New Roman"/>
                <w:color w:val="auto"/>
              </w:rPr>
              <w:t>，环保手续完善，已设置一般固废仓库及危废</w:t>
            </w:r>
            <w:r>
              <w:rPr>
                <w:rFonts w:hint="default" w:ascii="Times New Roman" w:hAnsi="Times New Roman" w:eastAsia="宋体" w:cs="Times New Roman"/>
                <w:color w:val="auto"/>
                <w:lang w:val="en-US" w:eastAsia="zh-CN"/>
              </w:rPr>
              <w:t>仓库</w:t>
            </w:r>
            <w:r>
              <w:rPr>
                <w:rFonts w:hint="default" w:ascii="Times New Roman" w:hAnsi="Times New Roman" w:eastAsia="宋体" w:cs="Times New Roman"/>
                <w:color w:val="auto"/>
              </w:rPr>
              <w:t>，项目运行过程中所产生的危险废物均由有资质单位按照规定转移处置，无泄漏事故发生；现有项目四周均为研发、生产型企业；经了解，现有项目无环境纠纷问题</w:t>
            </w:r>
            <w:r>
              <w:rPr>
                <w:rFonts w:hint="eastAsia" w:ascii="Times New Roman" w:cs="Times New Roman"/>
                <w:color w:val="auto"/>
                <w:lang w:eastAsia="zh-CN"/>
              </w:rPr>
              <w:t>。</w:t>
            </w:r>
          </w:p>
          <w:p w14:paraId="69F3B2DE">
            <w:pPr>
              <w:pStyle w:val="29"/>
              <w:spacing w:line="360" w:lineRule="auto"/>
              <w:ind w:firstLine="482" w:firstLineChars="200"/>
              <w:jc w:val="both"/>
              <w:rPr>
                <w:rFonts w:hint="default" w:ascii="Times New Roman" w:cs="Times New Roman"/>
                <w:b/>
                <w:bCs/>
                <w:color w:val="auto"/>
                <w:lang w:val="en-US" w:eastAsia="zh-CN"/>
              </w:rPr>
            </w:pPr>
            <w:r>
              <w:rPr>
                <w:rFonts w:hint="eastAsia" w:ascii="Times New Roman" w:cs="Times New Roman"/>
                <w:b/>
                <w:bCs/>
                <w:color w:val="auto"/>
                <w:lang w:val="en-US" w:eastAsia="zh-CN"/>
              </w:rPr>
              <w:t>（1）现有项目存在问题</w:t>
            </w:r>
          </w:p>
          <w:p w14:paraId="029DE5D9">
            <w:pPr>
              <w:pStyle w:val="29"/>
              <w:spacing w:line="360" w:lineRule="auto"/>
              <w:ind w:firstLine="480" w:firstLineChars="200"/>
              <w:jc w:val="both"/>
              <w:rPr>
                <w:rFonts w:hint="eastAsia" w:ascii="Times New Roman" w:cs="Times New Roman"/>
                <w:color w:val="auto"/>
                <w:lang w:val="en-US" w:eastAsia="zh-CN"/>
              </w:rPr>
            </w:pPr>
            <w:r>
              <w:rPr>
                <w:rFonts w:hint="eastAsia" w:ascii="Times New Roman" w:cs="Times New Roman"/>
                <w:color w:val="auto"/>
                <w:highlight w:val="none"/>
                <w:lang w:val="en-US" w:eastAsia="zh-CN"/>
              </w:rPr>
              <w:t>①现</w:t>
            </w:r>
            <w:r>
              <w:rPr>
                <w:rFonts w:hint="eastAsia" w:ascii="Times New Roman" w:cs="Times New Roman"/>
                <w:color w:val="auto"/>
                <w:lang w:val="en-US" w:eastAsia="zh-CN"/>
              </w:rPr>
              <w:t>有项目生活污水未识别总氮污染因子；</w:t>
            </w:r>
          </w:p>
          <w:p w14:paraId="5FDEEBE3">
            <w:pPr>
              <w:pStyle w:val="29"/>
              <w:spacing w:line="360" w:lineRule="auto"/>
              <w:ind w:firstLine="480" w:firstLineChars="200"/>
              <w:jc w:val="both"/>
              <w:rPr>
                <w:rFonts w:hint="eastAsia" w:ascii="Times New Roman" w:cs="Times New Roman"/>
                <w:color w:val="auto"/>
                <w:lang w:val="en-US" w:eastAsia="zh-CN"/>
              </w:rPr>
            </w:pPr>
            <w:r>
              <w:rPr>
                <w:rFonts w:hint="eastAsia" w:ascii="Times New Roman" w:cs="Times New Roman"/>
                <w:color w:val="auto"/>
                <w:lang w:val="en-US" w:eastAsia="zh-CN"/>
              </w:rPr>
              <w:t>②例行监测时未监测厂区内非甲烷总烃浓度；</w:t>
            </w:r>
          </w:p>
          <w:p w14:paraId="3146679D">
            <w:pPr>
              <w:pStyle w:val="29"/>
              <w:spacing w:line="360" w:lineRule="auto"/>
              <w:ind w:firstLine="480" w:firstLineChars="200"/>
              <w:jc w:val="both"/>
              <w:rPr>
                <w:rFonts w:hint="eastAsia" w:ascii="Times New Roman" w:cs="Times New Roman"/>
                <w:color w:val="auto"/>
                <w:lang w:val="en-US" w:eastAsia="zh-CN"/>
              </w:rPr>
            </w:pPr>
            <w:r>
              <w:rPr>
                <w:rFonts w:hint="eastAsia" w:ascii="Times New Roman" w:cs="Times New Roman"/>
                <w:color w:val="auto"/>
                <w:lang w:val="en-US" w:eastAsia="zh-CN"/>
              </w:rPr>
              <w:t>③企业应急预案已过期；</w:t>
            </w:r>
          </w:p>
          <w:p w14:paraId="41461DF4">
            <w:pPr>
              <w:pStyle w:val="29"/>
              <w:spacing w:line="360" w:lineRule="auto"/>
              <w:ind w:firstLine="480" w:firstLineChars="200"/>
              <w:jc w:val="both"/>
              <w:rPr>
                <w:rFonts w:hint="default" w:ascii="Times New Roman" w:cs="Times New Roman"/>
                <w:color w:val="auto"/>
                <w:lang w:val="en-US" w:eastAsia="zh-CN"/>
              </w:rPr>
            </w:pPr>
            <w:r>
              <w:rPr>
                <w:rFonts w:hint="eastAsia" w:ascii="Times New Roman" w:cs="Times New Roman"/>
                <w:color w:val="auto"/>
                <w:lang w:val="en-US" w:eastAsia="zh-CN"/>
              </w:rPr>
              <w:t>④现有项目未识别全部危险废物种类。</w:t>
            </w:r>
          </w:p>
          <w:p w14:paraId="1384616C">
            <w:pPr>
              <w:pStyle w:val="29"/>
              <w:spacing w:line="360" w:lineRule="auto"/>
              <w:ind w:firstLine="482" w:firstLineChars="200"/>
              <w:jc w:val="both"/>
              <w:rPr>
                <w:rFonts w:hint="eastAsia" w:ascii="Times New Roman" w:cs="Times New Roman"/>
                <w:b/>
                <w:bCs/>
                <w:color w:val="auto"/>
                <w:lang w:val="en-US" w:eastAsia="zh-CN"/>
              </w:rPr>
            </w:pPr>
            <w:r>
              <w:rPr>
                <w:rFonts w:hint="eastAsia" w:ascii="Times New Roman" w:cs="Times New Roman"/>
                <w:b/>
                <w:bCs/>
                <w:color w:val="auto"/>
                <w:lang w:val="en-US" w:eastAsia="zh-CN"/>
              </w:rPr>
              <w:t>（2）“以新带老”措施</w:t>
            </w:r>
          </w:p>
          <w:p w14:paraId="7BC74DAB">
            <w:pPr>
              <w:pStyle w:val="29"/>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①</w:t>
            </w:r>
            <w:r>
              <w:rPr>
                <w:rFonts w:hint="default" w:ascii="Times New Roman" w:hAnsi="Times New Roman" w:eastAsia="宋体" w:cs="Times New Roman"/>
                <w:color w:val="auto"/>
                <w:lang w:val="en-US" w:eastAsia="zh-CN"/>
              </w:rPr>
              <w:t>生活污水总氮执行苏州高铁苏水水务有限公司（苏州高铁新城污水厂）</w:t>
            </w:r>
            <w:r>
              <w:rPr>
                <w:rFonts w:hint="eastAsia" w:ascii="Times New Roman" w:hAnsi="Times New Roman" w:eastAsia="宋体" w:cs="Times New Roman"/>
                <w:color w:val="auto"/>
                <w:lang w:val="en-US" w:eastAsia="zh-CN"/>
              </w:rPr>
              <w:t>接管标准</w:t>
            </w:r>
            <w:r>
              <w:rPr>
                <w:rFonts w:hint="default" w:ascii="Times New Roman" w:hAnsi="Times New Roman" w:eastAsia="宋体" w:cs="Times New Roman"/>
                <w:color w:val="auto"/>
                <w:lang w:val="en-US" w:eastAsia="zh-CN"/>
              </w:rPr>
              <w:t>，标准为</w:t>
            </w:r>
            <w:r>
              <w:rPr>
                <w:rFonts w:hint="eastAsia" w:ascii="Times New Roman" w:hAnsi="Times New Roman" w:eastAsia="宋体" w:cs="Times New Roman"/>
                <w:color w:val="auto"/>
                <w:lang w:val="en-US" w:eastAsia="zh-CN"/>
              </w:rPr>
              <w:t>45</w:t>
            </w:r>
            <w:r>
              <w:rPr>
                <w:rFonts w:hint="default" w:ascii="Times New Roman" w:hAnsi="Times New Roman" w:eastAsia="宋体" w:cs="Times New Roman"/>
                <w:color w:val="auto"/>
                <w:lang w:val="en-US" w:eastAsia="zh-CN"/>
              </w:rPr>
              <w:t>mg/L，生活污水中总氮产生量为</w:t>
            </w:r>
            <w:r>
              <w:rPr>
                <w:rFonts w:hint="eastAsia" w:ascii="Times New Roman" w:hAnsi="Times New Roman" w:eastAsia="宋体" w:cs="Times New Roman"/>
                <w:color w:val="auto"/>
                <w:lang w:val="en-US" w:eastAsia="zh-CN"/>
              </w:rPr>
              <w:t>0.0</w:t>
            </w:r>
            <w:r>
              <w:rPr>
                <w:rFonts w:hint="eastAsia" w:ascii="Times New Roman" w:cs="Times New Roman"/>
                <w:color w:val="auto"/>
                <w:lang w:val="en-US" w:eastAsia="zh-CN"/>
              </w:rPr>
              <w:t>486</w:t>
            </w:r>
            <w:r>
              <w:rPr>
                <w:rFonts w:hint="default" w:ascii="Times New Roman" w:hAnsi="Times New Roman" w:eastAsia="宋体" w:cs="Times New Roman"/>
                <w:color w:val="auto"/>
                <w:lang w:val="en-US" w:eastAsia="zh-CN"/>
              </w:rPr>
              <w:t>t/a。</w:t>
            </w:r>
          </w:p>
          <w:p w14:paraId="5543AC02">
            <w:pPr>
              <w:pStyle w:val="29"/>
              <w:spacing w:line="360" w:lineRule="auto"/>
              <w:ind w:firstLine="480" w:firstLineChars="200"/>
              <w:jc w:val="both"/>
              <w:rPr>
                <w:rFonts w:hint="eastAsia" w:ascii="Times New Roman" w:hAnsi="Times New Roman" w:eastAsia="宋体" w:cs="Times New Roman"/>
                <w:color w:val="auto"/>
                <w:lang w:val="en-US" w:eastAsia="zh-CN"/>
              </w:rPr>
            </w:pPr>
            <w:r>
              <w:rPr>
                <w:rFonts w:hint="eastAsia" w:ascii="Times New Roman" w:cs="Times New Roman"/>
                <w:color w:val="auto"/>
                <w:lang w:val="en-US" w:eastAsia="zh-CN"/>
              </w:rPr>
              <w:t>②本项目建成后，将</w:t>
            </w:r>
            <w:r>
              <w:rPr>
                <w:rFonts w:hint="eastAsia" w:ascii="Times New Roman" w:hAnsi="Times New Roman" w:eastAsia="宋体" w:cs="Times New Roman"/>
                <w:color w:val="auto"/>
                <w:lang w:val="en-US" w:eastAsia="zh-CN"/>
              </w:rPr>
              <w:t>按照《排污单位自行监测技术指南 总则》（HJ 819-2017）要求定期开展例行监测，完善监测因子。</w:t>
            </w:r>
          </w:p>
          <w:p w14:paraId="76599929">
            <w:pPr>
              <w:pStyle w:val="29"/>
              <w:spacing w:line="360" w:lineRule="auto"/>
              <w:ind w:firstLine="480" w:firstLineChars="200"/>
              <w:jc w:val="both"/>
              <w:rPr>
                <w:rFonts w:hint="eastAsia" w:ascii="Times New Roman" w:eastAsia="宋体" w:cs="Times New Roman"/>
                <w:color w:val="auto"/>
                <w:lang w:val="en-US" w:eastAsia="zh-CN"/>
              </w:rPr>
            </w:pPr>
            <w:r>
              <w:rPr>
                <w:rFonts w:hint="eastAsia" w:ascii="Times New Roman" w:cs="Times New Roman"/>
                <w:color w:val="auto"/>
                <w:lang w:val="en-US" w:eastAsia="zh-CN"/>
              </w:rPr>
              <w:t>③</w:t>
            </w:r>
            <w:r>
              <w:rPr>
                <w:rFonts w:hint="eastAsia" w:ascii="Times New Roman" w:cs="Times New Roman"/>
                <w:color w:val="auto"/>
              </w:rPr>
              <w:t>本项目建成后，建设单位</w:t>
            </w:r>
            <w:r>
              <w:rPr>
                <w:rFonts w:hint="eastAsia" w:ascii="Times New Roman" w:cs="Times New Roman"/>
                <w:color w:val="auto"/>
                <w:lang w:val="en-US" w:eastAsia="zh-CN"/>
              </w:rPr>
              <w:t>将</w:t>
            </w:r>
            <w:r>
              <w:rPr>
                <w:rFonts w:hint="eastAsia" w:ascii="Times New Roman" w:cs="Times New Roman"/>
                <w:color w:val="auto"/>
              </w:rPr>
              <w:t>按照《企事业单位和工业园区突发环境事件应急预案编制导则》（DB32/T3795-2020）中的相关要求并结合本项目情况编制突发环境事件应急预案并备案等</w:t>
            </w:r>
            <w:r>
              <w:rPr>
                <w:rFonts w:hint="eastAsia" w:ascii="Times New Roman" w:cs="Times New Roman"/>
                <w:color w:val="auto"/>
                <w:lang w:eastAsia="zh-CN"/>
              </w:rPr>
              <w:t>。</w:t>
            </w:r>
          </w:p>
          <w:p w14:paraId="7814E8CB">
            <w:pPr>
              <w:pStyle w:val="29"/>
              <w:spacing w:line="360" w:lineRule="auto"/>
              <w:ind w:firstLine="480" w:firstLineChars="200"/>
              <w:jc w:val="both"/>
              <w:rPr>
                <w:rFonts w:hint="default" w:ascii="Times New Roman" w:cs="Times New Roman"/>
                <w:color w:val="auto"/>
                <w:lang w:val="en-US" w:eastAsia="zh-CN"/>
              </w:rPr>
            </w:pPr>
            <w:r>
              <w:rPr>
                <w:rFonts w:hint="eastAsia" w:ascii="Times New Roman" w:cs="Times New Roman"/>
                <w:color w:val="auto"/>
                <w:lang w:val="en-US" w:eastAsia="zh-CN"/>
              </w:rPr>
              <w:t>④</w:t>
            </w:r>
            <w:r>
              <w:rPr>
                <w:rFonts w:hint="eastAsia" w:ascii="Times New Roman" w:cs="Times New Roman"/>
                <w:color w:val="auto"/>
              </w:rPr>
              <w:t>本项目建成后，企业要在新项目运营时，必须依法对危险废物进行收集、贮存、处置，达到危险废物规范化管理要求。</w:t>
            </w:r>
          </w:p>
          <w:p w14:paraId="3501FB3D">
            <w:pPr>
              <w:pStyle w:val="29"/>
              <w:spacing w:line="360" w:lineRule="auto"/>
              <w:ind w:firstLine="482"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10、本项目租赁厂房情况</w:t>
            </w:r>
          </w:p>
          <w:p w14:paraId="73F8EDEF">
            <w:pPr>
              <w:pStyle w:val="29"/>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本次拟建项目租赁苏州</w:t>
            </w:r>
            <w:r>
              <w:rPr>
                <w:rFonts w:hint="eastAsia" w:ascii="Times New Roman" w:cs="Times New Roman"/>
                <w:color w:val="auto"/>
                <w:lang w:val="en-US" w:eastAsia="zh-CN"/>
              </w:rPr>
              <w:t>万松自动化工业</w:t>
            </w:r>
            <w:r>
              <w:rPr>
                <w:rFonts w:hint="default" w:ascii="Times New Roman" w:hAnsi="Times New Roman" w:eastAsia="宋体" w:cs="Times New Roman"/>
                <w:color w:val="auto"/>
              </w:rPr>
              <w:t>有限公司所属位于</w:t>
            </w:r>
            <w:r>
              <w:rPr>
                <w:rFonts w:hint="default" w:ascii="Times New Roman" w:hAnsi="Times New Roman" w:eastAsia="宋体" w:cs="Times New Roman"/>
                <w:color w:val="auto"/>
                <w:sz w:val="24"/>
                <w:szCs w:val="24"/>
                <w:lang w:val="en-US" w:eastAsia="zh-CN"/>
              </w:rPr>
              <w:t>苏州市相城区</w:t>
            </w:r>
            <w:r>
              <w:rPr>
                <w:rFonts w:hint="eastAsia" w:ascii="Times New Roman" w:cs="Times New Roman"/>
                <w:color w:val="auto"/>
                <w:sz w:val="24"/>
                <w:szCs w:val="24"/>
                <w:lang w:val="en-US" w:eastAsia="zh-CN"/>
              </w:rPr>
              <w:t>太平工业园第4幢1层所属</w:t>
            </w:r>
            <w:r>
              <w:rPr>
                <w:rFonts w:hint="default" w:ascii="Times New Roman" w:hAnsi="Times New Roman" w:eastAsia="宋体" w:cs="Times New Roman"/>
                <w:color w:val="auto"/>
              </w:rPr>
              <w:t>进行</w:t>
            </w:r>
            <w:r>
              <w:rPr>
                <w:rFonts w:hint="eastAsia" w:ascii="Times New Roman" w:cs="Times New Roman"/>
                <w:color w:val="auto"/>
                <w:lang w:val="en-US" w:eastAsia="zh-CN"/>
              </w:rPr>
              <w:t>改建</w:t>
            </w:r>
            <w:r>
              <w:rPr>
                <w:rFonts w:hint="default" w:ascii="Times New Roman" w:hAnsi="Times New Roman" w:eastAsia="宋体" w:cs="Times New Roman"/>
                <w:color w:val="auto"/>
              </w:rPr>
              <w:t>生产，周围总体环境良好，无与本项目有关的原有污染情况及主要环境问题</w:t>
            </w:r>
            <w:r>
              <w:rPr>
                <w:rFonts w:hint="eastAsia" w:ascii="Times New Roman" w:cs="Times New Roman"/>
                <w:color w:val="auto"/>
                <w:lang w:eastAsia="zh-CN"/>
              </w:rPr>
              <w:t>，</w:t>
            </w:r>
            <w:r>
              <w:rPr>
                <w:rFonts w:hint="eastAsia" w:ascii="Times New Roman" w:cs="Times New Roman"/>
                <w:color w:val="auto"/>
                <w:lang w:val="en-US" w:eastAsia="zh-CN"/>
              </w:rPr>
              <w:t>本次改造为设备的安装调试，具有可行性</w:t>
            </w:r>
            <w:r>
              <w:rPr>
                <w:rFonts w:hint="default" w:ascii="Times New Roman" w:hAnsi="Times New Roman" w:eastAsia="宋体" w:cs="Times New Roman"/>
                <w:color w:val="auto"/>
              </w:rPr>
              <w:t>。苏州</w:t>
            </w:r>
            <w:r>
              <w:rPr>
                <w:rFonts w:hint="eastAsia" w:ascii="Times New Roman" w:cs="Times New Roman"/>
                <w:color w:val="auto"/>
                <w:lang w:val="en-US" w:eastAsia="zh-CN"/>
              </w:rPr>
              <w:t>万松自动化工业</w:t>
            </w:r>
            <w:r>
              <w:rPr>
                <w:rFonts w:hint="default" w:ascii="Times New Roman" w:hAnsi="Times New Roman" w:eastAsia="宋体" w:cs="Times New Roman"/>
                <w:color w:val="auto"/>
              </w:rPr>
              <w:t>有限公司</w:t>
            </w:r>
            <w:r>
              <w:rPr>
                <w:rFonts w:hint="eastAsia" w:ascii="Times New Roman" w:cs="Times New Roman"/>
                <w:color w:val="auto"/>
                <w:lang w:val="en-US" w:eastAsia="zh-CN"/>
              </w:rPr>
              <w:t>厂区内有4幢建筑，1幢为门卫，2幢、3幢为苏州星昊环保设备有限公司租赁，第4幢1层为本项目所在地，其余楼层为空置厂房。</w:t>
            </w:r>
            <w:r>
              <w:rPr>
                <w:rFonts w:hint="eastAsia" w:ascii="Times New Roman" w:hAnsi="Times New Roman" w:eastAsia="宋体" w:cs="Times New Roman"/>
                <w:color w:val="auto"/>
                <w:highlight w:val="none"/>
              </w:rPr>
              <w:t>本项目依托</w:t>
            </w:r>
            <w:r>
              <w:rPr>
                <w:rFonts w:hint="default" w:ascii="Times New Roman" w:hAnsi="Times New Roman" w:eastAsia="宋体" w:cs="Times New Roman"/>
                <w:color w:val="auto"/>
              </w:rPr>
              <w:t>苏州</w:t>
            </w:r>
            <w:r>
              <w:rPr>
                <w:rFonts w:hint="eastAsia" w:ascii="Times New Roman" w:cs="Times New Roman"/>
                <w:color w:val="auto"/>
                <w:lang w:val="en-US" w:eastAsia="zh-CN"/>
              </w:rPr>
              <w:t>万松自动化工业</w:t>
            </w:r>
            <w:r>
              <w:rPr>
                <w:rFonts w:hint="default" w:ascii="Times New Roman" w:hAnsi="Times New Roman" w:eastAsia="宋体" w:cs="Times New Roman"/>
                <w:color w:val="auto"/>
              </w:rPr>
              <w:t>有限公司</w:t>
            </w:r>
            <w:r>
              <w:rPr>
                <w:rFonts w:hint="eastAsia" w:ascii="Times New Roman" w:hAnsi="Times New Roman" w:eastAsia="宋体" w:cs="Times New Roman"/>
                <w:color w:val="auto"/>
                <w:highlight w:val="none"/>
              </w:rPr>
              <w:t>现有雨水排口，事故状态下关闭</w:t>
            </w:r>
            <w:r>
              <w:rPr>
                <w:rFonts w:hint="eastAsia" w:ascii="Times New Roman" w:cs="Times New Roman"/>
                <w:color w:val="auto"/>
                <w:highlight w:val="none"/>
                <w:lang w:val="en-US" w:eastAsia="zh-CN"/>
              </w:rPr>
              <w:t>用气囊堵住雨水排口</w:t>
            </w:r>
            <w:r>
              <w:rPr>
                <w:rFonts w:hint="eastAsia" w:ascii="Times New Roman" w:hAnsi="Times New Roman" w:eastAsia="宋体" w:cs="Times New Roman"/>
                <w:color w:val="auto"/>
                <w:highlight w:val="none"/>
              </w:rPr>
              <w:t>，可防止受污染的雨水、消防水和泄漏物外排</w:t>
            </w:r>
            <w:r>
              <w:rPr>
                <w:rFonts w:hint="eastAsia" w:ascii="Times New Roman" w:cs="Times New Roman"/>
                <w:color w:val="auto"/>
                <w:highlight w:val="none"/>
                <w:lang w:eastAsia="zh-CN"/>
              </w:rPr>
              <w:t>。</w:t>
            </w:r>
          </w:p>
          <w:p w14:paraId="34B788D0">
            <w:pPr>
              <w:pStyle w:val="29"/>
              <w:spacing w:line="360" w:lineRule="auto"/>
              <w:ind w:firstLine="0" w:firstLineChars="0"/>
              <w:jc w:val="both"/>
              <w:rPr>
                <w:rFonts w:hint="default" w:ascii="Times New Roman" w:hAnsi="Times New Roman"/>
                <w:color w:val="auto"/>
                <w:lang w:val="en-US" w:eastAsia="zh-CN"/>
              </w:rPr>
            </w:pPr>
          </w:p>
          <w:p w14:paraId="3ED48F3A">
            <w:pPr>
              <w:pStyle w:val="29"/>
              <w:spacing w:line="360" w:lineRule="auto"/>
              <w:ind w:firstLine="0" w:firstLineChars="0"/>
              <w:jc w:val="both"/>
              <w:rPr>
                <w:rFonts w:hint="default" w:ascii="Times New Roman" w:hAnsi="Times New Roman"/>
                <w:color w:val="auto"/>
                <w:lang w:val="en-US" w:eastAsia="zh-CN"/>
              </w:rPr>
            </w:pPr>
          </w:p>
          <w:p w14:paraId="636B1432">
            <w:pPr>
              <w:pStyle w:val="29"/>
              <w:spacing w:line="360" w:lineRule="auto"/>
              <w:ind w:firstLine="0" w:firstLineChars="0"/>
              <w:jc w:val="both"/>
              <w:rPr>
                <w:rFonts w:hint="default" w:ascii="Times New Roman" w:hAnsi="Times New Roman"/>
                <w:color w:val="auto"/>
                <w:lang w:val="en-US" w:eastAsia="zh-CN"/>
              </w:rPr>
            </w:pPr>
          </w:p>
          <w:p w14:paraId="560BCABC">
            <w:pPr>
              <w:pStyle w:val="29"/>
              <w:spacing w:line="360" w:lineRule="auto"/>
              <w:ind w:firstLine="0" w:firstLineChars="0"/>
              <w:jc w:val="both"/>
              <w:rPr>
                <w:rFonts w:hint="default" w:ascii="Times New Roman" w:hAnsi="Times New Roman"/>
                <w:color w:val="auto"/>
                <w:lang w:val="en-US" w:eastAsia="zh-CN"/>
              </w:rPr>
            </w:pPr>
          </w:p>
          <w:p w14:paraId="220F8B58">
            <w:pPr>
              <w:pStyle w:val="29"/>
              <w:spacing w:line="360" w:lineRule="auto"/>
              <w:ind w:firstLine="0" w:firstLineChars="0"/>
              <w:jc w:val="both"/>
              <w:rPr>
                <w:rFonts w:hint="default" w:ascii="Times New Roman" w:hAnsi="Times New Roman"/>
                <w:color w:val="auto"/>
                <w:lang w:val="en-US" w:eastAsia="zh-CN"/>
              </w:rPr>
            </w:pPr>
          </w:p>
          <w:p w14:paraId="326996DA">
            <w:pPr>
              <w:pStyle w:val="29"/>
              <w:spacing w:line="360" w:lineRule="auto"/>
              <w:ind w:firstLine="0" w:firstLineChars="0"/>
              <w:jc w:val="both"/>
              <w:rPr>
                <w:rFonts w:hint="default" w:ascii="Times New Roman" w:hAnsi="Times New Roman"/>
                <w:color w:val="auto"/>
                <w:lang w:val="en-US" w:eastAsia="zh-CN"/>
              </w:rPr>
            </w:pPr>
          </w:p>
          <w:p w14:paraId="1838A748">
            <w:pPr>
              <w:pStyle w:val="29"/>
              <w:spacing w:line="360" w:lineRule="auto"/>
              <w:ind w:firstLine="0" w:firstLineChars="0"/>
              <w:jc w:val="both"/>
              <w:rPr>
                <w:rFonts w:hint="default" w:ascii="Times New Roman" w:hAnsi="Times New Roman"/>
                <w:color w:val="auto"/>
                <w:lang w:val="en-US" w:eastAsia="zh-CN"/>
              </w:rPr>
            </w:pPr>
          </w:p>
          <w:p w14:paraId="627C674A">
            <w:pPr>
              <w:pStyle w:val="29"/>
              <w:spacing w:line="360" w:lineRule="auto"/>
              <w:ind w:firstLine="0" w:firstLineChars="0"/>
              <w:jc w:val="both"/>
              <w:rPr>
                <w:rFonts w:hint="default" w:ascii="Times New Roman" w:hAnsi="Times New Roman"/>
                <w:color w:val="auto"/>
                <w:lang w:val="en-US" w:eastAsia="zh-CN"/>
              </w:rPr>
            </w:pPr>
          </w:p>
          <w:p w14:paraId="023D2FFF">
            <w:pPr>
              <w:pStyle w:val="29"/>
              <w:spacing w:line="360" w:lineRule="auto"/>
              <w:ind w:firstLine="0" w:firstLineChars="0"/>
              <w:jc w:val="both"/>
              <w:rPr>
                <w:rFonts w:hint="default" w:ascii="Times New Roman" w:hAnsi="Times New Roman"/>
                <w:color w:val="auto"/>
                <w:lang w:val="en-US" w:eastAsia="zh-CN"/>
              </w:rPr>
            </w:pPr>
          </w:p>
          <w:p w14:paraId="4FC06D8E">
            <w:pPr>
              <w:pStyle w:val="29"/>
              <w:spacing w:line="360" w:lineRule="auto"/>
              <w:ind w:firstLine="0" w:firstLineChars="0"/>
              <w:jc w:val="both"/>
              <w:rPr>
                <w:rFonts w:hint="default" w:ascii="Times New Roman" w:hAnsi="Times New Roman"/>
                <w:color w:val="auto"/>
                <w:lang w:val="en-US" w:eastAsia="zh-CN"/>
              </w:rPr>
            </w:pPr>
          </w:p>
          <w:p w14:paraId="51CEDC7D">
            <w:pPr>
              <w:pStyle w:val="29"/>
              <w:spacing w:line="360" w:lineRule="auto"/>
              <w:ind w:firstLine="0" w:firstLineChars="0"/>
              <w:jc w:val="both"/>
              <w:rPr>
                <w:rFonts w:hint="default" w:ascii="Times New Roman" w:hAnsi="Times New Roman"/>
                <w:color w:val="auto"/>
                <w:lang w:val="en-US" w:eastAsia="zh-CN"/>
              </w:rPr>
            </w:pPr>
          </w:p>
          <w:p w14:paraId="078DE8DC">
            <w:pPr>
              <w:pStyle w:val="29"/>
              <w:spacing w:line="360" w:lineRule="auto"/>
              <w:ind w:firstLine="0" w:firstLineChars="0"/>
              <w:jc w:val="both"/>
              <w:rPr>
                <w:rFonts w:hint="default" w:ascii="Times New Roman" w:hAnsi="Times New Roman"/>
                <w:color w:val="auto"/>
                <w:lang w:val="en-US" w:eastAsia="zh-CN"/>
              </w:rPr>
            </w:pPr>
          </w:p>
          <w:p w14:paraId="7F14499B">
            <w:pPr>
              <w:pStyle w:val="29"/>
              <w:spacing w:line="360" w:lineRule="auto"/>
              <w:ind w:firstLine="0" w:firstLineChars="0"/>
              <w:jc w:val="both"/>
              <w:rPr>
                <w:rFonts w:hint="default" w:ascii="Times New Roman" w:hAnsi="Times New Roman"/>
                <w:color w:val="auto"/>
                <w:lang w:val="en-US" w:eastAsia="zh-CN"/>
              </w:rPr>
            </w:pPr>
          </w:p>
          <w:p w14:paraId="231FC8B7">
            <w:pPr>
              <w:pStyle w:val="29"/>
              <w:spacing w:line="360" w:lineRule="auto"/>
              <w:ind w:firstLine="0" w:firstLineChars="0"/>
              <w:jc w:val="both"/>
              <w:rPr>
                <w:rFonts w:hint="default" w:ascii="Times New Roman" w:hAnsi="Times New Roman"/>
                <w:color w:val="auto"/>
                <w:lang w:val="en-US" w:eastAsia="zh-CN"/>
              </w:rPr>
            </w:pPr>
          </w:p>
          <w:p w14:paraId="571D46A1">
            <w:pPr>
              <w:pStyle w:val="29"/>
              <w:spacing w:line="360" w:lineRule="auto"/>
              <w:ind w:firstLine="0" w:firstLineChars="0"/>
              <w:jc w:val="both"/>
              <w:rPr>
                <w:rFonts w:hint="default" w:ascii="Times New Roman" w:hAnsi="Times New Roman"/>
                <w:color w:val="auto"/>
                <w:lang w:val="en-US" w:eastAsia="zh-CN"/>
              </w:rPr>
            </w:pPr>
          </w:p>
          <w:p w14:paraId="07F4EB98">
            <w:pPr>
              <w:pStyle w:val="29"/>
              <w:spacing w:line="360" w:lineRule="auto"/>
              <w:ind w:firstLine="0" w:firstLineChars="0"/>
              <w:jc w:val="both"/>
              <w:rPr>
                <w:rFonts w:hint="default" w:ascii="Times New Roman" w:hAnsi="Times New Roman"/>
                <w:color w:val="auto"/>
                <w:lang w:val="en-US" w:eastAsia="zh-CN"/>
              </w:rPr>
            </w:pPr>
          </w:p>
          <w:p w14:paraId="6120BBD6">
            <w:pPr>
              <w:pStyle w:val="29"/>
              <w:spacing w:line="360" w:lineRule="auto"/>
              <w:ind w:firstLine="0" w:firstLineChars="0"/>
              <w:jc w:val="both"/>
              <w:rPr>
                <w:rFonts w:hint="default" w:ascii="Times New Roman" w:hAnsi="Times New Roman"/>
                <w:color w:val="auto"/>
                <w:lang w:val="en-US" w:eastAsia="zh-CN"/>
              </w:rPr>
            </w:pPr>
          </w:p>
        </w:tc>
      </w:tr>
    </w:tbl>
    <w:p w14:paraId="6F19E64E">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snapToGrid w:val="0"/>
          <w:color w:val="auto"/>
          <w:sz w:val="36"/>
          <w:szCs w:val="36"/>
          <w:highlight w:val="none"/>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1C4C4A22">
      <w:pPr>
        <w:pStyle w:val="18"/>
        <w:spacing w:before="0" w:beforeAutospacing="0" w:after="0" w:afterAutospacing="0"/>
        <w:jc w:val="center"/>
        <w:outlineLvl w:val="0"/>
        <w:rPr>
          <w:rFonts w:ascii="Times New Roman" w:hAnsi="Times New Roman"/>
          <w:b/>
          <w:snapToGrid w:val="0"/>
          <w:color w:val="auto"/>
          <w:sz w:val="30"/>
          <w:szCs w:val="30"/>
          <w:highlight w:val="none"/>
        </w:rPr>
      </w:pPr>
      <w:bookmarkStart w:id="12" w:name="_Toc2040"/>
      <w:bookmarkStart w:id="13" w:name="_Toc6055"/>
      <w:r>
        <w:rPr>
          <w:rFonts w:ascii="Times New Roman" w:hAnsi="Times New Roman"/>
          <w:b/>
          <w:snapToGrid w:val="0"/>
          <w:color w:val="auto"/>
          <w:sz w:val="30"/>
          <w:szCs w:val="30"/>
          <w:highlight w:val="none"/>
        </w:rPr>
        <w:t>三、区域环境质量现状、环境保护目标及评价标准</w:t>
      </w:r>
      <w:bookmarkEnd w:id="12"/>
      <w:bookmarkEnd w:id="13"/>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9433"/>
      </w:tblGrid>
      <w:tr w14:paraId="5FE52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 w:type="pct"/>
            <w:vAlign w:val="center"/>
          </w:tcPr>
          <w:p w14:paraId="35C4AEA7">
            <w:pPr>
              <w:adjustRightInd w:val="0"/>
              <w:snapToGrid w:val="0"/>
              <w:jc w:val="center"/>
              <w:rPr>
                <w:color w:val="auto"/>
                <w:kern w:val="0"/>
                <w:szCs w:val="21"/>
                <w:highlight w:val="none"/>
              </w:rPr>
            </w:pPr>
            <w:r>
              <w:rPr>
                <w:color w:val="auto"/>
                <w:kern w:val="0"/>
                <w:szCs w:val="21"/>
                <w:highlight w:val="none"/>
              </w:rPr>
              <w:t>区域</w:t>
            </w:r>
          </w:p>
          <w:p w14:paraId="556D0E44">
            <w:pPr>
              <w:adjustRightInd w:val="0"/>
              <w:snapToGrid w:val="0"/>
              <w:jc w:val="center"/>
              <w:rPr>
                <w:color w:val="auto"/>
                <w:kern w:val="0"/>
                <w:szCs w:val="21"/>
                <w:highlight w:val="none"/>
              </w:rPr>
            </w:pPr>
            <w:r>
              <w:rPr>
                <w:color w:val="auto"/>
                <w:kern w:val="0"/>
                <w:szCs w:val="21"/>
                <w:highlight w:val="none"/>
              </w:rPr>
              <w:t>环境</w:t>
            </w:r>
          </w:p>
          <w:p w14:paraId="53C91920">
            <w:pPr>
              <w:adjustRightInd w:val="0"/>
              <w:snapToGrid w:val="0"/>
              <w:jc w:val="center"/>
              <w:rPr>
                <w:color w:val="auto"/>
                <w:kern w:val="0"/>
                <w:szCs w:val="21"/>
                <w:highlight w:val="none"/>
              </w:rPr>
            </w:pPr>
            <w:r>
              <w:rPr>
                <w:color w:val="auto"/>
                <w:kern w:val="0"/>
                <w:szCs w:val="21"/>
                <w:highlight w:val="none"/>
              </w:rPr>
              <w:t>质量</w:t>
            </w:r>
          </w:p>
          <w:p w14:paraId="64D5B2F8">
            <w:pPr>
              <w:adjustRightInd w:val="0"/>
              <w:snapToGrid w:val="0"/>
              <w:jc w:val="center"/>
              <w:rPr>
                <w:color w:val="auto"/>
                <w:kern w:val="0"/>
                <w:szCs w:val="21"/>
                <w:highlight w:val="none"/>
              </w:rPr>
            </w:pPr>
            <w:r>
              <w:rPr>
                <w:color w:val="auto"/>
                <w:kern w:val="0"/>
                <w:szCs w:val="21"/>
                <w:highlight w:val="none"/>
              </w:rPr>
              <w:t>现状</w:t>
            </w:r>
          </w:p>
        </w:tc>
        <w:tc>
          <w:tcPr>
            <w:tcW w:w="4736" w:type="pct"/>
          </w:tcPr>
          <w:p w14:paraId="753FC5D5">
            <w:pPr>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1、</w:t>
            </w:r>
            <w:r>
              <w:rPr>
                <w:rFonts w:hint="default" w:ascii="Times New Roman" w:hAnsi="Times New Roman" w:cs="Times New Roman"/>
                <w:b/>
                <w:color w:val="auto"/>
                <w:sz w:val="24"/>
                <w:szCs w:val="24"/>
                <w:highlight w:val="none"/>
              </w:rPr>
              <w:t>大气环境现状</w:t>
            </w:r>
          </w:p>
          <w:p w14:paraId="11AB694F">
            <w:pPr>
              <w:keepNext w:val="0"/>
              <w:keepLines w:val="0"/>
              <w:pageBreakBefore w:val="0"/>
              <w:suppressLineNumbers w:val="0"/>
              <w:kinsoku/>
              <w:wordWrap/>
              <w:overflowPunct/>
              <w:topLinePunct w:val="0"/>
              <w:autoSpaceDE/>
              <w:autoSpaceDN/>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区域环境空气质量达标情况</w:t>
            </w:r>
          </w:p>
          <w:p w14:paraId="780ABE9F">
            <w:pPr>
              <w:keepNext w:val="0"/>
              <w:keepLines w:val="0"/>
              <w:pageBreakBefore w:val="0"/>
              <w:suppressLineNumbers w:val="0"/>
              <w:kinsoku/>
              <w:wordWrap/>
              <w:overflowPunct/>
              <w:topLinePunct w:val="0"/>
              <w:autoSpaceDE/>
              <w:autoSpaceDN/>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eastAsia"/>
                <w:color w:val="auto"/>
                <w:sz w:val="24"/>
                <w:szCs w:val="24"/>
                <w:highlight w:val="none"/>
              </w:rPr>
              <w:t>江苏省苏州市相城区元春路353号</w:t>
            </w:r>
            <w:r>
              <w:rPr>
                <w:rFonts w:hint="default" w:ascii="Times New Roman" w:hAnsi="Times New Roman" w:eastAsia="宋体" w:cs="Times New Roman"/>
                <w:color w:val="auto"/>
                <w:sz w:val="24"/>
                <w:szCs w:val="24"/>
                <w:highlight w:val="none"/>
              </w:rPr>
              <w:t>。根据环境空气质量功能区划，项目所在地为二类功能区，环境空气质量执行《环境空气质量标准》</w:t>
            </w:r>
            <w:r>
              <w:rPr>
                <w:rFonts w:hint="default"/>
                <w:color w:val="auto"/>
                <w:sz w:val="24"/>
                <w:highlight w:val="none"/>
              </w:rPr>
              <w:t>中二级标准及其修改单（2018年）</w:t>
            </w:r>
            <w:r>
              <w:rPr>
                <w:rFonts w:hint="default" w:ascii="Times New Roman" w:hAnsi="Times New Roman" w:eastAsia="宋体" w:cs="Times New Roman"/>
                <w:color w:val="auto"/>
                <w:sz w:val="24"/>
                <w:szCs w:val="24"/>
                <w:highlight w:val="none"/>
              </w:rPr>
              <w:t>。</w:t>
            </w:r>
          </w:p>
          <w:p w14:paraId="3BE97EF1">
            <w:pPr>
              <w:keepNext w:val="0"/>
              <w:keepLines w:val="0"/>
              <w:pageBreakBefore w:val="0"/>
              <w:widowControl/>
              <w:suppressLineNumbers w:val="0"/>
              <w:kinsoku/>
              <w:wordWrap/>
              <w:overflowPunct/>
              <w:topLinePunct w:val="0"/>
              <w:autoSpaceDE/>
              <w:autoSpaceDN/>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根据《建设项目环境影响报告表编制技术指南》（污染影响类）</w:t>
            </w:r>
            <w:r>
              <w:rPr>
                <w:rFonts w:hint="eastAsia" w:ascii="宋体" w:hAnsi="宋体" w:eastAsia="宋体" w:cs="宋体"/>
                <w:color w:val="auto"/>
                <w:sz w:val="24"/>
                <w:szCs w:val="24"/>
                <w:highlight w:val="none"/>
              </w:rPr>
              <w:t>文件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常</w:t>
            </w:r>
            <w:r>
              <w:rPr>
                <w:rFonts w:hint="default" w:ascii="Times New Roman" w:hAnsi="Times New Roman" w:eastAsia="宋体" w:cs="Times New Roman"/>
                <w:color w:val="auto"/>
                <w:sz w:val="24"/>
                <w:szCs w:val="24"/>
                <w:highlight w:val="none"/>
              </w:rPr>
              <w:t>规污染物引用与建设项目距离近的有效数据，包括近3年的规划环境影响评价的监测数据，国家、地方环境空气质量监测网数据或生态环境主管部门公开发布的质</w:t>
            </w:r>
            <w:r>
              <w:rPr>
                <w:rFonts w:hint="eastAsia" w:ascii="宋体" w:hAnsi="宋体" w:eastAsia="宋体" w:cs="宋体"/>
                <w:color w:val="auto"/>
                <w:sz w:val="24"/>
                <w:szCs w:val="24"/>
                <w:highlight w:val="none"/>
              </w:rPr>
              <w:t>量数据等</w:t>
            </w:r>
            <w:r>
              <w:rPr>
                <w:rFonts w:hint="eastAsia" w:ascii="宋体" w:hAnsi="宋体" w:cs="宋体"/>
                <w:color w:val="auto"/>
                <w:sz w:val="24"/>
                <w:szCs w:val="24"/>
                <w:highlight w:val="none"/>
                <w:lang w:eastAsia="zh-CN"/>
              </w:rPr>
              <w:t>”，</w:t>
            </w:r>
            <w:r>
              <w:rPr>
                <w:rFonts w:hint="default" w:ascii="Times New Roman" w:hAnsi="Times New Roman" w:eastAsia="宋体" w:cs="Times New Roman"/>
                <w:color w:val="auto"/>
                <w:sz w:val="24"/>
                <w:szCs w:val="24"/>
              </w:rPr>
              <w:t>本项目采用《</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》，引用数据有</w:t>
            </w:r>
            <w:r>
              <w:rPr>
                <w:rFonts w:hint="eastAsia" w:cs="Times New Roman"/>
                <w:color w:val="auto"/>
                <w:sz w:val="24"/>
                <w:szCs w:val="24"/>
                <w:lang w:val="en-US" w:eastAsia="zh-CN"/>
              </w:rPr>
              <w:t>效可</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highlight w:val="none"/>
              </w:rPr>
              <w:t>。</w:t>
            </w:r>
          </w:p>
          <w:p w14:paraId="03AF03DB">
            <w:pPr>
              <w:keepNext w:val="0"/>
              <w:keepLines w:val="0"/>
              <w:pageBreakBefore w:val="0"/>
              <w:widowControl/>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b/>
                <w:color w:val="auto"/>
                <w:kern w:val="0"/>
                <w:sz w:val="24"/>
                <w:szCs w:val="28"/>
              </w:rPr>
            </w:pPr>
            <w:r>
              <w:rPr>
                <w:rFonts w:hint="default" w:ascii="Times New Roman" w:hAnsi="Times New Roman" w:eastAsia="宋体" w:cs="Times New Roman"/>
                <w:color w:val="auto"/>
                <w:kern w:val="0"/>
                <w:sz w:val="24"/>
                <w:szCs w:val="28"/>
              </w:rPr>
              <w:t>根据《</w:t>
            </w:r>
            <w:r>
              <w:rPr>
                <w:rFonts w:hint="eastAsia" w:cs="Times New Roman"/>
                <w:color w:val="auto"/>
                <w:kern w:val="0"/>
                <w:sz w:val="24"/>
                <w:szCs w:val="28"/>
                <w:lang w:eastAsia="zh-CN"/>
              </w:rPr>
              <w:t>环境影响评价技术导则 大气环境</w:t>
            </w:r>
            <w:r>
              <w:rPr>
                <w:rFonts w:hint="default" w:ascii="Times New Roman" w:hAnsi="Times New Roman" w:eastAsia="宋体" w:cs="Times New Roman"/>
                <w:color w:val="auto"/>
                <w:kern w:val="0"/>
                <w:sz w:val="24"/>
                <w:szCs w:val="28"/>
              </w:rPr>
              <w:t>》（HJ 2.2-2018）要求，本项目所在区域环境空气达标情况评价指标为SO</w:t>
            </w:r>
            <w:r>
              <w:rPr>
                <w:rFonts w:hint="default" w:ascii="Times New Roman" w:hAnsi="Times New Roman" w:eastAsia="宋体" w:cs="Times New Roman"/>
                <w:color w:val="auto"/>
                <w:kern w:val="0"/>
                <w:sz w:val="24"/>
                <w:szCs w:val="28"/>
                <w:vertAlign w:val="subscript"/>
              </w:rPr>
              <w:t>2</w:t>
            </w:r>
            <w:r>
              <w:rPr>
                <w:rFonts w:hint="default" w:ascii="Times New Roman" w:hAnsi="Times New Roman" w:eastAsia="宋体" w:cs="Times New Roman"/>
                <w:color w:val="auto"/>
                <w:kern w:val="0"/>
                <w:sz w:val="24"/>
                <w:szCs w:val="28"/>
              </w:rPr>
              <w:t>、NO</w:t>
            </w:r>
            <w:r>
              <w:rPr>
                <w:rFonts w:hint="eastAsia" w:cs="Times New Roman"/>
                <w:color w:val="auto"/>
                <w:kern w:val="0"/>
                <w:sz w:val="24"/>
                <w:szCs w:val="28"/>
                <w:vertAlign w:val="subscript"/>
                <w:lang w:val="en-US" w:eastAsia="zh-CN"/>
              </w:rPr>
              <w:t>2</w:t>
            </w:r>
            <w:r>
              <w:rPr>
                <w:rFonts w:hint="default" w:ascii="Times New Roman" w:hAnsi="Times New Roman" w:eastAsia="宋体" w:cs="Times New Roman"/>
                <w:color w:val="auto"/>
                <w:kern w:val="0"/>
                <w:sz w:val="24"/>
                <w:szCs w:val="28"/>
              </w:rPr>
              <w:t>、PM</w:t>
            </w:r>
            <w:r>
              <w:rPr>
                <w:rFonts w:hint="default" w:ascii="Times New Roman" w:hAnsi="Times New Roman" w:eastAsia="宋体" w:cs="Times New Roman"/>
                <w:color w:val="auto"/>
                <w:kern w:val="0"/>
                <w:sz w:val="24"/>
                <w:szCs w:val="28"/>
                <w:vertAlign w:val="subscript"/>
              </w:rPr>
              <w:t>10</w:t>
            </w:r>
            <w:r>
              <w:rPr>
                <w:rFonts w:hint="default" w:ascii="Times New Roman" w:hAnsi="Times New Roman" w:eastAsia="宋体" w:cs="Times New Roman"/>
                <w:color w:val="auto"/>
                <w:kern w:val="0"/>
                <w:sz w:val="24"/>
                <w:szCs w:val="28"/>
              </w:rPr>
              <w:t>、PM</w:t>
            </w:r>
            <w:r>
              <w:rPr>
                <w:rFonts w:hint="default" w:ascii="Times New Roman" w:hAnsi="Times New Roman" w:eastAsia="宋体" w:cs="Times New Roman"/>
                <w:color w:val="auto"/>
                <w:kern w:val="0"/>
                <w:sz w:val="24"/>
                <w:szCs w:val="28"/>
                <w:vertAlign w:val="subscript"/>
              </w:rPr>
              <w:t>2.5</w:t>
            </w:r>
            <w:r>
              <w:rPr>
                <w:rFonts w:hint="default" w:ascii="Times New Roman" w:hAnsi="Times New Roman" w:eastAsia="宋体" w:cs="Times New Roman"/>
                <w:color w:val="auto"/>
                <w:kern w:val="0"/>
                <w:sz w:val="24"/>
                <w:szCs w:val="28"/>
              </w:rPr>
              <w:t>、CO和O</w:t>
            </w:r>
            <w:r>
              <w:rPr>
                <w:rFonts w:hint="default" w:ascii="Times New Roman" w:hAnsi="Times New Roman" w:eastAsia="宋体" w:cs="Times New Roman"/>
                <w:color w:val="auto"/>
                <w:kern w:val="0"/>
                <w:sz w:val="24"/>
                <w:szCs w:val="28"/>
                <w:vertAlign w:val="subscript"/>
              </w:rPr>
              <w:t>3</w:t>
            </w:r>
            <w:r>
              <w:rPr>
                <w:rFonts w:hint="default" w:ascii="Times New Roman" w:hAnsi="Times New Roman" w:eastAsia="宋体" w:cs="Times New Roman"/>
                <w:color w:val="auto"/>
                <w:kern w:val="0"/>
                <w:sz w:val="24"/>
                <w:szCs w:val="28"/>
              </w:rPr>
              <w:t>，六项基本污染物全部达标即为城市环境空气质量达标。基本污染物环境质量现状数据优先采用国家或地方生态环境主管部门发布的评价基准年环境质量公告或环境质量报告中的数据或结论。本次空气环境质量评价引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kern w:val="0"/>
                <w:sz w:val="24"/>
                <w:szCs w:val="28"/>
              </w:rPr>
              <w:t>环境空气质量结论。</w:t>
            </w:r>
          </w:p>
          <w:p w14:paraId="6BDC3179">
            <w:pPr>
              <w:spacing w:line="360" w:lineRule="auto"/>
              <w:ind w:firstLine="472" w:firstLineChars="200"/>
              <w:rPr>
                <w:rFonts w:hint="eastAsia" w:cs="Times New Roman"/>
                <w:color w:val="auto"/>
                <w:spacing w:val="-2"/>
                <w:kern w:val="0"/>
                <w:sz w:val="24"/>
                <w:szCs w:val="24"/>
                <w:lang w:eastAsia="zh-CN"/>
              </w:rPr>
            </w:pPr>
            <w:r>
              <w:rPr>
                <w:rFonts w:hint="default" w:ascii="Times New Roman" w:hAnsi="Times New Roman" w:eastAsia="宋体" w:cs="Times New Roman"/>
                <w:color w:val="auto"/>
                <w:spacing w:val="-2"/>
                <w:kern w:val="0"/>
                <w:sz w:val="24"/>
                <w:szCs w:val="24"/>
              </w:rPr>
              <w:t>2024年，苏州市全市环境空气质量平均优良天数比率为85.8%，同比上升4.4个百分点。各地优良天数比率介于81.8%~86.1%</w:t>
            </w:r>
            <w:r>
              <w:rPr>
                <w:rFonts w:hint="eastAsia" w:cs="Times New Roman"/>
                <w:color w:val="auto"/>
                <w:spacing w:val="-2"/>
                <w:kern w:val="0"/>
                <w:sz w:val="24"/>
                <w:szCs w:val="24"/>
                <w:lang w:eastAsia="zh-CN"/>
              </w:rPr>
              <w:t>；</w:t>
            </w:r>
            <w:r>
              <w:rPr>
                <w:rFonts w:hint="default" w:ascii="Times New Roman" w:hAnsi="Times New Roman" w:eastAsia="宋体" w:cs="Times New Roman"/>
                <w:color w:val="auto"/>
                <w:spacing w:val="-2"/>
                <w:kern w:val="0"/>
                <w:sz w:val="24"/>
                <w:szCs w:val="24"/>
              </w:rPr>
              <w:t>市区环境空气质量优良天数比率为84.2%，同比上升3.4个百分点</w:t>
            </w:r>
            <w:r>
              <w:rPr>
                <w:rFonts w:hint="eastAsia" w:cs="Times New Roman"/>
                <w:color w:val="auto"/>
                <w:spacing w:val="-2"/>
                <w:kern w:val="0"/>
                <w:sz w:val="24"/>
                <w:szCs w:val="24"/>
                <w:lang w:eastAsia="zh-CN"/>
              </w:rPr>
              <w:t>。</w:t>
            </w:r>
          </w:p>
          <w:p w14:paraId="62E32C9F">
            <w:pPr>
              <w:spacing w:line="360" w:lineRule="auto"/>
              <w:ind w:firstLine="472"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pacing w:val="-2"/>
                <w:kern w:val="0"/>
                <w:sz w:val="24"/>
                <w:szCs w:val="24"/>
                <w:lang w:eastAsia="zh-CN"/>
              </w:rPr>
              <w:t>2024年，苏州市区环境空气中细颗粒物（PM</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vertAlign w:val="subscript"/>
                <w:lang w:eastAsia="zh-CN"/>
              </w:rPr>
              <w:t>5</w:t>
            </w:r>
            <w:r>
              <w:rPr>
                <w:rFonts w:hint="eastAsia" w:cs="Times New Roman"/>
                <w:color w:val="auto"/>
                <w:spacing w:val="-2"/>
                <w:kern w:val="0"/>
                <w:sz w:val="24"/>
                <w:szCs w:val="24"/>
                <w:lang w:eastAsia="zh-CN"/>
              </w:rPr>
              <w:t>）年均浓度为29微克</w:t>
            </w:r>
            <w:r>
              <w:rPr>
                <w:rFonts w:hint="eastAsia" w:cs="Times New Roman"/>
                <w:color w:val="auto"/>
                <w:spacing w:val="-2"/>
                <w:kern w:val="0"/>
                <w:sz w:val="24"/>
                <w:szCs w:val="24"/>
                <w:lang w:val="en-US" w:eastAsia="zh-CN"/>
              </w:rPr>
              <w:t>/</w:t>
            </w:r>
            <w:r>
              <w:rPr>
                <w:rFonts w:hint="eastAsia" w:cs="Times New Roman"/>
                <w:color w:val="auto"/>
                <w:spacing w:val="-2"/>
                <w:kern w:val="0"/>
                <w:sz w:val="24"/>
                <w:szCs w:val="24"/>
                <w:lang w:eastAsia="zh-CN"/>
              </w:rPr>
              <w:t>立方米，同比下降3.3%；可吸入颗粒物（</w:t>
            </w:r>
            <w:r>
              <w:rPr>
                <w:rFonts w:hint="eastAsia" w:cs="Times New Roman"/>
                <w:color w:val="auto"/>
                <w:spacing w:val="-2"/>
                <w:kern w:val="0"/>
                <w:sz w:val="24"/>
                <w:szCs w:val="24"/>
                <w:lang w:val="en-US" w:eastAsia="zh-CN"/>
              </w:rPr>
              <w:t>PM</w:t>
            </w:r>
            <w:r>
              <w:rPr>
                <w:rFonts w:hint="eastAsia" w:cs="Times New Roman"/>
                <w:color w:val="auto"/>
                <w:spacing w:val="-2"/>
                <w:kern w:val="0"/>
                <w:sz w:val="24"/>
                <w:szCs w:val="24"/>
                <w:vertAlign w:val="subscript"/>
                <w:lang w:val="en-US" w:eastAsia="zh-CN"/>
              </w:rPr>
              <w:t>10</w:t>
            </w:r>
            <w:r>
              <w:rPr>
                <w:rFonts w:hint="eastAsia" w:cs="Times New Roman"/>
                <w:color w:val="auto"/>
                <w:spacing w:val="-2"/>
                <w:kern w:val="0"/>
                <w:sz w:val="24"/>
                <w:szCs w:val="24"/>
                <w:lang w:eastAsia="zh-CN"/>
              </w:rPr>
              <w:t>）年均浓度为47微克/立方米，同比下降9.6%；二氧化硫（</w:t>
            </w:r>
            <w:r>
              <w:rPr>
                <w:rFonts w:hint="eastAsia" w:cs="Times New Roman"/>
                <w:color w:val="auto"/>
                <w:spacing w:val="-2"/>
                <w:kern w:val="0"/>
                <w:sz w:val="24"/>
                <w:szCs w:val="24"/>
                <w:lang w:val="en-US" w:eastAsia="zh-CN"/>
              </w:rPr>
              <w:t>SO</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lang w:eastAsia="zh-CN"/>
              </w:rPr>
              <w:t>）年均浓度为8微克/立方米，同比持平；二氧化</w:t>
            </w:r>
            <w:r>
              <w:rPr>
                <w:rFonts w:hint="eastAsia" w:cs="Times New Roman"/>
                <w:color w:val="auto"/>
                <w:spacing w:val="-2"/>
                <w:kern w:val="0"/>
                <w:sz w:val="24"/>
                <w:szCs w:val="24"/>
                <w:lang w:val="en-US" w:eastAsia="zh-CN"/>
              </w:rPr>
              <w:t>氮（NO</w:t>
            </w:r>
            <w:r>
              <w:rPr>
                <w:rFonts w:hint="eastAsia" w:cs="Times New Roman"/>
                <w:color w:val="auto"/>
                <w:spacing w:val="-2"/>
                <w:kern w:val="0"/>
                <w:sz w:val="24"/>
                <w:szCs w:val="24"/>
                <w:vertAlign w:val="subscript"/>
                <w:lang w:val="en-US" w:eastAsia="zh-CN"/>
              </w:rPr>
              <w:t>2</w:t>
            </w:r>
            <w:r>
              <w:rPr>
                <w:rFonts w:hint="eastAsia" w:cs="Times New Roman"/>
                <w:color w:val="auto"/>
                <w:spacing w:val="-2"/>
                <w:kern w:val="0"/>
                <w:sz w:val="24"/>
                <w:szCs w:val="24"/>
                <w:lang w:val="en-US" w:eastAsia="zh-CN"/>
              </w:rPr>
              <w:t>）年均浓度为26微克/立方米，同比下降7.1%；一氧化碳（CO）浓度为1.0毫克/立方米，同比持平；臭氧（O</w:t>
            </w:r>
            <w:r>
              <w:rPr>
                <w:rFonts w:hint="eastAsia" w:cs="Times New Roman"/>
                <w:color w:val="auto"/>
                <w:spacing w:val="-2"/>
                <w:kern w:val="0"/>
                <w:sz w:val="24"/>
                <w:szCs w:val="24"/>
                <w:vertAlign w:val="subscript"/>
                <w:lang w:val="en-US" w:eastAsia="zh-CN"/>
              </w:rPr>
              <w:t>3</w:t>
            </w:r>
            <w:r>
              <w:rPr>
                <w:rFonts w:hint="eastAsia" w:cs="Times New Roman"/>
                <w:color w:val="auto"/>
                <w:spacing w:val="-2"/>
                <w:kern w:val="0"/>
                <w:sz w:val="24"/>
                <w:szCs w:val="24"/>
                <w:lang w:val="en-US" w:eastAsia="zh-CN"/>
              </w:rPr>
              <w:t>）浓度为161微克/立方米，同比下降6.4%</w:t>
            </w:r>
            <w:r>
              <w:rPr>
                <w:rFonts w:hint="default" w:ascii="Times New Roman" w:hAnsi="Times New Roman" w:eastAsia="宋体" w:cs="Times New Roman"/>
                <w:color w:val="auto"/>
                <w:kern w:val="0"/>
                <w:sz w:val="24"/>
                <w:szCs w:val="28"/>
                <w:highlight w:val="none"/>
              </w:rPr>
              <w:t>。</w:t>
            </w:r>
            <w:r>
              <w:rPr>
                <w:rFonts w:hint="eastAsia" w:cs="Times New Roman"/>
                <w:color w:val="auto"/>
                <w:kern w:val="0"/>
                <w:sz w:val="24"/>
                <w:szCs w:val="28"/>
                <w:highlight w:val="none"/>
                <w:lang w:val="en-US" w:eastAsia="zh-CN"/>
              </w:rPr>
              <w:t>因此，判定苏州市为环境空气质量不达标区。</w:t>
            </w:r>
          </w:p>
          <w:p w14:paraId="3C273D6B">
            <w:pPr>
              <w:spacing w:line="360" w:lineRule="auto"/>
              <w:ind w:firstLine="47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kern w:val="0"/>
                <w:sz w:val="24"/>
                <w:szCs w:val="24"/>
                <w:highlight w:val="none"/>
              </w:rPr>
              <w:t>为进一步改善环境质量，根据《苏州市空气质量持续改善行动计划实施方案》（苏府2024</w:t>
            </w:r>
            <w:r>
              <w:rPr>
                <w:rFonts w:hint="default" w:ascii="Times New Roman" w:hAnsi="Times New Roman" w:eastAsia="宋体" w:cs="Times New Roman"/>
                <w:color w:val="auto"/>
                <w:spacing w:val="-2"/>
                <w:kern w:val="0"/>
                <w:sz w:val="24"/>
                <w:szCs w:val="24"/>
                <w:highlight w:val="none"/>
                <w:lang w:eastAsia="zh-CN"/>
              </w:rPr>
              <w:t>〔</w:t>
            </w:r>
            <w:r>
              <w:rPr>
                <w:rFonts w:hint="default" w:ascii="Times New Roman" w:hAnsi="Times New Roman" w:eastAsia="宋体" w:cs="Times New Roman"/>
                <w:color w:val="auto"/>
                <w:spacing w:val="-2"/>
                <w:kern w:val="0"/>
                <w:sz w:val="24"/>
                <w:szCs w:val="24"/>
                <w:highlight w:val="none"/>
              </w:rPr>
              <w:t>50</w:t>
            </w:r>
            <w:r>
              <w:rPr>
                <w:rFonts w:hint="default" w:ascii="Times New Roman" w:hAnsi="Times New Roman" w:eastAsia="宋体" w:cs="Times New Roman"/>
                <w:color w:val="auto"/>
                <w:spacing w:val="-2"/>
                <w:kern w:val="0"/>
                <w:sz w:val="24"/>
                <w:szCs w:val="24"/>
                <w:highlight w:val="none"/>
                <w:lang w:eastAsia="zh-CN"/>
              </w:rPr>
              <w:t>〕</w:t>
            </w:r>
            <w:r>
              <w:rPr>
                <w:rFonts w:hint="default" w:ascii="Times New Roman" w:hAnsi="Times New Roman" w:eastAsia="宋体" w:cs="Times New Roman"/>
                <w:color w:val="auto"/>
                <w:spacing w:val="-2"/>
                <w:kern w:val="0"/>
                <w:sz w:val="24"/>
                <w:szCs w:val="24"/>
                <w:highlight w:val="none"/>
              </w:rPr>
              <w:t>号）苏州市人民政府，2024年8月12日，苏州市</w:t>
            </w:r>
            <w:r>
              <w:rPr>
                <w:rFonts w:hint="eastAsia" w:ascii="宋体" w:hAnsi="宋体" w:eastAsia="宋体" w:cs="宋体"/>
                <w:color w:val="auto"/>
                <w:spacing w:val="-2"/>
                <w:kern w:val="0"/>
                <w:sz w:val="24"/>
                <w:szCs w:val="24"/>
                <w:highlight w:val="none"/>
              </w:rPr>
              <w:t>以</w:t>
            </w:r>
            <w:r>
              <w:rPr>
                <w:rFonts w:hint="eastAsia" w:ascii="宋体" w:hAnsi="宋体" w:cs="宋体"/>
                <w:color w:val="auto"/>
                <w:spacing w:val="-2"/>
                <w:kern w:val="0"/>
                <w:sz w:val="24"/>
                <w:szCs w:val="24"/>
                <w:highlight w:val="none"/>
                <w:lang w:eastAsia="zh-CN"/>
              </w:rPr>
              <w:t>“</w:t>
            </w:r>
            <w:r>
              <w:rPr>
                <w:rFonts w:hint="default" w:ascii="Times New Roman" w:hAnsi="Times New Roman" w:eastAsia="宋体" w:cs="Times New Roman"/>
                <w:color w:val="auto"/>
                <w:spacing w:val="-2"/>
                <w:kern w:val="0"/>
                <w:sz w:val="24"/>
                <w:szCs w:val="24"/>
                <w:highlight w:val="none"/>
              </w:rPr>
              <w:t>到2025年，全市PM</w:t>
            </w:r>
            <w:r>
              <w:rPr>
                <w:rFonts w:hint="default" w:ascii="Times New Roman" w:hAnsi="Times New Roman" w:eastAsia="宋体" w:cs="Times New Roman"/>
                <w:color w:val="auto"/>
                <w:spacing w:val="-2"/>
                <w:kern w:val="0"/>
                <w:sz w:val="24"/>
                <w:szCs w:val="24"/>
                <w:highlight w:val="none"/>
                <w:vertAlign w:val="subscript"/>
              </w:rPr>
              <w:t>2.5</w:t>
            </w:r>
            <w:r>
              <w:rPr>
                <w:rFonts w:hint="default" w:ascii="Times New Roman" w:hAnsi="Times New Roman" w:eastAsia="宋体" w:cs="Times New Roman"/>
                <w:color w:val="auto"/>
                <w:spacing w:val="-2"/>
                <w:kern w:val="0"/>
                <w:sz w:val="24"/>
                <w:szCs w:val="24"/>
                <w:highlight w:val="none"/>
              </w:rPr>
              <w:t>浓度稳定在30μg/m</w:t>
            </w:r>
            <w:r>
              <w:rPr>
                <w:rFonts w:hint="default" w:ascii="Times New Roman" w:hAnsi="Times New Roman" w:eastAsia="宋体" w:cs="Times New Roman"/>
                <w:color w:val="auto"/>
                <w:spacing w:val="-2"/>
                <w:kern w:val="0"/>
                <w:sz w:val="24"/>
                <w:szCs w:val="24"/>
                <w:highlight w:val="none"/>
                <w:vertAlign w:val="superscript"/>
              </w:rPr>
              <w:t>3</w:t>
            </w:r>
            <w:r>
              <w:rPr>
                <w:rFonts w:hint="default" w:ascii="Times New Roman" w:hAnsi="Times New Roman" w:eastAsia="宋体" w:cs="Times New Roman"/>
                <w:color w:val="auto"/>
                <w:spacing w:val="-2"/>
                <w:kern w:val="0"/>
                <w:sz w:val="24"/>
                <w:szCs w:val="24"/>
                <w:highlight w:val="none"/>
              </w:rPr>
              <w:t>以下，重度及以上污染天数控制在1天以内；氮氧化物和VOCs排放总量比2020年分别下降10%以上，完成省下达的减排目标</w:t>
            </w:r>
            <w:r>
              <w:rPr>
                <w:rFonts w:hint="eastAsia" w:ascii="宋体" w:hAnsi="宋体" w:eastAsia="宋体" w:cs="宋体"/>
                <w:color w:val="auto"/>
                <w:spacing w:val="-2"/>
                <w:kern w:val="0"/>
                <w:sz w:val="24"/>
                <w:szCs w:val="24"/>
                <w:highlight w:val="none"/>
              </w:rPr>
              <w:t>。</w:t>
            </w:r>
            <w:r>
              <w:rPr>
                <w:rFonts w:hint="eastAsia" w:ascii="宋体" w:hAnsi="宋体" w:cs="宋体"/>
                <w:color w:val="auto"/>
                <w:spacing w:val="-2"/>
                <w:kern w:val="0"/>
                <w:sz w:val="24"/>
                <w:szCs w:val="24"/>
                <w:highlight w:val="none"/>
                <w:lang w:eastAsia="zh-CN"/>
              </w:rPr>
              <w:t>”</w:t>
            </w:r>
            <w:r>
              <w:rPr>
                <w:rFonts w:hint="default" w:ascii="Times New Roman" w:hAnsi="Times New Roman" w:eastAsia="宋体" w:cs="Times New Roman"/>
                <w:color w:val="auto"/>
                <w:spacing w:val="-2"/>
                <w:kern w:val="0"/>
                <w:sz w:val="24"/>
                <w:szCs w:val="24"/>
                <w:highlight w:val="none"/>
              </w:rPr>
              <w:t>为主要目标。通过采取如下措施：1）优化产业结构，促进产业绿色低碳升级（坚决遏制高耗能、高排放、低水平项目盲目上马；加快退出重点行业落后产能；推进园区、产业集群绿色低碳化改造与综合整治；优化含VOCs原辅材料和产品结构）；2）优化能源结构，加快能源清洁低碳高效发展（大力发展新能源和清洁能源；严格合理控制煤炭消费总量；持续降低重点领域能耗强度；推进燃煤锅炉关停整合和工业炉窑清洁能源替代）；3）优化交通结构，大力发展绿色运输体系（持续优化调整货物运输结构；加快提升机动车清洁化水平；强化非道路移动源综合治理）；4）强化面源污染治理，提升精细化管理水平（加强扬尘精细化管控；加强秸秆综合利用和</w:t>
            </w:r>
            <w:r>
              <w:rPr>
                <w:rFonts w:hint="eastAsia" w:cs="Times New Roman"/>
                <w:color w:val="auto"/>
                <w:spacing w:val="-2"/>
                <w:kern w:val="0"/>
                <w:sz w:val="24"/>
                <w:szCs w:val="24"/>
                <w:highlight w:val="none"/>
                <w:lang w:val="en-US" w:eastAsia="zh-CN"/>
              </w:rPr>
              <w:t>禁</w:t>
            </w:r>
            <w:r>
              <w:rPr>
                <w:rFonts w:hint="default" w:ascii="Times New Roman" w:hAnsi="Times New Roman" w:eastAsia="宋体" w:cs="Times New Roman"/>
                <w:color w:val="auto"/>
                <w:spacing w:val="-2"/>
                <w:kern w:val="0"/>
                <w:sz w:val="24"/>
                <w:szCs w:val="24"/>
                <w:highlight w:val="none"/>
              </w:rPr>
              <w:t>烧；加强烟花爆竹禁放管理）；5）强化多污染物减排，切实降低排放强度（强化VOCs全流程、全环节综合治理；推进重点行业超低排放与提标改造；开展餐饮油烟、恶臭异味专项治理；稳步推进大气氨污染防控）；6）加强机制建设，完善大气环境管理体系（实施区域联防联控和城市空气质量达标管理；完善重污染天气应对机制）；7）加强能力建设，严格执法监督（加强监测和执法监管能力建设；加强决策科技支撑）；8）健全标准规范体系，完善环境经济政策（强化标准引领；积极发挥财政金融引导作用）；9）落实各方责任，开展全民行动（加强组织领导；严格监督考核；实施全民行动）等。采取以上措施后，大气环境质量状况可以得到持续改善</w:t>
            </w:r>
            <w:r>
              <w:rPr>
                <w:rFonts w:hint="default" w:ascii="Times New Roman" w:hAnsi="Times New Roman" w:eastAsia="宋体" w:cs="Times New Roman"/>
                <w:color w:val="auto"/>
                <w:sz w:val="24"/>
                <w:szCs w:val="24"/>
                <w:highlight w:val="none"/>
              </w:rPr>
              <w:t>。</w:t>
            </w:r>
          </w:p>
          <w:p w14:paraId="16A9B110">
            <w:pPr>
              <w:spacing w:line="360" w:lineRule="auto"/>
              <w:ind w:firstLine="480" w:firstLineChars="200"/>
              <w:rPr>
                <w:color w:val="auto"/>
                <w:sz w:val="24"/>
                <w:szCs w:val="24"/>
                <w:highlight w:val="none"/>
              </w:rPr>
            </w:pPr>
            <w:r>
              <w:rPr>
                <w:color w:val="auto"/>
                <w:sz w:val="24"/>
                <w:szCs w:val="24"/>
                <w:highlight w:val="none"/>
              </w:rPr>
              <w:t>评价区域范围内的环境空气质量标准执行</w:t>
            </w:r>
            <w:r>
              <w:rPr>
                <w:rFonts w:hint="eastAsia"/>
                <w:color w:val="auto"/>
                <w:sz w:val="24"/>
                <w:highlight w:val="none"/>
              </w:rPr>
              <w:t>《环境空气质量标准》（GB3095-2026）中过渡阶段浓度限制二级标准</w:t>
            </w:r>
            <w:r>
              <w:rPr>
                <w:rFonts w:hint="eastAsia"/>
                <w:color w:val="auto"/>
                <w:sz w:val="24"/>
                <w:szCs w:val="24"/>
                <w:highlight w:val="none"/>
              </w:rPr>
              <w:t>，</w:t>
            </w:r>
            <w:r>
              <w:rPr>
                <w:color w:val="auto"/>
                <w:sz w:val="24"/>
                <w:szCs w:val="24"/>
                <w:highlight w:val="none"/>
              </w:rPr>
              <w:t>具体标准值见</w:t>
            </w:r>
            <w:r>
              <w:rPr>
                <w:rFonts w:hint="eastAsia"/>
                <w:color w:val="auto"/>
                <w:sz w:val="24"/>
                <w:szCs w:val="24"/>
                <w:highlight w:val="none"/>
                <w:lang w:val="en-US" w:eastAsia="zh-CN"/>
              </w:rPr>
              <w:t>下表</w:t>
            </w:r>
            <w:r>
              <w:rPr>
                <w:color w:val="auto"/>
                <w:sz w:val="24"/>
                <w:szCs w:val="24"/>
                <w:highlight w:val="none"/>
              </w:rPr>
              <w:t>。</w:t>
            </w:r>
          </w:p>
          <w:p w14:paraId="06FA658B">
            <w:pPr>
              <w:numPr>
                <w:ilvl w:val="0"/>
                <w:numId w:val="4"/>
              </w:numPr>
              <w:adjustRightInd w:val="0"/>
              <w:snapToGrid w:val="0"/>
              <w:jc w:val="center"/>
              <w:rPr>
                <w:b/>
                <w:color w:val="auto"/>
                <w:sz w:val="24"/>
                <w:szCs w:val="24"/>
                <w:highlight w:val="none"/>
              </w:rPr>
            </w:pPr>
            <w:r>
              <w:rPr>
                <w:b/>
                <w:color w:val="auto"/>
                <w:sz w:val="24"/>
                <w:szCs w:val="24"/>
                <w:highlight w:val="none"/>
              </w:rPr>
              <w:t>环境空气质量标准</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309"/>
              <w:gridCol w:w="2068"/>
              <w:gridCol w:w="1667"/>
              <w:gridCol w:w="3322"/>
            </w:tblGrid>
            <w:tr w14:paraId="1B05A3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47" w:type="pct"/>
                  <w:tcBorders>
                    <w:tl2br w:val="nil"/>
                    <w:tr2bl w:val="nil"/>
                  </w:tcBorders>
                  <w:vAlign w:val="center"/>
                </w:tcPr>
                <w:p w14:paraId="4F1637D9">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12" w:type="pct"/>
                  <w:tcBorders>
                    <w:tl2br w:val="nil"/>
                    <w:tr2bl w:val="nil"/>
                  </w:tcBorders>
                  <w:vAlign w:val="center"/>
                </w:tcPr>
                <w:p w14:paraId="22695C12">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污染物项目</w:t>
                  </w:r>
                </w:p>
              </w:tc>
              <w:tc>
                <w:tcPr>
                  <w:tcW w:w="1125" w:type="pct"/>
                  <w:tcBorders>
                    <w:tl2br w:val="nil"/>
                    <w:tr2bl w:val="nil"/>
                  </w:tcBorders>
                  <w:vAlign w:val="center"/>
                </w:tcPr>
                <w:p w14:paraId="3EFDE905">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平均时间</w:t>
                  </w:r>
                </w:p>
              </w:tc>
              <w:tc>
                <w:tcPr>
                  <w:tcW w:w="907" w:type="pct"/>
                  <w:tcBorders>
                    <w:tl2br w:val="nil"/>
                    <w:tr2bl w:val="nil"/>
                  </w:tcBorders>
                  <w:vAlign w:val="center"/>
                </w:tcPr>
                <w:p w14:paraId="2DE12D6C">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浓度限值</w:t>
                  </w:r>
                </w:p>
              </w:tc>
              <w:tc>
                <w:tcPr>
                  <w:tcW w:w="1808" w:type="pct"/>
                  <w:tcBorders>
                    <w:tl2br w:val="nil"/>
                    <w:tr2bl w:val="nil"/>
                  </w:tcBorders>
                  <w:vAlign w:val="center"/>
                </w:tcPr>
                <w:p w14:paraId="3298627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执行标准</w:t>
                  </w:r>
                </w:p>
              </w:tc>
            </w:tr>
            <w:tr w14:paraId="1285567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426EA63F">
                  <w:pPr>
                    <w:pStyle w:val="31"/>
                    <w:rPr>
                      <w:rFonts w:hint="default" w:ascii="Times New Roman" w:hAnsi="Times New Roman" w:eastAsia="仿宋" w:cs="Times New Roman"/>
                      <w:color w:val="auto"/>
                      <w:sz w:val="21"/>
                      <w:szCs w:val="21"/>
                      <w:highlight w:val="none"/>
                      <w:lang w:val="zh-CN"/>
                    </w:rPr>
                  </w:pPr>
                  <w:bookmarkStart w:id="14" w:name="_Toc499621062"/>
                  <w:bookmarkStart w:id="15" w:name="_Toc488237316"/>
                  <w:r>
                    <w:rPr>
                      <w:rFonts w:hint="default" w:ascii="Times New Roman" w:hAnsi="Times New Roman" w:eastAsia="仿宋" w:cs="Times New Roman"/>
                      <w:color w:val="auto"/>
                      <w:sz w:val="21"/>
                      <w:szCs w:val="21"/>
                      <w:highlight w:val="none"/>
                      <w:lang w:val="zh-CN"/>
                    </w:rPr>
                    <w:t>1</w:t>
                  </w:r>
                </w:p>
              </w:tc>
              <w:tc>
                <w:tcPr>
                  <w:tcW w:w="712" w:type="pct"/>
                  <w:vMerge w:val="restart"/>
                  <w:tcBorders>
                    <w:tl2br w:val="nil"/>
                    <w:tr2bl w:val="nil"/>
                  </w:tcBorders>
                  <w:vAlign w:val="center"/>
                </w:tcPr>
                <w:p w14:paraId="29EC8EFD">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SO</w:t>
                  </w:r>
                  <w:r>
                    <w:rPr>
                      <w:rFonts w:hint="default" w:ascii="Times New Roman" w:hAnsi="Times New Roman" w:eastAsia="仿宋" w:cs="Times New Roman"/>
                      <w:color w:val="auto"/>
                      <w:sz w:val="21"/>
                      <w:szCs w:val="21"/>
                      <w:highlight w:val="none"/>
                      <w:vertAlign w:val="subscript"/>
                      <w:lang w:val="zh-CN"/>
                    </w:rPr>
                    <w:t>2</w:t>
                  </w:r>
                </w:p>
              </w:tc>
              <w:tc>
                <w:tcPr>
                  <w:tcW w:w="1125" w:type="pct"/>
                  <w:tcBorders>
                    <w:tl2br w:val="nil"/>
                    <w:tr2bl w:val="nil"/>
                  </w:tcBorders>
                  <w:vAlign w:val="center"/>
                </w:tcPr>
                <w:p w14:paraId="73363A0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907" w:type="pct"/>
                  <w:tcBorders>
                    <w:tl2br w:val="nil"/>
                    <w:tr2bl w:val="nil"/>
                  </w:tcBorders>
                  <w:vAlign w:val="center"/>
                </w:tcPr>
                <w:p w14:paraId="025E0321">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60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restart"/>
                  <w:tcBorders>
                    <w:tl2br w:val="nil"/>
                    <w:tr2bl w:val="nil"/>
                  </w:tcBorders>
                  <w:vAlign w:val="center"/>
                </w:tcPr>
                <w:p w14:paraId="6F5C7951">
                  <w:pPr>
                    <w:pStyle w:val="31"/>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en-US" w:eastAsia="zh-CN"/>
                    </w:rPr>
                    <w:t>《环境空气质量标准》（GB3095-2026）中过渡阶段浓度限制二级标准</w:t>
                  </w:r>
                </w:p>
              </w:tc>
            </w:tr>
            <w:tr w14:paraId="461B768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20527855">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16DF26B4">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09DC885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6C67D10A">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150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65CB5F7F">
                  <w:pPr>
                    <w:pStyle w:val="31"/>
                    <w:rPr>
                      <w:rFonts w:hint="default" w:ascii="Times New Roman" w:hAnsi="Times New Roman" w:eastAsia="仿宋" w:cs="Times New Roman"/>
                      <w:color w:val="auto"/>
                      <w:sz w:val="21"/>
                      <w:szCs w:val="21"/>
                      <w:highlight w:val="none"/>
                      <w:lang w:val="zh-CN"/>
                    </w:rPr>
                  </w:pPr>
                </w:p>
              </w:tc>
            </w:tr>
            <w:tr w14:paraId="7564A8C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269E3E3B">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1FC63195">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1168D3E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7D973124">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500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2C45308F">
                  <w:pPr>
                    <w:pStyle w:val="31"/>
                    <w:rPr>
                      <w:rFonts w:hint="default" w:ascii="Times New Roman" w:hAnsi="Times New Roman" w:eastAsia="仿宋" w:cs="Times New Roman"/>
                      <w:color w:val="auto"/>
                      <w:sz w:val="21"/>
                      <w:szCs w:val="21"/>
                      <w:highlight w:val="none"/>
                      <w:lang w:val="zh-CN"/>
                    </w:rPr>
                  </w:pPr>
                </w:p>
              </w:tc>
            </w:tr>
            <w:tr w14:paraId="50FAAA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31ACABEC">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w:t>
                  </w:r>
                </w:p>
              </w:tc>
              <w:tc>
                <w:tcPr>
                  <w:tcW w:w="712" w:type="pct"/>
                  <w:vMerge w:val="restart"/>
                  <w:tcBorders>
                    <w:tl2br w:val="nil"/>
                    <w:tr2bl w:val="nil"/>
                  </w:tcBorders>
                  <w:vAlign w:val="center"/>
                </w:tcPr>
                <w:p w14:paraId="484C427E">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NO</w:t>
                  </w:r>
                  <w:r>
                    <w:rPr>
                      <w:rFonts w:hint="default" w:ascii="Times New Roman" w:hAnsi="Times New Roman" w:eastAsia="仿宋" w:cs="Times New Roman"/>
                      <w:color w:val="auto"/>
                      <w:sz w:val="21"/>
                      <w:szCs w:val="21"/>
                      <w:highlight w:val="none"/>
                      <w:vertAlign w:val="subscript"/>
                      <w:lang w:val="zh-CN"/>
                    </w:rPr>
                    <w:t>2</w:t>
                  </w:r>
                </w:p>
              </w:tc>
              <w:tc>
                <w:tcPr>
                  <w:tcW w:w="1125" w:type="pct"/>
                  <w:tcBorders>
                    <w:tl2br w:val="nil"/>
                    <w:tr2bl w:val="nil"/>
                  </w:tcBorders>
                  <w:vAlign w:val="center"/>
                </w:tcPr>
                <w:p w14:paraId="309FB9BC">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907" w:type="pct"/>
                  <w:tcBorders>
                    <w:tl2br w:val="nil"/>
                    <w:tr2bl w:val="nil"/>
                  </w:tcBorders>
                  <w:vAlign w:val="center"/>
                </w:tcPr>
                <w:p w14:paraId="7AA53297">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2E92CE22">
                  <w:pPr>
                    <w:pStyle w:val="31"/>
                    <w:rPr>
                      <w:rFonts w:hint="default" w:ascii="Times New Roman" w:hAnsi="Times New Roman" w:eastAsia="仿宋" w:cs="Times New Roman"/>
                      <w:color w:val="auto"/>
                      <w:sz w:val="21"/>
                      <w:szCs w:val="21"/>
                      <w:highlight w:val="none"/>
                      <w:lang w:val="zh-CN"/>
                    </w:rPr>
                  </w:pPr>
                </w:p>
              </w:tc>
            </w:tr>
            <w:tr w14:paraId="6CA7287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3B78042B">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0644C336">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17019D1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33F3AD0E">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80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2642D30C">
                  <w:pPr>
                    <w:pStyle w:val="31"/>
                    <w:rPr>
                      <w:rFonts w:hint="default" w:ascii="Times New Roman" w:hAnsi="Times New Roman" w:eastAsia="仿宋" w:cs="Times New Roman"/>
                      <w:color w:val="auto"/>
                      <w:sz w:val="21"/>
                      <w:szCs w:val="21"/>
                      <w:highlight w:val="none"/>
                      <w:lang w:val="zh-CN"/>
                    </w:rPr>
                  </w:pPr>
                </w:p>
              </w:tc>
            </w:tr>
            <w:tr w14:paraId="60AA368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63C8EE91">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2E75227E">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5EB9123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7CFD9F86">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28DDD111">
                  <w:pPr>
                    <w:pStyle w:val="31"/>
                    <w:rPr>
                      <w:rFonts w:hint="default" w:ascii="Times New Roman" w:hAnsi="Times New Roman" w:eastAsia="仿宋" w:cs="Times New Roman"/>
                      <w:color w:val="auto"/>
                      <w:sz w:val="21"/>
                      <w:szCs w:val="21"/>
                      <w:highlight w:val="none"/>
                      <w:lang w:val="zh-CN"/>
                    </w:rPr>
                  </w:pPr>
                </w:p>
              </w:tc>
            </w:tr>
            <w:tr w14:paraId="217B84C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7CFB4344">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3</w:t>
                  </w:r>
                </w:p>
              </w:tc>
              <w:tc>
                <w:tcPr>
                  <w:tcW w:w="712" w:type="pct"/>
                  <w:vMerge w:val="restart"/>
                  <w:tcBorders>
                    <w:tl2br w:val="nil"/>
                    <w:tr2bl w:val="nil"/>
                  </w:tcBorders>
                  <w:vAlign w:val="center"/>
                </w:tcPr>
                <w:p w14:paraId="4E508090">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O</w:t>
                  </w:r>
                  <w:r>
                    <w:rPr>
                      <w:rFonts w:hint="default" w:ascii="Times New Roman" w:hAnsi="Times New Roman" w:eastAsia="仿宋" w:cs="Times New Roman"/>
                      <w:color w:val="auto"/>
                      <w:sz w:val="21"/>
                      <w:szCs w:val="21"/>
                      <w:highlight w:val="none"/>
                      <w:vertAlign w:val="subscript"/>
                    </w:rPr>
                    <w:t>3</w:t>
                  </w:r>
                </w:p>
              </w:tc>
              <w:tc>
                <w:tcPr>
                  <w:tcW w:w="1125" w:type="pct"/>
                  <w:tcBorders>
                    <w:tl2br w:val="nil"/>
                    <w:tr2bl w:val="nil"/>
                  </w:tcBorders>
                  <w:vAlign w:val="center"/>
                </w:tcPr>
                <w:p w14:paraId="0160EDB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日最大8小时平均</w:t>
                  </w:r>
                </w:p>
              </w:tc>
              <w:tc>
                <w:tcPr>
                  <w:tcW w:w="907" w:type="pct"/>
                  <w:tcBorders>
                    <w:tl2br w:val="nil"/>
                    <w:tr2bl w:val="nil"/>
                  </w:tcBorders>
                  <w:vAlign w:val="center"/>
                </w:tcPr>
                <w:p w14:paraId="7E8BE09D">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160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734D927">
                  <w:pPr>
                    <w:pStyle w:val="31"/>
                    <w:rPr>
                      <w:rFonts w:hint="default" w:ascii="Times New Roman" w:hAnsi="Times New Roman" w:eastAsia="仿宋" w:cs="Times New Roman"/>
                      <w:color w:val="auto"/>
                      <w:sz w:val="21"/>
                      <w:szCs w:val="21"/>
                      <w:highlight w:val="none"/>
                      <w:lang w:val="zh-CN"/>
                    </w:rPr>
                  </w:pPr>
                </w:p>
              </w:tc>
            </w:tr>
            <w:tr w14:paraId="1E3332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1AA0ED48">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2ABB9EBA">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7AC5088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73E61842">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D3D92BD">
                  <w:pPr>
                    <w:pStyle w:val="31"/>
                    <w:rPr>
                      <w:rFonts w:hint="default" w:ascii="Times New Roman" w:hAnsi="Times New Roman" w:eastAsia="仿宋" w:cs="Times New Roman"/>
                      <w:color w:val="auto"/>
                      <w:sz w:val="21"/>
                      <w:szCs w:val="21"/>
                      <w:highlight w:val="none"/>
                      <w:lang w:val="zh-CN"/>
                    </w:rPr>
                  </w:pPr>
                </w:p>
              </w:tc>
            </w:tr>
            <w:tr w14:paraId="5E1AA6C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2D2EE4A4">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w:t>
                  </w:r>
                </w:p>
              </w:tc>
              <w:tc>
                <w:tcPr>
                  <w:tcW w:w="712" w:type="pct"/>
                  <w:vMerge w:val="restart"/>
                  <w:tcBorders>
                    <w:tl2br w:val="nil"/>
                    <w:tr2bl w:val="nil"/>
                  </w:tcBorders>
                  <w:vAlign w:val="center"/>
                </w:tcPr>
                <w:p w14:paraId="7B0628D6">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CO</w:t>
                  </w:r>
                </w:p>
              </w:tc>
              <w:tc>
                <w:tcPr>
                  <w:tcW w:w="1125" w:type="pct"/>
                  <w:tcBorders>
                    <w:tl2br w:val="nil"/>
                    <w:tr2bl w:val="nil"/>
                  </w:tcBorders>
                  <w:vAlign w:val="center"/>
                </w:tcPr>
                <w:p w14:paraId="3659A1F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27A73CE6">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4</w:t>
                  </w:r>
                  <w:r>
                    <w:rPr>
                      <w:rFonts w:hint="default" w:ascii="Times New Roman" w:hAnsi="Times New Roman" w:eastAsia="仿宋" w:cs="Times New Roman"/>
                      <w:color w:val="auto"/>
                      <w:sz w:val="21"/>
                      <w:szCs w:val="21"/>
                      <w:highlight w:val="none"/>
                    </w:rPr>
                    <w:t>mg/m</w:t>
                  </w:r>
                  <w:r>
                    <w:rPr>
                      <w:rFonts w:hint="default" w:ascii="Times New Roman" w:hAnsi="Times New Roman" w:eastAsia="仿宋" w:cs="Times New Roman"/>
                      <w:color w:val="auto"/>
                      <w:sz w:val="21"/>
                      <w:szCs w:val="21"/>
                      <w:highlight w:val="none"/>
                      <w:vertAlign w:val="superscript"/>
                    </w:rPr>
                    <w:t>3</w:t>
                  </w:r>
                </w:p>
              </w:tc>
              <w:tc>
                <w:tcPr>
                  <w:tcW w:w="1808" w:type="pct"/>
                  <w:vMerge w:val="continue"/>
                  <w:tcBorders>
                    <w:tl2br w:val="nil"/>
                    <w:tr2bl w:val="nil"/>
                  </w:tcBorders>
                  <w:vAlign w:val="center"/>
                </w:tcPr>
                <w:p w14:paraId="55D817EC">
                  <w:pPr>
                    <w:pStyle w:val="31"/>
                    <w:rPr>
                      <w:rFonts w:hint="default" w:ascii="Times New Roman" w:hAnsi="Times New Roman" w:eastAsia="仿宋" w:cs="Times New Roman"/>
                      <w:color w:val="auto"/>
                      <w:sz w:val="21"/>
                      <w:szCs w:val="21"/>
                      <w:highlight w:val="none"/>
                      <w:lang w:val="zh-CN"/>
                    </w:rPr>
                  </w:pPr>
                </w:p>
              </w:tc>
            </w:tr>
            <w:tr w14:paraId="0DC4724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3F7E0028">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5FD8D7C5">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1CDA873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06824358">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10</w:t>
                  </w:r>
                  <w:r>
                    <w:rPr>
                      <w:rFonts w:hint="default" w:ascii="Times New Roman" w:hAnsi="Times New Roman" w:eastAsia="仿宋" w:cs="Times New Roman"/>
                      <w:color w:val="auto"/>
                      <w:sz w:val="21"/>
                      <w:szCs w:val="21"/>
                      <w:highlight w:val="none"/>
                    </w:rPr>
                    <w:t>mg/m</w:t>
                  </w:r>
                  <w:r>
                    <w:rPr>
                      <w:rFonts w:hint="default" w:ascii="Times New Roman" w:hAnsi="Times New Roman" w:eastAsia="仿宋" w:cs="Times New Roman"/>
                      <w:color w:val="auto"/>
                      <w:sz w:val="21"/>
                      <w:szCs w:val="21"/>
                      <w:highlight w:val="none"/>
                      <w:vertAlign w:val="superscript"/>
                    </w:rPr>
                    <w:t>3</w:t>
                  </w:r>
                </w:p>
              </w:tc>
              <w:tc>
                <w:tcPr>
                  <w:tcW w:w="1808" w:type="pct"/>
                  <w:vMerge w:val="continue"/>
                  <w:tcBorders>
                    <w:tl2br w:val="nil"/>
                    <w:tr2bl w:val="nil"/>
                  </w:tcBorders>
                  <w:vAlign w:val="center"/>
                </w:tcPr>
                <w:p w14:paraId="4E5E2BD5">
                  <w:pPr>
                    <w:pStyle w:val="31"/>
                    <w:rPr>
                      <w:rFonts w:hint="default" w:ascii="Times New Roman" w:hAnsi="Times New Roman" w:eastAsia="仿宋" w:cs="Times New Roman"/>
                      <w:color w:val="auto"/>
                      <w:sz w:val="21"/>
                      <w:szCs w:val="21"/>
                      <w:highlight w:val="none"/>
                      <w:lang w:val="zh-CN"/>
                    </w:rPr>
                  </w:pPr>
                </w:p>
              </w:tc>
            </w:tr>
            <w:tr w14:paraId="29C36E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4461F1B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5</w:t>
                  </w:r>
                </w:p>
              </w:tc>
              <w:tc>
                <w:tcPr>
                  <w:tcW w:w="712" w:type="pct"/>
                  <w:vMerge w:val="restart"/>
                  <w:tcBorders>
                    <w:tl2br w:val="nil"/>
                    <w:tr2bl w:val="nil"/>
                  </w:tcBorders>
                  <w:vAlign w:val="center"/>
                </w:tcPr>
                <w:p w14:paraId="7C825849">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10</w:t>
                  </w:r>
                </w:p>
              </w:tc>
              <w:tc>
                <w:tcPr>
                  <w:tcW w:w="1125" w:type="pct"/>
                  <w:tcBorders>
                    <w:tl2br w:val="nil"/>
                    <w:tr2bl w:val="nil"/>
                  </w:tcBorders>
                  <w:vAlign w:val="center"/>
                </w:tcPr>
                <w:p w14:paraId="2F81D6D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907" w:type="pct"/>
                  <w:tcBorders>
                    <w:tl2br w:val="nil"/>
                    <w:tr2bl w:val="nil"/>
                  </w:tcBorders>
                  <w:vAlign w:val="center"/>
                </w:tcPr>
                <w:p w14:paraId="231AD1CA">
                  <w:pPr>
                    <w:pStyle w:val="31"/>
                    <w:rPr>
                      <w:rFonts w:hint="default" w:ascii="Times New Roman" w:hAnsi="Times New Roman" w:eastAsia="仿宋" w:cs="Times New Roman"/>
                      <w:color w:val="auto"/>
                      <w:sz w:val="21"/>
                      <w:szCs w:val="21"/>
                      <w:highlight w:val="none"/>
                      <w:lang w:val="zh-CN"/>
                    </w:rPr>
                  </w:pPr>
                  <w:r>
                    <w:rPr>
                      <w:rFonts w:hint="eastAsia" w:eastAsia="仿宋" w:cs="Times New Roman"/>
                      <w:color w:val="auto"/>
                      <w:sz w:val="21"/>
                      <w:szCs w:val="21"/>
                      <w:highlight w:val="none"/>
                      <w:lang w:val="en-US" w:eastAsia="zh-CN"/>
                    </w:rPr>
                    <w:t>60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6EEFF42">
                  <w:pPr>
                    <w:pStyle w:val="31"/>
                    <w:rPr>
                      <w:rFonts w:hint="default" w:ascii="Times New Roman" w:hAnsi="Times New Roman" w:eastAsia="仿宋" w:cs="Times New Roman"/>
                      <w:color w:val="auto"/>
                      <w:sz w:val="21"/>
                      <w:szCs w:val="21"/>
                      <w:highlight w:val="none"/>
                      <w:lang w:val="zh-CN"/>
                    </w:rPr>
                  </w:pPr>
                </w:p>
              </w:tc>
            </w:tr>
            <w:tr w14:paraId="4439E96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497CAB8B">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4ECDCDA2">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4856AD6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4046EAF6">
                  <w:pPr>
                    <w:pStyle w:val="31"/>
                    <w:rPr>
                      <w:rFonts w:hint="default" w:ascii="Times New Roman" w:hAnsi="Times New Roman" w:eastAsia="仿宋" w:cs="Times New Roman"/>
                      <w:color w:val="auto"/>
                      <w:sz w:val="21"/>
                      <w:szCs w:val="21"/>
                      <w:highlight w:val="none"/>
                      <w:lang w:val="zh-CN"/>
                    </w:rPr>
                  </w:pPr>
                  <w:r>
                    <w:rPr>
                      <w:rFonts w:hint="eastAsia" w:eastAsia="仿宋" w:cs="Times New Roman"/>
                      <w:color w:val="auto"/>
                      <w:sz w:val="21"/>
                      <w:szCs w:val="21"/>
                      <w:highlight w:val="none"/>
                      <w:lang w:val="en-US" w:eastAsia="zh-CN"/>
                    </w:rPr>
                    <w:t>120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7BB0AF16">
                  <w:pPr>
                    <w:pStyle w:val="31"/>
                    <w:rPr>
                      <w:rFonts w:hint="default" w:ascii="Times New Roman" w:hAnsi="Times New Roman" w:eastAsia="仿宋" w:cs="Times New Roman"/>
                      <w:color w:val="auto"/>
                      <w:sz w:val="21"/>
                      <w:szCs w:val="21"/>
                      <w:highlight w:val="none"/>
                      <w:lang w:val="zh-CN"/>
                    </w:rPr>
                  </w:pPr>
                </w:p>
              </w:tc>
            </w:tr>
            <w:tr w14:paraId="59D16C7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7CBB415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p>
              </w:tc>
              <w:tc>
                <w:tcPr>
                  <w:tcW w:w="712" w:type="pct"/>
                  <w:vMerge w:val="restart"/>
                  <w:tcBorders>
                    <w:tl2br w:val="nil"/>
                    <w:tr2bl w:val="nil"/>
                  </w:tcBorders>
                  <w:vAlign w:val="center"/>
                </w:tcPr>
                <w:p w14:paraId="36C5D622">
                  <w:pPr>
                    <w:pStyle w:val="31"/>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PM</w:t>
                  </w:r>
                  <w:r>
                    <w:rPr>
                      <w:rFonts w:hint="default" w:ascii="Times New Roman" w:hAnsi="Times New Roman" w:eastAsia="仿宋" w:cs="Times New Roman"/>
                      <w:color w:val="auto"/>
                      <w:sz w:val="21"/>
                      <w:szCs w:val="21"/>
                      <w:highlight w:val="none"/>
                      <w:vertAlign w:val="subscript"/>
                      <w:lang w:val="zh-CN"/>
                    </w:rPr>
                    <w:t>2.5</w:t>
                  </w:r>
                </w:p>
              </w:tc>
              <w:tc>
                <w:tcPr>
                  <w:tcW w:w="1125" w:type="pct"/>
                  <w:tcBorders>
                    <w:tl2br w:val="nil"/>
                    <w:tr2bl w:val="nil"/>
                  </w:tcBorders>
                  <w:vAlign w:val="center"/>
                </w:tcPr>
                <w:p w14:paraId="5EB4AD3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907" w:type="pct"/>
                  <w:tcBorders>
                    <w:tl2br w:val="nil"/>
                    <w:tr2bl w:val="nil"/>
                  </w:tcBorders>
                  <w:vAlign w:val="center"/>
                </w:tcPr>
                <w:p w14:paraId="54651EA5">
                  <w:pPr>
                    <w:pStyle w:val="31"/>
                    <w:rPr>
                      <w:rFonts w:hint="default" w:ascii="Times New Roman" w:hAnsi="Times New Roman" w:eastAsia="仿宋" w:cs="Times New Roman"/>
                      <w:color w:val="auto"/>
                      <w:sz w:val="21"/>
                      <w:szCs w:val="21"/>
                      <w:highlight w:val="none"/>
                      <w:lang w:val="zh-CN"/>
                    </w:rPr>
                  </w:pPr>
                  <w:r>
                    <w:rPr>
                      <w:rFonts w:hint="eastAsia" w:eastAsia="仿宋" w:cs="Times New Roman"/>
                      <w:color w:val="auto"/>
                      <w:sz w:val="21"/>
                      <w:szCs w:val="21"/>
                      <w:highlight w:val="none"/>
                      <w:lang w:val="en-US" w:eastAsia="zh-CN"/>
                    </w:rPr>
                    <w:t>30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465584B8">
                  <w:pPr>
                    <w:pStyle w:val="31"/>
                    <w:rPr>
                      <w:rFonts w:hint="default" w:ascii="Times New Roman" w:hAnsi="Times New Roman" w:eastAsia="仿宋" w:cs="Times New Roman"/>
                      <w:color w:val="auto"/>
                      <w:sz w:val="21"/>
                      <w:szCs w:val="21"/>
                      <w:highlight w:val="none"/>
                      <w:lang w:val="zh-CN"/>
                    </w:rPr>
                  </w:pPr>
                </w:p>
              </w:tc>
            </w:tr>
            <w:tr w14:paraId="3A78819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cantSplit/>
                <w:jc w:val="center"/>
              </w:trPr>
              <w:tc>
                <w:tcPr>
                  <w:tcW w:w="447" w:type="pct"/>
                  <w:vMerge w:val="continue"/>
                  <w:tcBorders>
                    <w:tl2br w:val="nil"/>
                    <w:tr2bl w:val="nil"/>
                  </w:tcBorders>
                  <w:vAlign w:val="center"/>
                </w:tcPr>
                <w:p w14:paraId="523A36F1">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1E5A9A1D">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14D706D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182EBB81">
                  <w:pPr>
                    <w:pStyle w:val="31"/>
                    <w:rPr>
                      <w:rFonts w:hint="default" w:ascii="Times New Roman" w:hAnsi="Times New Roman" w:eastAsia="仿宋" w:cs="Times New Roman"/>
                      <w:color w:val="auto"/>
                      <w:sz w:val="21"/>
                      <w:szCs w:val="21"/>
                      <w:highlight w:val="none"/>
                      <w:lang w:val="zh-CN"/>
                    </w:rPr>
                  </w:pPr>
                  <w:r>
                    <w:rPr>
                      <w:rFonts w:hint="eastAsia" w:eastAsia="仿宋" w:cs="Times New Roman"/>
                      <w:color w:val="auto"/>
                      <w:sz w:val="21"/>
                      <w:szCs w:val="21"/>
                      <w:highlight w:val="none"/>
                      <w:lang w:val="en-US" w:eastAsia="zh-CN"/>
                    </w:rPr>
                    <w:t>60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3DC0354">
                  <w:pPr>
                    <w:pStyle w:val="31"/>
                    <w:rPr>
                      <w:rFonts w:hint="default" w:ascii="Times New Roman" w:hAnsi="Times New Roman" w:eastAsia="仿宋" w:cs="Times New Roman"/>
                      <w:color w:val="auto"/>
                      <w:sz w:val="21"/>
                      <w:szCs w:val="21"/>
                      <w:highlight w:val="none"/>
                      <w:lang w:val="zh-CN"/>
                    </w:rPr>
                  </w:pPr>
                </w:p>
              </w:tc>
            </w:tr>
            <w:tr w14:paraId="52C282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39D50C3B">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w:t>
                  </w:r>
                </w:p>
              </w:tc>
              <w:tc>
                <w:tcPr>
                  <w:tcW w:w="712" w:type="pct"/>
                  <w:vMerge w:val="restart"/>
                  <w:tcBorders>
                    <w:tl2br w:val="nil"/>
                    <w:tr2bl w:val="nil"/>
                  </w:tcBorders>
                  <w:vAlign w:val="center"/>
                </w:tcPr>
                <w:p w14:paraId="34B5AB4B">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TSP</w:t>
                  </w:r>
                </w:p>
              </w:tc>
              <w:tc>
                <w:tcPr>
                  <w:tcW w:w="2068" w:type="dxa"/>
                  <w:tcBorders>
                    <w:tl2br w:val="nil"/>
                    <w:tr2bl w:val="nil"/>
                  </w:tcBorders>
                  <w:vAlign w:val="center"/>
                </w:tcPr>
                <w:p w14:paraId="572D36CC">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年平均</w:t>
                  </w:r>
                </w:p>
              </w:tc>
              <w:tc>
                <w:tcPr>
                  <w:tcW w:w="907" w:type="pct"/>
                  <w:tcBorders>
                    <w:tl2br w:val="nil"/>
                    <w:tr2bl w:val="nil"/>
                  </w:tcBorders>
                  <w:vAlign w:val="center"/>
                </w:tcPr>
                <w:p w14:paraId="22B7E03C">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766AD4A1">
                  <w:pPr>
                    <w:pStyle w:val="31"/>
                    <w:rPr>
                      <w:rFonts w:hint="default" w:ascii="Times New Roman" w:hAnsi="Times New Roman" w:eastAsia="仿宋" w:cs="Times New Roman"/>
                      <w:color w:val="auto"/>
                      <w:sz w:val="21"/>
                      <w:szCs w:val="21"/>
                      <w:highlight w:val="none"/>
                      <w:lang w:val="zh-CN"/>
                    </w:rPr>
                  </w:pPr>
                </w:p>
              </w:tc>
            </w:tr>
            <w:tr w14:paraId="349BED2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1B70A1EF">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2A5F804F">
                  <w:pPr>
                    <w:pStyle w:val="31"/>
                    <w:rPr>
                      <w:rFonts w:hint="default" w:ascii="Times New Roman" w:hAnsi="Times New Roman" w:eastAsia="仿宋" w:cs="Times New Roman"/>
                      <w:color w:val="auto"/>
                      <w:sz w:val="21"/>
                      <w:szCs w:val="21"/>
                      <w:highlight w:val="none"/>
                      <w:lang w:val="zh-CN"/>
                    </w:rPr>
                  </w:pPr>
                </w:p>
              </w:tc>
              <w:tc>
                <w:tcPr>
                  <w:tcW w:w="2068" w:type="dxa"/>
                  <w:tcBorders>
                    <w:tl2br w:val="nil"/>
                    <w:tr2bl w:val="nil"/>
                  </w:tcBorders>
                  <w:vAlign w:val="center"/>
                </w:tcPr>
                <w:p w14:paraId="40F8D2E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24小时平均</w:t>
                  </w:r>
                </w:p>
              </w:tc>
              <w:tc>
                <w:tcPr>
                  <w:tcW w:w="907" w:type="pct"/>
                  <w:tcBorders>
                    <w:tl2br w:val="nil"/>
                    <w:tr2bl w:val="nil"/>
                  </w:tcBorders>
                  <w:vAlign w:val="center"/>
                </w:tcPr>
                <w:p w14:paraId="0CBA10F7">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1DBAC67">
                  <w:pPr>
                    <w:pStyle w:val="31"/>
                    <w:rPr>
                      <w:rFonts w:hint="default" w:ascii="Times New Roman" w:hAnsi="Times New Roman" w:eastAsia="仿宋" w:cs="Times New Roman"/>
                      <w:color w:val="auto"/>
                      <w:sz w:val="21"/>
                      <w:szCs w:val="21"/>
                      <w:highlight w:val="none"/>
                      <w:lang w:val="zh-CN"/>
                    </w:rPr>
                  </w:pPr>
                </w:p>
              </w:tc>
            </w:tr>
            <w:tr w14:paraId="0560B89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23035068">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712" w:type="pct"/>
                  <w:vMerge w:val="restart"/>
                  <w:tcBorders>
                    <w:tl2br w:val="nil"/>
                    <w:tr2bl w:val="nil"/>
                  </w:tcBorders>
                  <w:vAlign w:val="center"/>
                </w:tcPr>
                <w:p w14:paraId="63DAB12F">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NOx</w:t>
                  </w:r>
                </w:p>
              </w:tc>
              <w:tc>
                <w:tcPr>
                  <w:tcW w:w="1125" w:type="pct"/>
                  <w:tcBorders>
                    <w:tl2br w:val="nil"/>
                    <w:tr2bl w:val="nil"/>
                  </w:tcBorders>
                  <w:vAlign w:val="center"/>
                </w:tcPr>
                <w:p w14:paraId="32EF893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年平均</w:t>
                  </w:r>
                </w:p>
              </w:tc>
              <w:tc>
                <w:tcPr>
                  <w:tcW w:w="907" w:type="pct"/>
                  <w:tcBorders>
                    <w:tl2br w:val="nil"/>
                    <w:tr2bl w:val="nil"/>
                  </w:tcBorders>
                  <w:vAlign w:val="center"/>
                </w:tcPr>
                <w:p w14:paraId="69197C2D">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4F7D86A7">
                  <w:pPr>
                    <w:pStyle w:val="31"/>
                    <w:rPr>
                      <w:rFonts w:hint="default" w:ascii="Times New Roman" w:hAnsi="Times New Roman" w:eastAsia="仿宋" w:cs="Times New Roman"/>
                      <w:color w:val="auto"/>
                      <w:sz w:val="21"/>
                      <w:szCs w:val="21"/>
                      <w:highlight w:val="none"/>
                      <w:lang w:val="zh-CN" w:eastAsia="zh-CN"/>
                    </w:rPr>
                  </w:pPr>
                </w:p>
              </w:tc>
            </w:tr>
            <w:tr w14:paraId="7ED3F38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5E2D173E">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23D7E743">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6EED757A">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24小时平均</w:t>
                  </w:r>
                </w:p>
              </w:tc>
              <w:tc>
                <w:tcPr>
                  <w:tcW w:w="907" w:type="pct"/>
                  <w:tcBorders>
                    <w:tl2br w:val="nil"/>
                    <w:tr2bl w:val="nil"/>
                  </w:tcBorders>
                  <w:vAlign w:val="center"/>
                </w:tcPr>
                <w:p w14:paraId="1E3FB45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79354C70">
                  <w:pPr>
                    <w:pStyle w:val="31"/>
                    <w:rPr>
                      <w:rFonts w:hint="default" w:ascii="Times New Roman" w:hAnsi="Times New Roman" w:eastAsia="仿宋" w:cs="Times New Roman"/>
                      <w:color w:val="auto"/>
                      <w:sz w:val="21"/>
                      <w:szCs w:val="21"/>
                      <w:highlight w:val="none"/>
                      <w:lang w:val="zh-CN" w:eastAsia="zh-CN"/>
                    </w:rPr>
                  </w:pPr>
                </w:p>
              </w:tc>
            </w:tr>
            <w:tr w14:paraId="77E1C99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447041CC">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5D5F5432">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vAlign w:val="center"/>
                </w:tcPr>
                <w:p w14:paraId="1495B90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1小时平均</w:t>
                  </w:r>
                </w:p>
              </w:tc>
              <w:tc>
                <w:tcPr>
                  <w:tcW w:w="907" w:type="pct"/>
                  <w:tcBorders>
                    <w:tl2br w:val="nil"/>
                    <w:tr2bl w:val="nil"/>
                  </w:tcBorders>
                  <w:vAlign w:val="center"/>
                </w:tcPr>
                <w:p w14:paraId="34686A1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C6B2DD4">
                  <w:pPr>
                    <w:pStyle w:val="31"/>
                    <w:rPr>
                      <w:rFonts w:hint="default" w:ascii="Times New Roman" w:hAnsi="Times New Roman" w:eastAsia="仿宋" w:cs="Times New Roman"/>
                      <w:color w:val="auto"/>
                      <w:sz w:val="21"/>
                      <w:szCs w:val="21"/>
                      <w:highlight w:val="none"/>
                      <w:lang w:val="zh-CN" w:eastAsia="zh-CN"/>
                    </w:rPr>
                  </w:pPr>
                </w:p>
              </w:tc>
            </w:tr>
            <w:tr w14:paraId="36E9837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tcBorders>
                    <w:tl2br w:val="nil"/>
                    <w:tr2bl w:val="nil"/>
                  </w:tcBorders>
                  <w:vAlign w:val="center"/>
                </w:tcPr>
                <w:p w14:paraId="538BC4BB">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9</w:t>
                  </w:r>
                </w:p>
              </w:tc>
              <w:tc>
                <w:tcPr>
                  <w:tcW w:w="712" w:type="pct"/>
                  <w:tcBorders>
                    <w:tl2br w:val="nil"/>
                    <w:tr2bl w:val="nil"/>
                  </w:tcBorders>
                  <w:vAlign w:val="center"/>
                </w:tcPr>
                <w:p w14:paraId="331C5DC5">
                  <w:pPr>
                    <w:pStyle w:val="31"/>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非甲烷总烃</w:t>
                  </w:r>
                </w:p>
              </w:tc>
              <w:tc>
                <w:tcPr>
                  <w:tcW w:w="1125" w:type="pct"/>
                  <w:tcBorders>
                    <w:tl2br w:val="nil"/>
                    <w:tr2bl w:val="nil"/>
                  </w:tcBorders>
                  <w:vAlign w:val="center"/>
                </w:tcPr>
                <w:p w14:paraId="4EB74956">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1小时平均</w:t>
                  </w:r>
                </w:p>
              </w:tc>
              <w:tc>
                <w:tcPr>
                  <w:tcW w:w="907" w:type="pct"/>
                  <w:tcBorders>
                    <w:tl2br w:val="nil"/>
                    <w:tr2bl w:val="nil"/>
                  </w:tcBorders>
                  <w:vAlign w:val="center"/>
                </w:tcPr>
                <w:p w14:paraId="7191F980">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tcBorders>
                    <w:tl2br w:val="nil"/>
                    <w:tr2bl w:val="nil"/>
                  </w:tcBorders>
                  <w:vAlign w:val="center"/>
                </w:tcPr>
                <w:p w14:paraId="3976BFF1">
                  <w:pPr>
                    <w:pStyle w:val="31"/>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zh-CN" w:eastAsia="zh-CN"/>
                    </w:rPr>
                    <w:t>《大气污染物综合排放标准详解》</w:t>
                  </w:r>
                </w:p>
              </w:tc>
            </w:tr>
            <w:tr w14:paraId="4DB88B1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tcBorders>
                    <w:tl2br w:val="nil"/>
                    <w:tr2bl w:val="nil"/>
                  </w:tcBorders>
                  <w:vAlign w:val="center"/>
                </w:tcPr>
                <w:p w14:paraId="39CBECDA">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w:t>
                  </w:r>
                </w:p>
              </w:tc>
              <w:tc>
                <w:tcPr>
                  <w:tcW w:w="712" w:type="pct"/>
                  <w:tcBorders>
                    <w:tl2br w:val="nil"/>
                    <w:tr2bl w:val="nil"/>
                  </w:tcBorders>
                  <w:vAlign w:val="center"/>
                </w:tcPr>
                <w:p w14:paraId="7A3CBB0F">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TVOC</w:t>
                  </w:r>
                </w:p>
              </w:tc>
              <w:tc>
                <w:tcPr>
                  <w:tcW w:w="1125" w:type="pct"/>
                  <w:tcBorders>
                    <w:tl2br w:val="nil"/>
                    <w:tr2bl w:val="nil"/>
                  </w:tcBorders>
                  <w:vAlign w:val="center"/>
                </w:tcPr>
                <w:p w14:paraId="1388EAB0">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8h平均</w:t>
                  </w:r>
                </w:p>
              </w:tc>
              <w:tc>
                <w:tcPr>
                  <w:tcW w:w="907" w:type="pct"/>
                  <w:tcBorders>
                    <w:tl2br w:val="nil"/>
                    <w:tr2bl w:val="nil"/>
                  </w:tcBorders>
                  <w:vAlign w:val="center"/>
                </w:tcPr>
                <w:p w14:paraId="7166D622">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restart"/>
                  <w:tcBorders>
                    <w:tl2br w:val="nil"/>
                    <w:tr2bl w:val="nil"/>
                  </w:tcBorders>
                  <w:vAlign w:val="center"/>
                </w:tcPr>
                <w:p w14:paraId="2B9EDDEF">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《环境影响评价技术导则</w:t>
                  </w:r>
                  <w:r>
                    <w:rPr>
                      <w:rFonts w:hint="eastAsia" w:ascii="Times New Roman" w:hAnsi="Times New Roman"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大气环境》（HJ2.2-2018）</w:t>
                  </w:r>
                  <w:r>
                    <w:rPr>
                      <w:rFonts w:hint="eastAsia" w:ascii="Times New Roman" w:hAnsi="Times New Roman" w:eastAsia="仿宋" w:cs="Times New Roman"/>
                      <w:color w:val="auto"/>
                      <w:sz w:val="21"/>
                      <w:szCs w:val="21"/>
                      <w:highlight w:val="none"/>
                      <w:lang w:val="en-US" w:eastAsia="zh-CN"/>
                    </w:rPr>
                    <w:t>附录D</w:t>
                  </w:r>
                </w:p>
              </w:tc>
            </w:tr>
            <w:tr w14:paraId="6B8CA1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0497A2B9">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w:t>
                  </w:r>
                </w:p>
              </w:tc>
              <w:tc>
                <w:tcPr>
                  <w:tcW w:w="712" w:type="pct"/>
                  <w:vMerge w:val="restart"/>
                  <w:tcBorders>
                    <w:tl2br w:val="nil"/>
                    <w:tr2bl w:val="nil"/>
                  </w:tcBorders>
                  <w:vAlign w:val="center"/>
                </w:tcPr>
                <w:p w14:paraId="2289C7AE">
                  <w:pPr>
                    <w:pStyle w:val="31"/>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en-US" w:eastAsia="zh-CN"/>
                    </w:rPr>
                    <w:t>氯化氢</w:t>
                  </w:r>
                </w:p>
              </w:tc>
              <w:tc>
                <w:tcPr>
                  <w:tcW w:w="1125" w:type="pct"/>
                  <w:tcBorders>
                    <w:tl2br w:val="nil"/>
                    <w:tr2bl w:val="nil"/>
                  </w:tcBorders>
                  <w:vAlign w:val="center"/>
                </w:tcPr>
                <w:p w14:paraId="56C198B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70EC02D0">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6E1ED997">
                  <w:pPr>
                    <w:pStyle w:val="31"/>
                    <w:rPr>
                      <w:rFonts w:hint="default" w:ascii="Times New Roman" w:hAnsi="Times New Roman" w:eastAsia="仿宋" w:cs="Times New Roman"/>
                      <w:color w:val="auto"/>
                      <w:sz w:val="21"/>
                      <w:szCs w:val="21"/>
                      <w:highlight w:val="none"/>
                      <w:lang w:val="en-US" w:eastAsia="zh-CN"/>
                    </w:rPr>
                  </w:pPr>
                </w:p>
              </w:tc>
            </w:tr>
            <w:tr w14:paraId="5B295A2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continue"/>
                  <w:tcBorders>
                    <w:tl2br w:val="nil"/>
                    <w:tr2bl w:val="nil"/>
                  </w:tcBorders>
                  <w:vAlign w:val="center"/>
                </w:tcPr>
                <w:p w14:paraId="31BAADFE">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shd w:val="clear" w:color="auto" w:fill="auto"/>
                  <w:vAlign w:val="center"/>
                </w:tcPr>
                <w:p w14:paraId="249328F0">
                  <w:pPr>
                    <w:pStyle w:val="31"/>
                    <w:rPr>
                      <w:rFonts w:hint="default" w:ascii="Times New Roman" w:hAnsi="Times New Roman" w:eastAsia="仿宋" w:cs="Times New Roman"/>
                      <w:color w:val="auto"/>
                      <w:sz w:val="21"/>
                      <w:szCs w:val="21"/>
                      <w:highlight w:val="none"/>
                      <w:lang w:val="zh-CN" w:eastAsia="zh-CN"/>
                    </w:rPr>
                  </w:pPr>
                </w:p>
              </w:tc>
              <w:tc>
                <w:tcPr>
                  <w:tcW w:w="1125" w:type="pct"/>
                  <w:tcBorders>
                    <w:tl2br w:val="nil"/>
                    <w:tr2bl w:val="nil"/>
                  </w:tcBorders>
                  <w:shd w:val="clear" w:color="auto" w:fill="auto"/>
                  <w:vAlign w:val="center"/>
                </w:tcPr>
                <w:p w14:paraId="6CA7B1DD">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eastAsia" w:eastAsia="仿宋" w:cs="Times New Roman"/>
                      <w:color w:val="auto"/>
                      <w:sz w:val="21"/>
                      <w:szCs w:val="21"/>
                      <w:highlight w:val="none"/>
                      <w:lang w:val="en-US" w:eastAsia="zh-CN"/>
                    </w:rPr>
                    <w:t>24小时平均</w:t>
                  </w:r>
                </w:p>
              </w:tc>
              <w:tc>
                <w:tcPr>
                  <w:tcW w:w="907" w:type="pct"/>
                  <w:tcBorders>
                    <w:tl2br w:val="nil"/>
                    <w:tr2bl w:val="nil"/>
                  </w:tcBorders>
                  <w:vAlign w:val="center"/>
                </w:tcPr>
                <w:p w14:paraId="146330BF">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6A9966AC">
                  <w:pPr>
                    <w:pStyle w:val="31"/>
                    <w:rPr>
                      <w:rFonts w:hint="default" w:ascii="Times New Roman" w:hAnsi="Times New Roman" w:eastAsia="仿宋" w:cs="Times New Roman"/>
                      <w:color w:val="auto"/>
                      <w:sz w:val="21"/>
                      <w:szCs w:val="21"/>
                      <w:highlight w:val="none"/>
                      <w:lang w:val="zh-CN"/>
                    </w:rPr>
                  </w:pPr>
                </w:p>
              </w:tc>
            </w:tr>
            <w:tr w14:paraId="65F745A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vMerge w:val="restart"/>
                  <w:tcBorders>
                    <w:tl2br w:val="nil"/>
                    <w:tr2bl w:val="nil"/>
                  </w:tcBorders>
                  <w:vAlign w:val="center"/>
                </w:tcPr>
                <w:p w14:paraId="31F3536D">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w:t>
                  </w:r>
                </w:p>
              </w:tc>
              <w:tc>
                <w:tcPr>
                  <w:tcW w:w="712" w:type="pct"/>
                  <w:vMerge w:val="restart"/>
                  <w:tcBorders>
                    <w:tl2br w:val="nil"/>
                    <w:tr2bl w:val="nil"/>
                  </w:tcBorders>
                  <w:shd w:val="clear" w:color="auto" w:fill="auto"/>
                  <w:vAlign w:val="center"/>
                </w:tcPr>
                <w:p w14:paraId="76A307AA">
                  <w:pPr>
                    <w:pStyle w:val="31"/>
                    <w:rPr>
                      <w:rFonts w:hint="default" w:ascii="Times New Roman" w:hAnsi="Times New Roman" w:eastAsia="仿宋" w:cs="Times New Roman"/>
                      <w:color w:val="auto"/>
                      <w:sz w:val="21"/>
                      <w:szCs w:val="21"/>
                      <w:highlight w:val="none"/>
                      <w:lang w:val="zh-CN" w:eastAsia="zh-CN"/>
                    </w:rPr>
                  </w:pPr>
                  <w:r>
                    <w:rPr>
                      <w:rFonts w:hint="default" w:ascii="Times New Roman" w:hAnsi="Times New Roman" w:eastAsia="仿宋" w:cs="Times New Roman"/>
                      <w:color w:val="auto"/>
                      <w:sz w:val="21"/>
                      <w:szCs w:val="21"/>
                      <w:highlight w:val="none"/>
                      <w:lang w:val="en-US" w:eastAsia="zh-CN"/>
                    </w:rPr>
                    <w:t>硫酸</w:t>
                  </w:r>
                </w:p>
              </w:tc>
              <w:tc>
                <w:tcPr>
                  <w:tcW w:w="1125" w:type="pct"/>
                  <w:tcBorders>
                    <w:tl2br w:val="nil"/>
                    <w:tr2bl w:val="nil"/>
                  </w:tcBorders>
                  <w:shd w:val="clear" w:color="auto" w:fill="auto"/>
                  <w:vAlign w:val="center"/>
                </w:tcPr>
                <w:p w14:paraId="055E8C29">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60F5C164">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2C13447E">
                  <w:pPr>
                    <w:pStyle w:val="31"/>
                    <w:rPr>
                      <w:rFonts w:hint="default" w:ascii="Times New Roman" w:hAnsi="Times New Roman" w:eastAsia="仿宋" w:cs="Times New Roman"/>
                      <w:color w:val="auto"/>
                      <w:sz w:val="21"/>
                      <w:szCs w:val="21"/>
                      <w:highlight w:val="none"/>
                      <w:lang w:val="zh-CN"/>
                    </w:rPr>
                  </w:pPr>
                </w:p>
              </w:tc>
            </w:tr>
            <w:tr w14:paraId="1980DA9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cantSplit/>
                <w:jc w:val="center"/>
              </w:trPr>
              <w:tc>
                <w:tcPr>
                  <w:tcW w:w="447" w:type="pct"/>
                  <w:vMerge w:val="continue"/>
                  <w:tcBorders>
                    <w:tl2br w:val="nil"/>
                    <w:tr2bl w:val="nil"/>
                  </w:tcBorders>
                  <w:vAlign w:val="center"/>
                </w:tcPr>
                <w:p w14:paraId="5E76A8BF">
                  <w:pPr>
                    <w:pStyle w:val="31"/>
                    <w:rPr>
                      <w:rFonts w:hint="default" w:ascii="Times New Roman" w:hAnsi="Times New Roman" w:eastAsia="仿宋" w:cs="Times New Roman"/>
                      <w:color w:val="auto"/>
                      <w:sz w:val="21"/>
                      <w:szCs w:val="21"/>
                      <w:highlight w:val="none"/>
                      <w:lang w:val="zh-CN"/>
                    </w:rPr>
                  </w:pPr>
                </w:p>
              </w:tc>
              <w:tc>
                <w:tcPr>
                  <w:tcW w:w="712" w:type="pct"/>
                  <w:vMerge w:val="continue"/>
                  <w:tcBorders>
                    <w:tl2br w:val="nil"/>
                    <w:tr2bl w:val="nil"/>
                  </w:tcBorders>
                  <w:vAlign w:val="center"/>
                </w:tcPr>
                <w:p w14:paraId="294F0539">
                  <w:pPr>
                    <w:pStyle w:val="31"/>
                    <w:rPr>
                      <w:rFonts w:hint="default" w:ascii="Times New Roman" w:hAnsi="Times New Roman" w:eastAsia="仿宋" w:cs="Times New Roman"/>
                      <w:color w:val="auto"/>
                      <w:sz w:val="21"/>
                      <w:szCs w:val="21"/>
                      <w:highlight w:val="none"/>
                      <w:lang w:val="zh-CN"/>
                    </w:rPr>
                  </w:pPr>
                </w:p>
              </w:tc>
              <w:tc>
                <w:tcPr>
                  <w:tcW w:w="1125" w:type="pct"/>
                  <w:tcBorders>
                    <w:tl2br w:val="nil"/>
                    <w:tr2bl w:val="nil"/>
                  </w:tcBorders>
                  <w:shd w:val="clear" w:color="auto" w:fill="auto"/>
                  <w:vAlign w:val="center"/>
                </w:tcPr>
                <w:p w14:paraId="2C5E339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eastAsia" w:eastAsia="仿宋" w:cs="Times New Roman"/>
                      <w:color w:val="auto"/>
                      <w:sz w:val="21"/>
                      <w:szCs w:val="21"/>
                      <w:highlight w:val="none"/>
                      <w:lang w:val="en-US" w:eastAsia="zh-CN"/>
                    </w:rPr>
                    <w:t>24小时平均</w:t>
                  </w:r>
                </w:p>
              </w:tc>
              <w:tc>
                <w:tcPr>
                  <w:tcW w:w="907" w:type="pct"/>
                  <w:tcBorders>
                    <w:tl2br w:val="nil"/>
                    <w:tr2bl w:val="nil"/>
                  </w:tcBorders>
                  <w:vAlign w:val="center"/>
                </w:tcPr>
                <w:p w14:paraId="4B62A8F0">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744B2942">
                  <w:pPr>
                    <w:pStyle w:val="31"/>
                    <w:rPr>
                      <w:rFonts w:hint="default" w:ascii="Times New Roman" w:hAnsi="Times New Roman" w:eastAsia="仿宋" w:cs="Times New Roman"/>
                      <w:color w:val="auto"/>
                      <w:sz w:val="21"/>
                      <w:szCs w:val="21"/>
                      <w:highlight w:val="none"/>
                      <w:lang w:val="zh-CN"/>
                    </w:rPr>
                  </w:pPr>
                </w:p>
              </w:tc>
            </w:tr>
            <w:tr w14:paraId="0F8662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tcBorders>
                    <w:tl2br w:val="nil"/>
                    <w:tr2bl w:val="nil"/>
                  </w:tcBorders>
                  <w:vAlign w:val="center"/>
                </w:tcPr>
                <w:p w14:paraId="30C1F7A7">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w:t>
                  </w:r>
                </w:p>
              </w:tc>
              <w:tc>
                <w:tcPr>
                  <w:tcW w:w="712" w:type="pct"/>
                  <w:tcBorders>
                    <w:tl2br w:val="nil"/>
                    <w:tr2bl w:val="nil"/>
                  </w:tcBorders>
                  <w:vAlign w:val="center"/>
                </w:tcPr>
                <w:p w14:paraId="171769D8">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氨</w:t>
                  </w:r>
                </w:p>
              </w:tc>
              <w:tc>
                <w:tcPr>
                  <w:tcW w:w="1125" w:type="pct"/>
                  <w:tcBorders>
                    <w:tl2br w:val="nil"/>
                    <w:tr2bl w:val="nil"/>
                  </w:tcBorders>
                  <w:shd w:val="clear" w:color="auto" w:fill="auto"/>
                  <w:vAlign w:val="center"/>
                </w:tcPr>
                <w:p w14:paraId="7A4A822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66E427CA">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7DEB5CDE">
                  <w:pPr>
                    <w:pStyle w:val="31"/>
                    <w:rPr>
                      <w:rFonts w:hint="default" w:ascii="Times New Roman" w:hAnsi="Times New Roman" w:eastAsia="仿宋" w:cs="Times New Roman"/>
                      <w:color w:val="auto"/>
                      <w:sz w:val="21"/>
                      <w:szCs w:val="21"/>
                      <w:highlight w:val="none"/>
                      <w:lang w:val="zh-CN"/>
                    </w:rPr>
                  </w:pPr>
                </w:p>
              </w:tc>
            </w:tr>
            <w:tr w14:paraId="466D6C0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7" w:type="pct"/>
                  <w:tcBorders>
                    <w:tl2br w:val="nil"/>
                    <w:tr2bl w:val="nil"/>
                  </w:tcBorders>
                  <w:vAlign w:val="center"/>
                </w:tcPr>
                <w:p w14:paraId="2E6CC8DC">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w:t>
                  </w:r>
                </w:p>
              </w:tc>
              <w:tc>
                <w:tcPr>
                  <w:tcW w:w="712" w:type="pct"/>
                  <w:tcBorders>
                    <w:tl2br w:val="nil"/>
                    <w:tr2bl w:val="nil"/>
                  </w:tcBorders>
                  <w:vAlign w:val="center"/>
                </w:tcPr>
                <w:p w14:paraId="21D7FCFF">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硫化氢</w:t>
                  </w:r>
                </w:p>
              </w:tc>
              <w:tc>
                <w:tcPr>
                  <w:tcW w:w="1125" w:type="pct"/>
                  <w:tcBorders>
                    <w:tl2br w:val="nil"/>
                    <w:tr2bl w:val="nil"/>
                  </w:tcBorders>
                  <w:shd w:val="clear" w:color="auto" w:fill="auto"/>
                  <w:vAlign w:val="center"/>
                </w:tcPr>
                <w:p w14:paraId="0EC46297">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1小时平均</w:t>
                  </w:r>
                </w:p>
              </w:tc>
              <w:tc>
                <w:tcPr>
                  <w:tcW w:w="907" w:type="pct"/>
                  <w:tcBorders>
                    <w:tl2br w:val="nil"/>
                    <w:tr2bl w:val="nil"/>
                  </w:tcBorders>
                  <w:vAlign w:val="center"/>
                </w:tcPr>
                <w:p w14:paraId="13639678">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w:t>
                  </w:r>
                  <w:r>
                    <w:rPr>
                      <w:rFonts w:hint="default" w:ascii="Times New Roman" w:hAnsi="Times New Roman" w:eastAsia="仿宋" w:cs="Times New Roman"/>
                      <w:color w:val="auto"/>
                      <w:sz w:val="21"/>
                      <w:szCs w:val="21"/>
                      <w:highlight w:val="none"/>
                      <w:lang w:val="en-GB"/>
                    </w:rPr>
                    <w:t>μg/m</w:t>
                  </w:r>
                  <w:r>
                    <w:rPr>
                      <w:rFonts w:hint="default" w:ascii="Times New Roman" w:hAnsi="Times New Roman" w:eastAsia="仿宋" w:cs="Times New Roman"/>
                      <w:color w:val="auto"/>
                      <w:sz w:val="21"/>
                      <w:szCs w:val="21"/>
                      <w:highlight w:val="none"/>
                      <w:vertAlign w:val="superscript"/>
                      <w:lang w:val="en-GB"/>
                    </w:rPr>
                    <w:t>3</w:t>
                  </w:r>
                </w:p>
              </w:tc>
              <w:tc>
                <w:tcPr>
                  <w:tcW w:w="1808" w:type="pct"/>
                  <w:vMerge w:val="continue"/>
                  <w:tcBorders>
                    <w:tl2br w:val="nil"/>
                    <w:tr2bl w:val="nil"/>
                  </w:tcBorders>
                  <w:vAlign w:val="center"/>
                </w:tcPr>
                <w:p w14:paraId="52BB767F">
                  <w:pPr>
                    <w:pStyle w:val="31"/>
                    <w:rPr>
                      <w:rFonts w:hint="default" w:ascii="Times New Roman" w:hAnsi="Times New Roman" w:eastAsia="仿宋" w:cs="Times New Roman"/>
                      <w:color w:val="auto"/>
                      <w:sz w:val="21"/>
                      <w:szCs w:val="21"/>
                      <w:highlight w:val="none"/>
                      <w:lang w:val="zh-CN"/>
                    </w:rPr>
                  </w:pPr>
                </w:p>
              </w:tc>
            </w:tr>
            <w:bookmarkEnd w:id="14"/>
            <w:bookmarkEnd w:id="15"/>
          </w:tbl>
          <w:p w14:paraId="01CA81DC">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（2）其他污染物大气环境质量现状调查</w:t>
            </w:r>
          </w:p>
          <w:p w14:paraId="73229C60">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要求，对于排放国家、地方环境空气质量标准中有标准限值要求的特征污染物时，可引用项目周边5千米范围内近三年的环境质量监测数据，用于评价项目所在区域污染物环境质量现状。</w:t>
            </w:r>
          </w:p>
          <w:p w14:paraId="031ECE8E">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本项目特征污染物非甲烷总烃</w:t>
            </w:r>
            <w:r>
              <w:rPr>
                <w:rFonts w:hint="eastAsia" w:cs="Times New Roman"/>
                <w:color w:val="auto"/>
                <w:sz w:val="24"/>
                <w:szCs w:val="24"/>
                <w:lang w:val="en-US" w:eastAsia="zh-CN"/>
              </w:rPr>
              <w:t>、氯化氢、硫化氢</w:t>
            </w:r>
            <w:r>
              <w:rPr>
                <w:rFonts w:hint="default" w:ascii="Times New Roman" w:hAnsi="Times New Roman" w:eastAsia="宋体" w:cs="Times New Roman"/>
                <w:color w:val="auto"/>
                <w:sz w:val="24"/>
                <w:szCs w:val="24"/>
                <w:lang w:val="en-US" w:eastAsia="zh-CN"/>
              </w:rPr>
              <w:t>暂未列入国家、江苏省地方环境空气质量标准，本环评不对其进行环境质量现状评价。</w:t>
            </w:r>
          </w:p>
          <w:p w14:paraId="54331363">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TSP的环境质量现状数据引用本公司（苏州永旺电子科技有限公司环境质量现状监测-报告编号YYJS（Q）20260305201）于2026年3月05~2026年3月07日对项目地西南侧</w:t>
            </w:r>
            <w:r>
              <w:rPr>
                <w:rFonts w:hint="eastAsia"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km处的建发泱誉雅苑东侧150m的监测数据，见表3-</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，监测点位见图3-1。</w:t>
            </w:r>
          </w:p>
          <w:p w14:paraId="3E148D79">
            <w:pPr>
              <w:numPr>
                <w:ilvl w:val="0"/>
                <w:numId w:val="4"/>
              </w:numPr>
              <w:adjustRightInd w:val="0"/>
              <w:snapToGrid w:val="0"/>
              <w:jc w:val="center"/>
              <w:rPr>
                <w:b/>
                <w:color w:val="auto"/>
                <w:sz w:val="24"/>
                <w:szCs w:val="24"/>
                <w:highlight w:val="none"/>
              </w:rPr>
            </w:pPr>
            <w:r>
              <w:rPr>
                <w:b/>
                <w:color w:val="auto"/>
                <w:sz w:val="24"/>
                <w:szCs w:val="24"/>
                <w:highlight w:val="none"/>
              </w:rPr>
              <w:t>声环境质量标准</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466"/>
              <w:gridCol w:w="1092"/>
              <w:gridCol w:w="1571"/>
              <w:gridCol w:w="1812"/>
              <w:gridCol w:w="1968"/>
            </w:tblGrid>
            <w:tr w14:paraId="5FC293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693" w:type="pct"/>
                  <w:tcBorders>
                    <w:tl2br w:val="nil"/>
                    <w:tr2bl w:val="nil"/>
                  </w:tcBorders>
                  <w:vAlign w:val="center"/>
                </w:tcPr>
                <w:p w14:paraId="105992E7">
                  <w:pPr>
                    <w:pStyle w:val="31"/>
                    <w:rPr>
                      <w:rFonts w:hint="eastAsia" w:eastAsia="仿宋" w:cs="Times New Roman"/>
                      <w:b w:val="0"/>
                      <w:bCs/>
                      <w:color w:val="auto"/>
                      <w:sz w:val="21"/>
                      <w:szCs w:val="21"/>
                      <w:highlight w:val="none"/>
                      <w:lang w:val="en-US" w:eastAsia="zh-CN"/>
                    </w:rPr>
                  </w:pPr>
                  <w:r>
                    <w:rPr>
                      <w:rFonts w:hint="eastAsia" w:eastAsia="仿宋" w:cs="Times New Roman"/>
                      <w:b/>
                      <w:color w:val="auto"/>
                      <w:sz w:val="21"/>
                      <w:szCs w:val="21"/>
                      <w:highlight w:val="none"/>
                      <w:lang w:val="en-US" w:eastAsia="zh-CN"/>
                    </w:rPr>
                    <w:t>监测点编号</w:t>
                  </w:r>
                </w:p>
              </w:tc>
              <w:tc>
                <w:tcPr>
                  <w:tcW w:w="798" w:type="pct"/>
                  <w:tcBorders>
                    <w:tl2br w:val="nil"/>
                    <w:tr2bl w:val="nil"/>
                  </w:tcBorders>
                  <w:vAlign w:val="center"/>
                </w:tcPr>
                <w:p w14:paraId="04D3065C">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color w:val="auto"/>
                      <w:sz w:val="21"/>
                      <w:szCs w:val="21"/>
                      <w:highlight w:val="none"/>
                      <w:lang w:val="en-US" w:eastAsia="zh-CN"/>
                    </w:rPr>
                    <w:t>监测点名称</w:t>
                  </w:r>
                </w:p>
              </w:tc>
              <w:tc>
                <w:tcPr>
                  <w:tcW w:w="594" w:type="pct"/>
                  <w:tcBorders>
                    <w:tl2br w:val="nil"/>
                    <w:tr2bl w:val="nil"/>
                  </w:tcBorders>
                  <w:vAlign w:val="center"/>
                </w:tcPr>
                <w:p w14:paraId="64338DBD">
                  <w:pPr>
                    <w:pStyle w:val="31"/>
                    <w:rPr>
                      <w:rFonts w:hint="eastAsia" w:eastAsia="仿宋" w:cs="Times New Roman"/>
                      <w:b w:val="0"/>
                      <w:bCs/>
                      <w:color w:val="auto"/>
                      <w:sz w:val="21"/>
                      <w:szCs w:val="21"/>
                      <w:highlight w:val="none"/>
                      <w:lang w:val="en-US" w:eastAsia="zh-CN"/>
                    </w:rPr>
                  </w:pPr>
                  <w:r>
                    <w:rPr>
                      <w:rFonts w:hint="eastAsia" w:eastAsia="仿宋" w:cs="Times New Roman"/>
                      <w:b/>
                      <w:color w:val="auto"/>
                      <w:sz w:val="21"/>
                      <w:szCs w:val="21"/>
                      <w:highlight w:val="none"/>
                      <w:lang w:val="en-US" w:eastAsia="zh-CN"/>
                    </w:rPr>
                    <w:t>监测因子</w:t>
                  </w:r>
                </w:p>
              </w:tc>
              <w:tc>
                <w:tcPr>
                  <w:tcW w:w="855" w:type="pct"/>
                  <w:tcBorders>
                    <w:tl2br w:val="nil"/>
                    <w:tr2bl w:val="nil"/>
                  </w:tcBorders>
                  <w:vAlign w:val="center"/>
                </w:tcPr>
                <w:p w14:paraId="4CCBBEF8">
                  <w:pPr>
                    <w:pStyle w:val="31"/>
                    <w:rPr>
                      <w:rFonts w:hint="eastAsia" w:eastAsia="仿宋" w:cs="Times New Roman"/>
                      <w:b w:val="0"/>
                      <w:bCs/>
                      <w:color w:val="auto"/>
                      <w:sz w:val="21"/>
                      <w:szCs w:val="21"/>
                      <w:highlight w:val="none"/>
                      <w:lang w:val="en-US" w:eastAsia="zh-CN"/>
                    </w:rPr>
                  </w:pPr>
                  <w:r>
                    <w:rPr>
                      <w:rFonts w:hint="eastAsia" w:eastAsia="仿宋" w:cs="Times New Roman"/>
                      <w:b/>
                      <w:color w:val="auto"/>
                      <w:sz w:val="21"/>
                      <w:szCs w:val="21"/>
                      <w:highlight w:val="none"/>
                      <w:lang w:val="en-US" w:eastAsia="zh-CN"/>
                    </w:rPr>
                    <w:t>相对厂址方位</w:t>
                  </w:r>
                </w:p>
              </w:tc>
              <w:tc>
                <w:tcPr>
                  <w:tcW w:w="986" w:type="pct"/>
                  <w:tcBorders>
                    <w:tl2br w:val="nil"/>
                    <w:tr2bl w:val="nil"/>
                  </w:tcBorders>
                  <w:vAlign w:val="center"/>
                </w:tcPr>
                <w:p w14:paraId="52C984E2">
                  <w:pPr>
                    <w:pStyle w:val="31"/>
                    <w:rPr>
                      <w:rFonts w:hint="eastAsia" w:eastAsia="仿宋" w:cs="Times New Roman"/>
                      <w:b w:val="0"/>
                      <w:bCs/>
                      <w:color w:val="auto"/>
                      <w:sz w:val="21"/>
                      <w:szCs w:val="21"/>
                      <w:highlight w:val="none"/>
                      <w:lang w:val="en-US" w:eastAsia="zh-CN"/>
                    </w:rPr>
                  </w:pPr>
                  <w:r>
                    <w:rPr>
                      <w:rFonts w:hint="eastAsia" w:eastAsia="仿宋" w:cs="Times New Roman"/>
                      <w:b/>
                      <w:color w:val="auto"/>
                      <w:sz w:val="21"/>
                      <w:szCs w:val="21"/>
                      <w:highlight w:val="none"/>
                      <w:lang w:val="en-US" w:eastAsia="zh-CN"/>
                    </w:rPr>
                    <w:t>相对厂址距离</w:t>
                  </w:r>
                </w:p>
              </w:tc>
              <w:tc>
                <w:tcPr>
                  <w:tcW w:w="1071" w:type="pct"/>
                  <w:tcBorders>
                    <w:tl2br w:val="nil"/>
                    <w:tr2bl w:val="nil"/>
                  </w:tcBorders>
                  <w:vAlign w:val="center"/>
                </w:tcPr>
                <w:p w14:paraId="6056CC08">
                  <w:pPr>
                    <w:pStyle w:val="31"/>
                    <w:rPr>
                      <w:rFonts w:hint="default" w:ascii="Times New Roman" w:hAnsi="Times New Roman" w:eastAsia="仿宋" w:cs="Times New Roman"/>
                      <w:b w:val="0"/>
                      <w:bCs/>
                      <w:color w:val="auto"/>
                      <w:sz w:val="21"/>
                      <w:szCs w:val="21"/>
                      <w:highlight w:val="none"/>
                    </w:rPr>
                  </w:pPr>
                  <w:r>
                    <w:rPr>
                      <w:rFonts w:hint="eastAsia" w:eastAsia="仿宋" w:cs="Times New Roman"/>
                      <w:b/>
                      <w:color w:val="auto"/>
                      <w:sz w:val="21"/>
                      <w:szCs w:val="21"/>
                      <w:highlight w:val="none"/>
                      <w:lang w:val="en-US" w:eastAsia="zh-CN"/>
                    </w:rPr>
                    <w:t>监测时段</w:t>
                  </w:r>
                </w:p>
              </w:tc>
            </w:tr>
            <w:tr w14:paraId="4EF125F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693" w:type="pct"/>
                  <w:tcBorders>
                    <w:tl2br w:val="nil"/>
                    <w:tr2bl w:val="nil"/>
                  </w:tcBorders>
                  <w:vAlign w:val="center"/>
                </w:tcPr>
                <w:p w14:paraId="6305E542">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G1</w:t>
                  </w:r>
                </w:p>
              </w:tc>
              <w:tc>
                <w:tcPr>
                  <w:tcW w:w="798" w:type="pct"/>
                  <w:tcBorders>
                    <w:tl2br w:val="nil"/>
                    <w:tr2bl w:val="nil"/>
                  </w:tcBorders>
                  <w:vAlign w:val="center"/>
                </w:tcPr>
                <w:p w14:paraId="7FCCB610">
                  <w:pPr>
                    <w:pStyle w:val="31"/>
                    <w:rPr>
                      <w:rFonts w:hint="eastAsia" w:ascii="Times New Roman" w:hAnsi="Times New Roman" w:eastAsia="仿宋" w:cs="Times New Roman"/>
                      <w:b w:val="0"/>
                      <w:bCs/>
                      <w:color w:val="auto"/>
                      <w:sz w:val="21"/>
                      <w:szCs w:val="21"/>
                      <w:highlight w:val="none"/>
                    </w:rPr>
                  </w:pPr>
                  <w:r>
                    <w:rPr>
                      <w:rFonts w:hint="eastAsia" w:ascii="Times New Roman" w:hAnsi="Times New Roman" w:eastAsia="仿宋" w:cs="Times New Roman"/>
                      <w:b w:val="0"/>
                      <w:bCs/>
                      <w:color w:val="auto"/>
                      <w:sz w:val="21"/>
                      <w:szCs w:val="21"/>
                      <w:highlight w:val="none"/>
                    </w:rPr>
                    <w:t>建发泱誉雅苑东侧150m</w:t>
                  </w:r>
                </w:p>
              </w:tc>
              <w:tc>
                <w:tcPr>
                  <w:tcW w:w="594" w:type="pct"/>
                  <w:tcBorders>
                    <w:tl2br w:val="nil"/>
                    <w:tr2bl w:val="nil"/>
                  </w:tcBorders>
                  <w:vAlign w:val="center"/>
                </w:tcPr>
                <w:p w14:paraId="40815902">
                  <w:pPr>
                    <w:pStyle w:val="31"/>
                    <w:rPr>
                      <w:rFonts w:hint="eastAsia"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TSP</w:t>
                  </w:r>
                </w:p>
              </w:tc>
              <w:tc>
                <w:tcPr>
                  <w:tcW w:w="855" w:type="pct"/>
                  <w:tcBorders>
                    <w:tl2br w:val="nil"/>
                    <w:tr2bl w:val="nil"/>
                  </w:tcBorders>
                  <w:vAlign w:val="center"/>
                </w:tcPr>
                <w:p w14:paraId="7FC47FB6">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西南</w:t>
                  </w:r>
                </w:p>
              </w:tc>
              <w:tc>
                <w:tcPr>
                  <w:tcW w:w="986" w:type="pct"/>
                  <w:tcBorders>
                    <w:tl2br w:val="nil"/>
                    <w:tr2bl w:val="nil"/>
                  </w:tcBorders>
                  <w:vAlign w:val="center"/>
                </w:tcPr>
                <w:p w14:paraId="6C582F25">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~3400m</w:t>
                  </w:r>
                </w:p>
              </w:tc>
              <w:tc>
                <w:tcPr>
                  <w:tcW w:w="1071" w:type="pct"/>
                  <w:tcBorders>
                    <w:tl2br w:val="nil"/>
                    <w:tr2bl w:val="nil"/>
                  </w:tcBorders>
                  <w:vAlign w:val="center"/>
                </w:tcPr>
                <w:p w14:paraId="06FDFA97">
                  <w:pPr>
                    <w:pStyle w:val="31"/>
                    <w:rPr>
                      <w:rFonts w:hint="default" w:ascii="Times New Roman" w:hAnsi="Times New Roman" w:eastAsia="仿宋" w:cs="Times New Roman"/>
                      <w:b w:val="0"/>
                      <w:bCs/>
                      <w:color w:val="auto"/>
                      <w:sz w:val="21"/>
                      <w:szCs w:val="21"/>
                      <w:highlight w:val="none"/>
                    </w:rPr>
                  </w:pPr>
                  <w:r>
                    <w:rPr>
                      <w:rFonts w:hint="default" w:ascii="Times New Roman" w:hAnsi="Times New Roman" w:eastAsia="仿宋" w:cs="Times New Roman"/>
                      <w:b w:val="0"/>
                      <w:bCs/>
                      <w:color w:val="auto"/>
                      <w:sz w:val="21"/>
                      <w:szCs w:val="21"/>
                      <w:highlight w:val="none"/>
                    </w:rPr>
                    <w:t>2026年3月05~2026年3月07日</w:t>
                  </w:r>
                </w:p>
              </w:tc>
            </w:tr>
          </w:tbl>
          <w:p w14:paraId="23476526">
            <w:pPr>
              <w:keepNext w:val="0"/>
              <w:keepLines w:val="0"/>
              <w:pageBreakBefore w:val="0"/>
              <w:suppressLineNumbers w:val="0"/>
              <w:kinsoku/>
              <w:wordWrap/>
              <w:overflowPunct/>
              <w:topLinePunct w:val="0"/>
              <w:bidi w:val="0"/>
              <w:spacing w:before="0" w:beforeAutospacing="0" w:afterAutospacing="0" w:line="360" w:lineRule="auto"/>
              <w:ind w:right="0"/>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5850255" cy="3429635"/>
                  <wp:effectExtent l="0" t="0" r="17145" b="1841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7"/>
                          <a:stretch>
                            <a:fillRect/>
                          </a:stretch>
                        </pic:blipFill>
                        <pic:spPr>
                          <a:xfrm>
                            <a:off x="0" y="0"/>
                            <a:ext cx="5850255" cy="3429635"/>
                          </a:xfrm>
                          <a:prstGeom prst="rect">
                            <a:avLst/>
                          </a:prstGeom>
                          <a:noFill/>
                          <a:ln>
                            <a:noFill/>
                          </a:ln>
                        </pic:spPr>
                      </pic:pic>
                    </a:graphicData>
                  </a:graphic>
                </wp:inline>
              </w:drawing>
            </w:r>
          </w:p>
          <w:p w14:paraId="2810D3D9">
            <w:pPr>
              <w:keepNext w:val="0"/>
              <w:keepLines w:val="0"/>
              <w:pageBreakBefore w:val="0"/>
              <w:suppressLineNumbers w:val="0"/>
              <w:kinsoku/>
              <w:wordWrap/>
              <w:overflowPunct/>
              <w:topLinePunct w:val="0"/>
              <w:bidi w:val="0"/>
              <w:spacing w:before="0" w:beforeAutospacing="0" w:afterAutospacing="0" w:line="360" w:lineRule="auto"/>
              <w:ind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图3-1 </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监测点位图</w:t>
            </w:r>
          </w:p>
          <w:p w14:paraId="73C7CE9A">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监测及评价结果见表3-</w:t>
            </w:r>
            <w:r>
              <w:rPr>
                <w:rFonts w:hint="eastAsia" w:cs="Times New Roman"/>
                <w:color w:val="auto"/>
                <w:sz w:val="24"/>
                <w:szCs w:val="24"/>
                <w:lang w:val="en-US" w:eastAsia="zh-CN"/>
              </w:rPr>
              <w:t>3。</w:t>
            </w:r>
          </w:p>
          <w:p w14:paraId="0D52B363">
            <w:pPr>
              <w:numPr>
                <w:ilvl w:val="0"/>
                <w:numId w:val="4"/>
              </w:numPr>
              <w:adjustRightInd w:val="0"/>
              <w:snapToGrid w:val="0"/>
              <w:jc w:val="center"/>
              <w:rPr>
                <w:b/>
                <w:color w:val="auto"/>
                <w:sz w:val="24"/>
                <w:szCs w:val="24"/>
                <w:highlight w:val="none"/>
              </w:rPr>
            </w:pPr>
            <w:r>
              <w:rPr>
                <w:b/>
                <w:color w:val="auto"/>
                <w:sz w:val="24"/>
                <w:szCs w:val="24"/>
                <w:highlight w:val="none"/>
              </w:rPr>
              <w:t>声环境质量标准</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025"/>
              <w:gridCol w:w="1608"/>
              <w:gridCol w:w="1303"/>
              <w:gridCol w:w="1481"/>
              <w:gridCol w:w="1316"/>
              <w:gridCol w:w="761"/>
              <w:gridCol w:w="804"/>
            </w:tblGrid>
            <w:tr w14:paraId="6D4CB0E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81" w:type="pct"/>
                  <w:tcBorders>
                    <w:tl2br w:val="nil"/>
                    <w:tr2bl w:val="nil"/>
                  </w:tcBorders>
                  <w:vAlign w:val="center"/>
                </w:tcPr>
                <w:p w14:paraId="6DF063AE">
                  <w:pPr>
                    <w:pStyle w:val="31"/>
                    <w:rPr>
                      <w:rFonts w:hint="eastAsia" w:eastAsia="仿宋" w:cs="Times New Roman"/>
                      <w:b w:val="0"/>
                      <w:bCs/>
                      <w:color w:val="auto"/>
                      <w:sz w:val="21"/>
                      <w:szCs w:val="21"/>
                      <w:highlight w:val="none"/>
                      <w:lang w:val="en-US" w:eastAsia="zh-CN"/>
                    </w:rPr>
                  </w:pPr>
                  <w:r>
                    <w:rPr>
                      <w:rFonts w:hint="eastAsia" w:eastAsia="仿宋" w:cs="Times New Roman"/>
                      <w:b/>
                      <w:color w:val="auto"/>
                      <w:sz w:val="21"/>
                      <w:szCs w:val="21"/>
                      <w:highlight w:val="none"/>
                      <w:lang w:val="en-US" w:eastAsia="zh-CN"/>
                    </w:rPr>
                    <w:t>监测点编号</w:t>
                  </w:r>
                </w:p>
              </w:tc>
              <w:tc>
                <w:tcPr>
                  <w:tcW w:w="558" w:type="pct"/>
                  <w:tcBorders>
                    <w:tl2br w:val="nil"/>
                    <w:tr2bl w:val="nil"/>
                  </w:tcBorders>
                  <w:vAlign w:val="center"/>
                </w:tcPr>
                <w:p w14:paraId="10FBF002">
                  <w:pPr>
                    <w:pStyle w:val="31"/>
                    <w:rPr>
                      <w:rFonts w:hint="eastAsia"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污染物</w:t>
                  </w:r>
                </w:p>
              </w:tc>
              <w:tc>
                <w:tcPr>
                  <w:tcW w:w="875" w:type="pct"/>
                  <w:tcBorders>
                    <w:tl2br w:val="nil"/>
                    <w:tr2bl w:val="nil"/>
                  </w:tcBorders>
                  <w:vAlign w:val="center"/>
                </w:tcPr>
                <w:p w14:paraId="462A14A7">
                  <w:pPr>
                    <w:pStyle w:val="31"/>
                    <w:rPr>
                      <w:rFonts w:hint="default"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平均时间</w:t>
                  </w:r>
                </w:p>
              </w:tc>
              <w:tc>
                <w:tcPr>
                  <w:tcW w:w="709" w:type="pct"/>
                  <w:tcBorders>
                    <w:tl2br w:val="nil"/>
                    <w:tr2bl w:val="nil"/>
                  </w:tcBorders>
                  <w:vAlign w:val="center"/>
                </w:tcPr>
                <w:p w14:paraId="11E44CF1">
                  <w:pPr>
                    <w:pStyle w:val="31"/>
                    <w:rPr>
                      <w:rFonts w:hint="default"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评价标准/（mg/m</w:t>
                  </w:r>
                  <w:r>
                    <w:rPr>
                      <w:rFonts w:hint="eastAsia" w:eastAsia="仿宋" w:cs="Times New Roman"/>
                      <w:b/>
                      <w:bCs w:val="0"/>
                      <w:color w:val="auto"/>
                      <w:sz w:val="21"/>
                      <w:szCs w:val="21"/>
                      <w:highlight w:val="none"/>
                      <w:vertAlign w:val="superscript"/>
                      <w:lang w:val="en-US" w:eastAsia="zh-CN"/>
                    </w:rPr>
                    <w:t>3</w:t>
                  </w:r>
                  <w:r>
                    <w:rPr>
                      <w:rFonts w:hint="eastAsia" w:eastAsia="仿宋" w:cs="Times New Roman"/>
                      <w:b/>
                      <w:bCs w:val="0"/>
                      <w:color w:val="auto"/>
                      <w:sz w:val="21"/>
                      <w:szCs w:val="21"/>
                      <w:highlight w:val="none"/>
                      <w:lang w:val="en-US" w:eastAsia="zh-CN"/>
                    </w:rPr>
                    <w:t>）</w:t>
                  </w:r>
                </w:p>
              </w:tc>
              <w:tc>
                <w:tcPr>
                  <w:tcW w:w="806" w:type="pct"/>
                  <w:tcBorders>
                    <w:tl2br w:val="nil"/>
                    <w:tr2bl w:val="nil"/>
                  </w:tcBorders>
                  <w:vAlign w:val="center"/>
                </w:tcPr>
                <w:p w14:paraId="42740C02">
                  <w:pPr>
                    <w:pStyle w:val="31"/>
                    <w:rPr>
                      <w:rFonts w:hint="default"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监测浓度范围/（mg/m</w:t>
                  </w:r>
                  <w:r>
                    <w:rPr>
                      <w:rFonts w:hint="eastAsia" w:eastAsia="仿宋" w:cs="Times New Roman"/>
                      <w:b/>
                      <w:bCs w:val="0"/>
                      <w:color w:val="auto"/>
                      <w:sz w:val="21"/>
                      <w:szCs w:val="21"/>
                      <w:highlight w:val="none"/>
                      <w:vertAlign w:val="superscript"/>
                      <w:lang w:val="en-US" w:eastAsia="zh-CN"/>
                    </w:rPr>
                    <w:t>3</w:t>
                  </w:r>
                  <w:r>
                    <w:rPr>
                      <w:rFonts w:hint="eastAsia" w:eastAsia="仿宋" w:cs="Times New Roman"/>
                      <w:b/>
                      <w:bCs w:val="0"/>
                      <w:color w:val="auto"/>
                      <w:sz w:val="21"/>
                      <w:szCs w:val="21"/>
                      <w:highlight w:val="none"/>
                      <w:lang w:val="en-US" w:eastAsia="zh-CN"/>
                    </w:rPr>
                    <w:t>）</w:t>
                  </w:r>
                </w:p>
              </w:tc>
              <w:tc>
                <w:tcPr>
                  <w:tcW w:w="716" w:type="pct"/>
                  <w:tcBorders>
                    <w:tl2br w:val="nil"/>
                    <w:tr2bl w:val="nil"/>
                  </w:tcBorders>
                  <w:vAlign w:val="center"/>
                </w:tcPr>
                <w:p w14:paraId="15381395">
                  <w:pPr>
                    <w:pStyle w:val="31"/>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最大浓度占标率/%</w:t>
                  </w:r>
                </w:p>
              </w:tc>
              <w:tc>
                <w:tcPr>
                  <w:tcW w:w="414" w:type="pct"/>
                  <w:tcBorders>
                    <w:tl2br w:val="nil"/>
                    <w:tr2bl w:val="nil"/>
                  </w:tcBorders>
                  <w:vAlign w:val="center"/>
                </w:tcPr>
                <w:p w14:paraId="4E197716">
                  <w:pPr>
                    <w:pStyle w:val="31"/>
                    <w:rPr>
                      <w:rFonts w:hint="default"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超标率/%</w:t>
                  </w:r>
                </w:p>
              </w:tc>
              <w:tc>
                <w:tcPr>
                  <w:tcW w:w="437" w:type="pct"/>
                  <w:tcBorders>
                    <w:tl2br w:val="nil"/>
                    <w:tr2bl w:val="nil"/>
                  </w:tcBorders>
                  <w:vAlign w:val="center"/>
                </w:tcPr>
                <w:p w14:paraId="634F4F01">
                  <w:pPr>
                    <w:pStyle w:val="31"/>
                    <w:rPr>
                      <w:rFonts w:hint="default"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达标情况</w:t>
                  </w:r>
                </w:p>
              </w:tc>
            </w:tr>
            <w:tr w14:paraId="5EF12BC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81" w:type="pct"/>
                  <w:tcBorders>
                    <w:tl2br w:val="nil"/>
                    <w:tr2bl w:val="nil"/>
                  </w:tcBorders>
                  <w:vAlign w:val="center"/>
                </w:tcPr>
                <w:p w14:paraId="04A95A1E">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G1</w:t>
                  </w:r>
                </w:p>
              </w:tc>
              <w:tc>
                <w:tcPr>
                  <w:tcW w:w="558" w:type="pct"/>
                  <w:tcBorders>
                    <w:tl2br w:val="nil"/>
                    <w:tr2bl w:val="nil"/>
                  </w:tcBorders>
                  <w:vAlign w:val="center"/>
                </w:tcPr>
                <w:p w14:paraId="17756B3F">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TSP</w:t>
                  </w:r>
                </w:p>
              </w:tc>
              <w:tc>
                <w:tcPr>
                  <w:tcW w:w="875" w:type="pct"/>
                  <w:tcBorders>
                    <w:tl2br w:val="nil"/>
                    <w:tr2bl w:val="nil"/>
                  </w:tcBorders>
                  <w:vAlign w:val="center"/>
                </w:tcPr>
                <w:p w14:paraId="0CD29FE1">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24小时平均</w:t>
                  </w:r>
                </w:p>
              </w:tc>
              <w:tc>
                <w:tcPr>
                  <w:tcW w:w="709" w:type="pct"/>
                  <w:tcBorders>
                    <w:tl2br w:val="nil"/>
                    <w:tr2bl w:val="nil"/>
                  </w:tcBorders>
                  <w:vAlign w:val="center"/>
                </w:tcPr>
                <w:p w14:paraId="2CBD8DFB">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0.3</w:t>
                  </w:r>
                </w:p>
              </w:tc>
              <w:tc>
                <w:tcPr>
                  <w:tcW w:w="806" w:type="pct"/>
                  <w:tcBorders>
                    <w:tl2br w:val="nil"/>
                    <w:tr2bl w:val="nil"/>
                  </w:tcBorders>
                  <w:vAlign w:val="center"/>
                </w:tcPr>
                <w:p w14:paraId="441B48A1">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0.067-0.079</w:t>
                  </w:r>
                </w:p>
              </w:tc>
              <w:tc>
                <w:tcPr>
                  <w:tcW w:w="716" w:type="pct"/>
                  <w:tcBorders>
                    <w:tl2br w:val="nil"/>
                    <w:tr2bl w:val="nil"/>
                  </w:tcBorders>
                  <w:vAlign w:val="center"/>
                </w:tcPr>
                <w:p w14:paraId="0D3D59C8">
                  <w:pPr>
                    <w:pStyle w:val="31"/>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26.3</w:t>
                  </w:r>
                </w:p>
              </w:tc>
              <w:tc>
                <w:tcPr>
                  <w:tcW w:w="414" w:type="pct"/>
                  <w:tcBorders>
                    <w:tl2br w:val="nil"/>
                    <w:tr2bl w:val="nil"/>
                  </w:tcBorders>
                  <w:vAlign w:val="center"/>
                </w:tcPr>
                <w:p w14:paraId="7A4F07A7">
                  <w:pPr>
                    <w:pStyle w:val="31"/>
                    <w:rPr>
                      <w:rFonts w:hint="eastAsia"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w:t>
                  </w:r>
                </w:p>
              </w:tc>
              <w:tc>
                <w:tcPr>
                  <w:tcW w:w="437" w:type="pct"/>
                  <w:tcBorders>
                    <w:tl2br w:val="nil"/>
                    <w:tr2bl w:val="nil"/>
                  </w:tcBorders>
                  <w:vAlign w:val="center"/>
                </w:tcPr>
                <w:p w14:paraId="4DB02F7D">
                  <w:pPr>
                    <w:pStyle w:val="31"/>
                    <w:rPr>
                      <w:rFonts w:hint="eastAsia"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达标</w:t>
                  </w:r>
                </w:p>
              </w:tc>
            </w:tr>
          </w:tbl>
          <w:p w14:paraId="352B1A62">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监测结果表明：TSP的日均浓度值满足《环境空气质量标准》（GB3095-2026）表1中过度阶段浓度限值的二级浓度限值</w:t>
            </w:r>
            <w:r>
              <w:rPr>
                <w:rFonts w:hint="eastAsia" w:cs="Times New Roman"/>
                <w:color w:val="auto"/>
                <w:sz w:val="24"/>
                <w:szCs w:val="24"/>
                <w:lang w:val="en-US" w:eastAsia="zh-CN"/>
              </w:rPr>
              <w:t>。</w:t>
            </w:r>
          </w:p>
          <w:p w14:paraId="1A9D9885">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地表水环境现状</w:t>
            </w:r>
          </w:p>
          <w:p w14:paraId="32F69527">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14:paraId="28E92FB2">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2024年，全市地表水环境质量稳中向好，国、省考断面水质均达到年度考核目标要求，太湖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连续17年实现安全度夏。</w:t>
            </w:r>
          </w:p>
          <w:p w14:paraId="2E8D4D3F">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default" w:ascii="Times New Roman" w:hAnsi="Times New Roman" w:eastAsia="宋体" w:cs="Times New Roman"/>
                <w:color w:val="auto"/>
                <w:sz w:val="24"/>
                <w:szCs w:val="24"/>
              </w:rPr>
              <w:t>根据《江苏省2024年水生态环境保护工作计划》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苏污防攻坚指办</w:t>
            </w:r>
            <w:r>
              <w:rPr>
                <w:rFonts w:hint="eastAsia"/>
                <w:color w:val="auto"/>
                <w:kern w:val="0"/>
                <w:sz w:val="24"/>
                <w:szCs w:val="24"/>
                <w:lang w:eastAsia="zh-CN"/>
              </w:rPr>
              <w:t>〔</w:t>
            </w:r>
            <w:r>
              <w:rPr>
                <w:rFonts w:hint="eastAsia"/>
                <w:color w:val="auto"/>
                <w:kern w:val="0"/>
                <w:sz w:val="24"/>
                <w:szCs w:val="24"/>
                <w:lang w:val="en-US" w:eastAsia="zh-CN"/>
              </w:rPr>
              <w:t>2024</w:t>
            </w:r>
            <w:r>
              <w:rPr>
                <w:rFonts w:hint="eastAsia"/>
                <w:color w:val="auto"/>
                <w:kern w:val="0"/>
                <w:sz w:val="24"/>
                <w:szCs w:val="24"/>
                <w:lang w:eastAsia="zh-CN"/>
              </w:rPr>
              <w:t>〕</w:t>
            </w:r>
            <w:r>
              <w:rPr>
                <w:rFonts w:hint="default" w:ascii="Times New Roman" w:hAnsi="Times New Roman" w:eastAsia="宋体" w:cs="Times New Roman"/>
                <w:color w:val="auto"/>
                <w:sz w:val="24"/>
                <w:szCs w:val="24"/>
              </w:rPr>
              <w:t>35号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，全市共13个县级及以上城市集中式饮用水水源地，均为集中式供水。2024年取水总量约为15.20亿吨，主要取水水源长江和太湖取水量分别约占取水总量的32.1%和54.3%。依据《地表水环境质量标准》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3838-2002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评价，水质均达到或优于Ⅲ类标准，全部达到考核目标要求</w:t>
            </w:r>
            <w:r>
              <w:rPr>
                <w:rFonts w:hint="eastAsia" w:cs="Times New Roman"/>
                <w:color w:val="auto"/>
                <w:sz w:val="24"/>
                <w:szCs w:val="24"/>
                <w:lang w:eastAsia="zh-CN"/>
              </w:rPr>
              <w:t>。</w:t>
            </w:r>
          </w:p>
          <w:p w14:paraId="2993E495">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2024年，纳入“十四五”国家地表水环境质量考核的30个断面中，年均水质达到或好于《地表水环境质量标准》（GB</w:t>
            </w:r>
            <w:r>
              <w:rPr>
                <w:rFonts w:hint="eastAsia" w:cs="Times New Roman"/>
                <w:color w:val="auto"/>
                <w:sz w:val="24"/>
                <w:szCs w:val="24"/>
                <w:lang w:val="en-US" w:eastAsia="zh-CN"/>
              </w:rPr>
              <w:t xml:space="preserve"> </w:t>
            </w:r>
            <w:r>
              <w:rPr>
                <w:rFonts w:hint="eastAsia" w:cs="Times New Roman"/>
                <w:color w:val="auto"/>
                <w:sz w:val="24"/>
                <w:szCs w:val="24"/>
                <w:lang w:eastAsia="zh-CN"/>
              </w:rPr>
              <w:t>3838-2002）</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类标准的断面比例为93.3%，同比持平；未达</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类的2个断面为</w:t>
            </w:r>
            <w:r>
              <w:rPr>
                <w:rFonts w:hint="default" w:ascii="Times New Roman" w:hAnsi="Times New Roman" w:eastAsia="微软雅黑" w:cs="Times New Roman"/>
                <w:color w:val="auto"/>
                <w:sz w:val="24"/>
                <w:szCs w:val="24"/>
                <w:lang w:eastAsia="zh-CN"/>
              </w:rPr>
              <w:t>Ⅳ</w:t>
            </w:r>
            <w:r>
              <w:rPr>
                <w:rFonts w:hint="eastAsia" w:cs="Times New Roman"/>
                <w:color w:val="auto"/>
                <w:sz w:val="24"/>
                <w:szCs w:val="24"/>
                <w:lang w:eastAsia="zh-CN"/>
              </w:rPr>
              <w:t>类（均为湖泊）。年均水质达到</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类标准的断面比例为63.3%，同比上升10.0个百分点，</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类水体比例全省第一。</w:t>
            </w:r>
          </w:p>
          <w:p w14:paraId="2413280C">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eastAsia" w:cs="Times New Roman"/>
                <w:color w:val="auto"/>
                <w:sz w:val="24"/>
                <w:szCs w:val="24"/>
                <w:lang w:eastAsia="zh-CN"/>
              </w:rPr>
            </w:pPr>
            <w:r>
              <w:rPr>
                <w:rFonts w:hint="eastAsia" w:cs="Times New Roman"/>
                <w:color w:val="auto"/>
                <w:sz w:val="24"/>
                <w:szCs w:val="24"/>
                <w:lang w:eastAsia="zh-CN"/>
              </w:rPr>
              <w:t>2024年，纳入江苏省“十四五”水环境质量考核的80个地表水断面（含国考断面）中，年均水质达到或好于《地表水环境质量标准》（GB</w:t>
            </w:r>
            <w:r>
              <w:rPr>
                <w:rFonts w:hint="eastAsia" w:cs="Times New Roman"/>
                <w:color w:val="auto"/>
                <w:sz w:val="24"/>
                <w:szCs w:val="24"/>
                <w:lang w:val="en-US" w:eastAsia="zh-CN"/>
              </w:rPr>
              <w:t xml:space="preserve"> </w:t>
            </w:r>
            <w:r>
              <w:rPr>
                <w:rFonts w:hint="eastAsia" w:cs="Times New Roman"/>
                <w:color w:val="auto"/>
                <w:sz w:val="24"/>
                <w:szCs w:val="24"/>
                <w:lang w:eastAsia="zh-CN"/>
              </w:rPr>
              <w:t>3838-2002）</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类标准的断面比例为97.5%，同比上升2.5个百分点；未达</w:t>
            </w:r>
            <w:r>
              <w:rPr>
                <w:rFonts w:hint="default" w:ascii="Times New Roman" w:hAnsi="Times New Roman" w:eastAsia="宋体" w:cs="Times New Roman"/>
                <w:color w:val="auto"/>
                <w:sz w:val="24"/>
                <w:szCs w:val="24"/>
              </w:rPr>
              <w:t>Ⅲ</w:t>
            </w:r>
            <w:r>
              <w:rPr>
                <w:rFonts w:hint="eastAsia" w:cs="Times New Roman"/>
                <w:color w:val="auto"/>
                <w:sz w:val="24"/>
                <w:szCs w:val="24"/>
                <w:lang w:eastAsia="zh-CN"/>
              </w:rPr>
              <w:t>类的2个断面为</w:t>
            </w:r>
            <w:r>
              <w:rPr>
                <w:rFonts w:hint="default" w:ascii="Times New Roman" w:hAnsi="Times New Roman" w:eastAsia="微软雅黑" w:cs="Times New Roman"/>
                <w:color w:val="auto"/>
                <w:sz w:val="24"/>
                <w:szCs w:val="24"/>
                <w:lang w:eastAsia="zh-CN"/>
              </w:rPr>
              <w:t>Ⅳ</w:t>
            </w:r>
            <w:r>
              <w:rPr>
                <w:rFonts w:hint="eastAsia" w:cs="Times New Roman"/>
                <w:color w:val="auto"/>
                <w:sz w:val="24"/>
                <w:szCs w:val="24"/>
                <w:lang w:eastAsia="zh-CN"/>
              </w:rPr>
              <w:t>类（均为湖泊）。年均水质达到</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类标准的断面比例为68.8%，同比上升2.5个百分点，</w:t>
            </w:r>
            <w:r>
              <w:rPr>
                <w:rFonts w:hint="default" w:ascii="Times New Roman" w:hAnsi="Times New Roman" w:cs="Times New Roman"/>
                <w:color w:val="auto"/>
                <w:sz w:val="24"/>
                <w:szCs w:val="24"/>
                <w:lang w:eastAsia="zh-CN"/>
              </w:rPr>
              <w:t>Ⅱ</w:t>
            </w:r>
            <w:r>
              <w:rPr>
                <w:rFonts w:hint="eastAsia" w:cs="Times New Roman"/>
                <w:color w:val="auto"/>
                <w:sz w:val="24"/>
                <w:szCs w:val="24"/>
                <w:lang w:eastAsia="zh-CN"/>
              </w:rPr>
              <w:t>类水体比例全省第二。</w:t>
            </w:r>
          </w:p>
          <w:p w14:paraId="3CF19AC9">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2024年，长江</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总体水质稳定在优级水平。长江干流</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各断面水质均达Ⅱ类，同比持平。主要通江河道水质均达到或优于Ⅲ类，同比持平，Ⅱ类水体断面23个，同比减少1个。</w:t>
            </w:r>
          </w:p>
          <w:p w14:paraId="62F6C559">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总体水质为Ⅲ类。湖体高锰酸盐指数和氨氮平均浓度分别为2.8毫克/升和0.06毫克/升，保持在Ⅱ类和I类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总磷平均浓度为0.042毫克/升，保持在Ⅲ类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总氮平均浓度为1.22毫克/升</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综合营养状态指数为50.4，处于轻度富营养状态。</w:t>
            </w:r>
          </w:p>
          <w:p w14:paraId="211BCFAF">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主要入湖河流望虞河水质稳定达到Ⅱ类。</w:t>
            </w:r>
          </w:p>
          <w:p w14:paraId="49B39512">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2024年3月至10月安全度夏期间，通过卫星遥感监测发现太湖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苏州辖区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共计出现蓝藻水华40次，同比增加7次，最大聚集面积112平方千米，平均面积21.8平方千米，与2023年相比，最大发生面积下降32.9%，平均发生面积下降42.6%。</w:t>
            </w:r>
          </w:p>
          <w:p w14:paraId="468F96F6">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2024年，国考断面阳澄湖心水质保持Ⅲ类。高锰酸盐指数和</w:t>
            </w:r>
            <w:r>
              <w:rPr>
                <w:rFonts w:hint="eastAsia" w:cs="Times New Roman"/>
                <w:color w:val="auto"/>
                <w:sz w:val="24"/>
                <w:szCs w:val="24"/>
                <w:lang w:val="en-US" w:eastAsia="zh-CN"/>
              </w:rPr>
              <w:t>氨氮</w:t>
            </w:r>
            <w:r>
              <w:rPr>
                <w:rFonts w:hint="default" w:ascii="Times New Roman" w:hAnsi="Times New Roman" w:eastAsia="宋体" w:cs="Times New Roman"/>
                <w:color w:val="auto"/>
                <w:sz w:val="24"/>
                <w:szCs w:val="24"/>
              </w:rPr>
              <w:t>平均浓度为3.9毫克/升和0.05毫克/升，保持在Ⅱ类和I类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总磷平均浓度为0.047毫克/升，保持在Ⅲ类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总氮平均浓度为1.25毫克/升</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综合营养状态指数为53.1，处于轻度富营养状态。</w:t>
            </w:r>
          </w:p>
          <w:p w14:paraId="557C800B">
            <w:pPr>
              <w:keepNext w:val="0"/>
              <w:keepLines w:val="0"/>
              <w:pageBreakBefore w:val="0"/>
              <w:suppressLineNumbers w:val="0"/>
              <w:kinsoku/>
              <w:wordWrap/>
              <w:overflowPunct/>
              <w:topLinePunct w:val="0"/>
              <w:bidi w:val="0"/>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2024年，京杭大运河</w:t>
            </w:r>
            <w:r>
              <w:rPr>
                <w:rFonts w:hint="eastAsia" w:cs="Times New Roman"/>
                <w:color w:val="auto"/>
                <w:sz w:val="24"/>
                <w:szCs w:val="24"/>
                <w:lang w:eastAsia="zh-CN"/>
              </w:rPr>
              <w:t>（</w:t>
            </w:r>
            <w:r>
              <w:rPr>
                <w:rFonts w:hint="eastAsia" w:cs="Times New Roman"/>
                <w:color w:val="auto"/>
                <w:sz w:val="24"/>
                <w:szCs w:val="24"/>
                <w:lang w:val="en-US" w:eastAsia="zh-CN"/>
              </w:rPr>
              <w:t>苏州段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水质稳定在优级水平。沿线5个省考及以上监测断面水质均达到Ⅲ类，同比持平。</w:t>
            </w:r>
          </w:p>
          <w:p w14:paraId="55540F43">
            <w:pPr>
              <w:spacing w:line="360" w:lineRule="auto"/>
              <w:ind w:firstLine="480" w:firstLineChars="200"/>
              <w:rPr>
                <w:rFonts w:hint="eastAsia" w:ascii="Times New Roman" w:hAnsi="Times New Roman" w:cs="Times New Roman"/>
                <w:b w:val="0"/>
                <w:bCs w:val="0"/>
                <w:color w:val="auto"/>
                <w:spacing w:val="-6"/>
                <w:sz w:val="24"/>
                <w:highlight w:val="none"/>
                <w:u w:val="none"/>
                <w:lang w:val="en-US" w:eastAsia="zh-CN"/>
              </w:rPr>
            </w:pPr>
            <w:r>
              <w:rPr>
                <w:rFonts w:hint="default" w:ascii="Times New Roman" w:hAnsi="Times New Roman" w:eastAsia="宋体" w:cs="Times New Roman"/>
                <w:color w:val="auto"/>
                <w:sz w:val="24"/>
                <w:szCs w:val="24"/>
                <w:highlight w:val="none"/>
              </w:rPr>
              <w:t>根据《江苏省地表水（环境）功能区划（2021-2030）》的划分，</w:t>
            </w:r>
            <w:r>
              <w:rPr>
                <w:rFonts w:hint="eastAsia" w:ascii="Times New Roman" w:hAnsi="Times New Roman" w:cs="Times New Roman"/>
                <w:b w:val="0"/>
                <w:bCs w:val="0"/>
                <w:color w:val="auto"/>
                <w:spacing w:val="-6"/>
                <w:sz w:val="24"/>
                <w:highlight w:val="none"/>
                <w:u w:val="none"/>
                <w:lang w:val="en-US" w:eastAsia="zh-CN"/>
              </w:rPr>
              <w:t>纳污水体</w:t>
            </w:r>
            <w:r>
              <w:rPr>
                <w:rFonts w:hint="eastAsia" w:cs="Times New Roman"/>
                <w:b w:val="0"/>
                <w:bCs w:val="0"/>
                <w:color w:val="auto"/>
                <w:spacing w:val="-6"/>
                <w:sz w:val="24"/>
                <w:highlight w:val="none"/>
                <w:u w:val="none"/>
                <w:lang w:val="en-US" w:eastAsia="zh-CN"/>
              </w:rPr>
              <w:t>元和塘水质各项指标执行</w:t>
            </w:r>
            <w:r>
              <w:rPr>
                <w:rFonts w:hint="eastAsia" w:ascii="Times New Roman" w:hAnsi="Times New Roman" w:cs="Times New Roman"/>
                <w:b w:val="0"/>
                <w:bCs w:val="0"/>
                <w:color w:val="auto"/>
                <w:spacing w:val="-6"/>
                <w:sz w:val="24"/>
                <w:highlight w:val="none"/>
                <w:u w:val="none"/>
                <w:lang w:val="en-US" w:eastAsia="zh-CN"/>
              </w:rPr>
              <w:t>《地表水环境质量标准》</w:t>
            </w:r>
            <w:r>
              <w:rPr>
                <w:rFonts w:hint="default" w:ascii="Times New Roman" w:hAnsi="Times New Roman" w:eastAsia="宋体" w:cs="Times New Roman"/>
                <w:b w:val="0"/>
                <w:bCs w:val="0"/>
                <w:color w:val="auto"/>
                <w:spacing w:val="-6"/>
                <w:sz w:val="24"/>
                <w:highlight w:val="none"/>
                <w:u w:val="none"/>
                <w:lang w:val="en-US" w:eastAsia="zh-CN"/>
              </w:rPr>
              <w:t>（GB 3838-2002）Ⅳ</w:t>
            </w:r>
            <w:r>
              <w:rPr>
                <w:rFonts w:hint="default" w:ascii="Times New Roman" w:hAnsi="Times New Roman" w:cs="Times New Roman"/>
                <w:b w:val="0"/>
                <w:bCs w:val="0"/>
                <w:color w:val="auto"/>
                <w:spacing w:val="-6"/>
                <w:sz w:val="24"/>
                <w:highlight w:val="none"/>
                <w:u w:val="none"/>
              </w:rPr>
              <w:t>类</w:t>
            </w:r>
            <w:r>
              <w:rPr>
                <w:rFonts w:hint="eastAsia" w:cs="Times New Roman"/>
                <w:b w:val="0"/>
                <w:bCs w:val="0"/>
                <w:color w:val="auto"/>
                <w:spacing w:val="-6"/>
                <w:sz w:val="24"/>
                <w:highlight w:val="none"/>
                <w:u w:val="none"/>
                <w:lang w:val="en-US" w:eastAsia="zh-CN"/>
              </w:rPr>
              <w:t>限值</w:t>
            </w:r>
            <w:r>
              <w:rPr>
                <w:rFonts w:hint="eastAsia" w:ascii="Times New Roman" w:hAnsi="Times New Roman" w:cs="Times New Roman"/>
                <w:b w:val="0"/>
                <w:bCs w:val="0"/>
                <w:color w:val="auto"/>
                <w:spacing w:val="-6"/>
                <w:sz w:val="24"/>
                <w:highlight w:val="none"/>
                <w:u w:val="none"/>
                <w:lang w:val="en-US" w:eastAsia="zh-CN"/>
              </w:rPr>
              <w:t>要求。</w:t>
            </w:r>
          </w:p>
          <w:p w14:paraId="640297FD">
            <w:pPr>
              <w:spacing w:line="360" w:lineRule="auto"/>
              <w:ind w:firstLine="456" w:firstLineChars="200"/>
              <w:rPr>
                <w:rFonts w:hint="eastAsia" w:eastAsia="宋体"/>
                <w:color w:val="auto"/>
                <w:spacing w:val="-6"/>
                <w:sz w:val="24"/>
                <w:highlight w:val="none"/>
                <w:u w:val="none"/>
                <w:lang w:eastAsia="zh-CN"/>
              </w:rPr>
            </w:pPr>
            <w:r>
              <w:rPr>
                <w:rFonts w:hint="eastAsia"/>
                <w:color w:val="auto"/>
                <w:spacing w:val="-6"/>
                <w:sz w:val="24"/>
                <w:highlight w:val="none"/>
                <w:u w:val="none"/>
              </w:rPr>
              <w:t>本项目废水排入苏州高铁苏水水务有限公司（高铁新城污水厂）集中处理达标后排放，达标尾水最终汇入元和塘，元和塘地表水现状引用《苏州市元和塘（相城段）治理工程建设项目竣工环境保护验收调查报告》中D3监测点（元和塘与永昌泾交叉口）2023年11月21日~11月22日的现状监测，结果见</w:t>
            </w:r>
            <w:r>
              <w:rPr>
                <w:rFonts w:hint="eastAsia"/>
                <w:color w:val="auto"/>
                <w:spacing w:val="-6"/>
                <w:sz w:val="24"/>
                <w:highlight w:val="none"/>
                <w:u w:val="none"/>
                <w:lang w:val="en-US" w:eastAsia="zh-CN"/>
              </w:rPr>
              <w:t>下表。</w:t>
            </w:r>
          </w:p>
          <w:p w14:paraId="64E961BF">
            <w:pPr>
              <w:numPr>
                <w:ilvl w:val="0"/>
                <w:numId w:val="4"/>
              </w:numPr>
              <w:adjustRightInd w:val="0"/>
              <w:snapToGrid w:val="0"/>
              <w:jc w:val="center"/>
              <w:rPr>
                <w:b/>
                <w:color w:val="auto"/>
                <w:sz w:val="24"/>
                <w:szCs w:val="24"/>
                <w:highlight w:val="none"/>
              </w:rPr>
            </w:pPr>
            <w:r>
              <w:rPr>
                <w:rFonts w:hint="eastAsia"/>
                <w:b/>
                <w:color w:val="auto"/>
                <w:sz w:val="24"/>
                <w:szCs w:val="24"/>
                <w:highlight w:val="none"/>
                <w:lang w:val="en-US" w:eastAsia="zh-CN"/>
              </w:rPr>
              <w:t>地表水现状监测结果分析表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67"/>
              <w:gridCol w:w="917"/>
              <w:gridCol w:w="1709"/>
              <w:gridCol w:w="856"/>
              <w:gridCol w:w="1095"/>
              <w:gridCol w:w="733"/>
              <w:gridCol w:w="735"/>
              <w:gridCol w:w="982"/>
            </w:tblGrid>
            <w:tr w14:paraId="1B940C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restart"/>
                  <w:tcBorders>
                    <w:tl2br w:val="nil"/>
                    <w:tr2bl w:val="nil"/>
                  </w:tcBorders>
                  <w:vAlign w:val="center"/>
                </w:tcPr>
                <w:p w14:paraId="0741F0B7">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监测河流</w:t>
                  </w:r>
                </w:p>
              </w:tc>
              <w:tc>
                <w:tcPr>
                  <w:tcW w:w="1243" w:type="pct"/>
                  <w:gridSpan w:val="2"/>
                  <w:tcBorders>
                    <w:tl2br w:val="nil"/>
                    <w:tr2bl w:val="nil"/>
                  </w:tcBorders>
                  <w:vAlign w:val="center"/>
                </w:tcPr>
                <w:p w14:paraId="74C2B96F">
                  <w:pPr>
                    <w:pStyle w:val="31"/>
                    <w:rPr>
                      <w:rFonts w:hint="default" w:ascii="Times New Roman" w:hAnsi="Times New Roman" w:eastAsia="仿宋" w:cs="Times New Roman"/>
                      <w:b/>
                      <w:color w:val="auto"/>
                      <w:sz w:val="21"/>
                      <w:szCs w:val="21"/>
                      <w:highlight w:val="none"/>
                      <w:lang w:eastAsia="zh-CN"/>
                    </w:rPr>
                  </w:pPr>
                  <w:r>
                    <w:rPr>
                      <w:rFonts w:hint="eastAsia" w:eastAsia="仿宋" w:cs="Times New Roman"/>
                      <w:b/>
                      <w:color w:val="auto"/>
                      <w:sz w:val="21"/>
                      <w:szCs w:val="21"/>
                      <w:highlight w:val="none"/>
                      <w:lang w:val="en-US" w:eastAsia="zh-CN"/>
                    </w:rPr>
                    <w:t>监测项目</w:t>
                  </w:r>
                </w:p>
              </w:tc>
              <w:tc>
                <w:tcPr>
                  <w:tcW w:w="930" w:type="pct"/>
                  <w:vMerge w:val="restart"/>
                  <w:tcBorders>
                    <w:tl2br w:val="nil"/>
                    <w:tr2bl w:val="nil"/>
                  </w:tcBorders>
                  <w:vAlign w:val="center"/>
                </w:tcPr>
                <w:p w14:paraId="740E3ABF">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监测范围</w:t>
                  </w:r>
                </w:p>
              </w:tc>
              <w:tc>
                <w:tcPr>
                  <w:tcW w:w="466" w:type="pct"/>
                  <w:vMerge w:val="restart"/>
                  <w:tcBorders>
                    <w:tl2br w:val="nil"/>
                    <w:tr2bl w:val="nil"/>
                  </w:tcBorders>
                  <w:vAlign w:val="center"/>
                </w:tcPr>
                <w:p w14:paraId="063F75C6">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平均值</w:t>
                  </w:r>
                </w:p>
              </w:tc>
              <w:tc>
                <w:tcPr>
                  <w:tcW w:w="596" w:type="pct"/>
                  <w:vMerge w:val="restart"/>
                  <w:tcBorders>
                    <w:tl2br w:val="nil"/>
                    <w:tr2bl w:val="nil"/>
                  </w:tcBorders>
                  <w:vAlign w:val="center"/>
                </w:tcPr>
                <w:p w14:paraId="02076B65">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单因子污染指数</w:t>
                  </w:r>
                </w:p>
              </w:tc>
              <w:tc>
                <w:tcPr>
                  <w:tcW w:w="399" w:type="pct"/>
                  <w:vMerge w:val="restart"/>
                  <w:tcBorders>
                    <w:tl2br w:val="nil"/>
                    <w:tr2bl w:val="nil"/>
                  </w:tcBorders>
                  <w:vAlign w:val="center"/>
                </w:tcPr>
                <w:p w14:paraId="20ECDFD6">
                  <w:pPr>
                    <w:pStyle w:val="31"/>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超标倍数</w:t>
                  </w:r>
                </w:p>
              </w:tc>
              <w:tc>
                <w:tcPr>
                  <w:tcW w:w="400" w:type="pct"/>
                  <w:vMerge w:val="restart"/>
                  <w:tcBorders>
                    <w:tl2br w:val="nil"/>
                    <w:tr2bl w:val="nil"/>
                  </w:tcBorders>
                  <w:vAlign w:val="center"/>
                </w:tcPr>
                <w:p w14:paraId="456A3AB6">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超标率</w:t>
                  </w:r>
                </w:p>
              </w:tc>
              <w:tc>
                <w:tcPr>
                  <w:tcW w:w="534" w:type="pct"/>
                  <w:vMerge w:val="restart"/>
                  <w:tcBorders>
                    <w:tl2br w:val="nil"/>
                    <w:tr2bl w:val="nil"/>
                  </w:tcBorders>
                  <w:vAlign w:val="center"/>
                </w:tcPr>
                <w:p w14:paraId="376FBF8E">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参照标准限制</w:t>
                  </w:r>
                </w:p>
              </w:tc>
            </w:tr>
            <w:tr w14:paraId="3F22DC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5B4FBD4E">
                  <w:pPr>
                    <w:pStyle w:val="31"/>
                    <w:rPr>
                      <w:rFonts w:hint="eastAsia" w:eastAsia="仿宋" w:cs="Times New Roman"/>
                      <w:b/>
                      <w:color w:val="auto"/>
                      <w:sz w:val="21"/>
                      <w:szCs w:val="21"/>
                      <w:highlight w:val="none"/>
                      <w:lang w:val="en-US" w:eastAsia="zh-CN"/>
                    </w:rPr>
                  </w:pPr>
                </w:p>
              </w:tc>
              <w:tc>
                <w:tcPr>
                  <w:tcW w:w="744" w:type="pct"/>
                  <w:tcBorders>
                    <w:tl2br w:val="nil"/>
                    <w:tr2bl w:val="nil"/>
                  </w:tcBorders>
                  <w:vAlign w:val="center"/>
                </w:tcPr>
                <w:p w14:paraId="77376B05">
                  <w:pPr>
                    <w:pStyle w:val="31"/>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名称</w:t>
                  </w:r>
                </w:p>
              </w:tc>
              <w:tc>
                <w:tcPr>
                  <w:tcW w:w="499" w:type="pct"/>
                  <w:tcBorders>
                    <w:tl2br w:val="nil"/>
                    <w:tr2bl w:val="nil"/>
                  </w:tcBorders>
                  <w:vAlign w:val="center"/>
                </w:tcPr>
                <w:p w14:paraId="2E449438">
                  <w:pPr>
                    <w:pStyle w:val="31"/>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单位</w:t>
                  </w:r>
                </w:p>
              </w:tc>
              <w:tc>
                <w:tcPr>
                  <w:tcW w:w="930" w:type="pct"/>
                  <w:vMerge w:val="continue"/>
                  <w:tcBorders>
                    <w:tl2br w:val="nil"/>
                    <w:tr2bl w:val="nil"/>
                  </w:tcBorders>
                  <w:vAlign w:val="center"/>
                </w:tcPr>
                <w:p w14:paraId="1C96DCD9">
                  <w:pPr>
                    <w:pStyle w:val="31"/>
                    <w:rPr>
                      <w:rFonts w:hint="default" w:ascii="Times New Roman" w:hAnsi="Times New Roman" w:eastAsia="仿宋" w:cs="Times New Roman"/>
                      <w:b/>
                      <w:color w:val="auto"/>
                      <w:sz w:val="21"/>
                      <w:szCs w:val="21"/>
                      <w:highlight w:val="none"/>
                    </w:rPr>
                  </w:pPr>
                </w:p>
              </w:tc>
              <w:tc>
                <w:tcPr>
                  <w:tcW w:w="466" w:type="pct"/>
                  <w:vMerge w:val="continue"/>
                  <w:tcBorders>
                    <w:tl2br w:val="nil"/>
                    <w:tr2bl w:val="nil"/>
                  </w:tcBorders>
                  <w:vAlign w:val="center"/>
                </w:tcPr>
                <w:p w14:paraId="79BF9B3E">
                  <w:pPr>
                    <w:pStyle w:val="31"/>
                    <w:rPr>
                      <w:rFonts w:hint="default" w:ascii="Times New Roman" w:hAnsi="Times New Roman" w:eastAsia="仿宋" w:cs="Times New Roman"/>
                      <w:b/>
                      <w:color w:val="auto"/>
                      <w:sz w:val="21"/>
                      <w:szCs w:val="21"/>
                      <w:highlight w:val="none"/>
                    </w:rPr>
                  </w:pPr>
                </w:p>
              </w:tc>
              <w:tc>
                <w:tcPr>
                  <w:tcW w:w="596" w:type="pct"/>
                  <w:vMerge w:val="continue"/>
                  <w:tcBorders>
                    <w:tl2br w:val="nil"/>
                    <w:tr2bl w:val="nil"/>
                  </w:tcBorders>
                  <w:vAlign w:val="center"/>
                </w:tcPr>
                <w:p w14:paraId="7ED45DCB">
                  <w:pPr>
                    <w:pStyle w:val="31"/>
                    <w:rPr>
                      <w:rFonts w:hint="default" w:ascii="Times New Roman" w:hAnsi="Times New Roman" w:eastAsia="仿宋" w:cs="Times New Roman"/>
                      <w:b/>
                      <w:color w:val="auto"/>
                      <w:sz w:val="21"/>
                      <w:szCs w:val="21"/>
                      <w:highlight w:val="none"/>
                    </w:rPr>
                  </w:pPr>
                </w:p>
              </w:tc>
              <w:tc>
                <w:tcPr>
                  <w:tcW w:w="399" w:type="pct"/>
                  <w:vMerge w:val="continue"/>
                  <w:tcBorders>
                    <w:tl2br w:val="nil"/>
                    <w:tr2bl w:val="nil"/>
                  </w:tcBorders>
                  <w:vAlign w:val="center"/>
                </w:tcPr>
                <w:p w14:paraId="70AF26CE">
                  <w:pPr>
                    <w:pStyle w:val="31"/>
                    <w:rPr>
                      <w:rFonts w:hint="default" w:ascii="Times New Roman" w:hAnsi="Times New Roman" w:eastAsia="仿宋" w:cs="Times New Roman"/>
                      <w:b/>
                      <w:color w:val="auto"/>
                      <w:sz w:val="21"/>
                      <w:szCs w:val="21"/>
                      <w:highlight w:val="none"/>
                    </w:rPr>
                  </w:pPr>
                </w:p>
              </w:tc>
              <w:tc>
                <w:tcPr>
                  <w:tcW w:w="400" w:type="pct"/>
                  <w:vMerge w:val="continue"/>
                  <w:tcBorders>
                    <w:tl2br w:val="nil"/>
                    <w:tr2bl w:val="nil"/>
                  </w:tcBorders>
                  <w:vAlign w:val="center"/>
                </w:tcPr>
                <w:p w14:paraId="35D9B8FB">
                  <w:pPr>
                    <w:pStyle w:val="31"/>
                    <w:rPr>
                      <w:rFonts w:hint="default" w:ascii="Times New Roman" w:hAnsi="Times New Roman" w:eastAsia="仿宋" w:cs="Times New Roman"/>
                      <w:b/>
                      <w:color w:val="auto"/>
                      <w:sz w:val="21"/>
                      <w:szCs w:val="21"/>
                      <w:highlight w:val="none"/>
                    </w:rPr>
                  </w:pPr>
                </w:p>
              </w:tc>
              <w:tc>
                <w:tcPr>
                  <w:tcW w:w="534" w:type="pct"/>
                  <w:vMerge w:val="continue"/>
                  <w:tcBorders>
                    <w:tl2br w:val="nil"/>
                    <w:tr2bl w:val="nil"/>
                  </w:tcBorders>
                  <w:vAlign w:val="center"/>
                </w:tcPr>
                <w:p w14:paraId="195D6B64">
                  <w:pPr>
                    <w:pStyle w:val="31"/>
                    <w:rPr>
                      <w:rFonts w:hint="default" w:ascii="Times New Roman" w:hAnsi="Times New Roman" w:eastAsia="仿宋" w:cs="Times New Roman"/>
                      <w:b/>
                      <w:color w:val="auto"/>
                      <w:sz w:val="21"/>
                      <w:szCs w:val="21"/>
                      <w:highlight w:val="none"/>
                    </w:rPr>
                  </w:pPr>
                </w:p>
              </w:tc>
            </w:tr>
            <w:tr w14:paraId="69A9B6B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restart"/>
                  <w:tcBorders>
                    <w:tl2br w:val="nil"/>
                    <w:tr2bl w:val="nil"/>
                  </w:tcBorders>
                  <w:vAlign w:val="center"/>
                </w:tcPr>
                <w:p w14:paraId="0D94EAE2">
                  <w:pPr>
                    <w:pStyle w:val="31"/>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元和塘</w:t>
                  </w:r>
                </w:p>
              </w:tc>
              <w:tc>
                <w:tcPr>
                  <w:tcW w:w="744" w:type="pct"/>
                  <w:tcBorders>
                    <w:tl2br w:val="nil"/>
                    <w:tr2bl w:val="nil"/>
                  </w:tcBorders>
                  <w:vAlign w:val="center"/>
                </w:tcPr>
                <w:p w14:paraId="55EF236B">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pH值</w:t>
                  </w:r>
                </w:p>
              </w:tc>
              <w:tc>
                <w:tcPr>
                  <w:tcW w:w="499" w:type="pct"/>
                  <w:tcBorders>
                    <w:tl2br w:val="nil"/>
                    <w:tr2bl w:val="nil"/>
                  </w:tcBorders>
                  <w:vAlign w:val="center"/>
                </w:tcPr>
                <w:p w14:paraId="29334F53">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无量纲</w:t>
                  </w:r>
                </w:p>
              </w:tc>
              <w:tc>
                <w:tcPr>
                  <w:tcW w:w="930" w:type="pct"/>
                  <w:tcBorders>
                    <w:tl2br w:val="nil"/>
                    <w:tr2bl w:val="nil"/>
                  </w:tcBorders>
                  <w:vAlign w:val="center"/>
                </w:tcPr>
                <w:p w14:paraId="74490DDF">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7.2-7.3</w:t>
                  </w:r>
                </w:p>
              </w:tc>
              <w:tc>
                <w:tcPr>
                  <w:tcW w:w="466" w:type="pct"/>
                  <w:tcBorders>
                    <w:tl2br w:val="nil"/>
                    <w:tr2bl w:val="nil"/>
                  </w:tcBorders>
                  <w:vAlign w:val="center"/>
                </w:tcPr>
                <w:p w14:paraId="74903BA9">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w:t>
                  </w:r>
                </w:p>
              </w:tc>
              <w:tc>
                <w:tcPr>
                  <w:tcW w:w="596" w:type="pct"/>
                  <w:tcBorders>
                    <w:tl2br w:val="nil"/>
                    <w:tr2bl w:val="nil"/>
                  </w:tcBorders>
                  <w:vAlign w:val="center"/>
                </w:tcPr>
                <w:p w14:paraId="24AF6AFC">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w:t>
                  </w:r>
                </w:p>
              </w:tc>
              <w:tc>
                <w:tcPr>
                  <w:tcW w:w="399" w:type="pct"/>
                  <w:tcBorders>
                    <w:tl2br w:val="nil"/>
                    <w:tr2bl w:val="nil"/>
                  </w:tcBorders>
                  <w:vAlign w:val="center"/>
                </w:tcPr>
                <w:p w14:paraId="331E4E91">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w:t>
                  </w:r>
                </w:p>
              </w:tc>
              <w:tc>
                <w:tcPr>
                  <w:tcW w:w="400" w:type="pct"/>
                  <w:tcBorders>
                    <w:tl2br w:val="nil"/>
                    <w:tr2bl w:val="nil"/>
                  </w:tcBorders>
                  <w:vAlign w:val="center"/>
                </w:tcPr>
                <w:p w14:paraId="27740E29">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534" w:type="pct"/>
                  <w:tcBorders>
                    <w:tl2br w:val="nil"/>
                    <w:tr2bl w:val="nil"/>
                  </w:tcBorders>
                  <w:vAlign w:val="center"/>
                </w:tcPr>
                <w:p w14:paraId="6B9E9D46">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6-9</w:t>
                  </w:r>
                </w:p>
              </w:tc>
            </w:tr>
            <w:tr w14:paraId="7B3339F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08BBEC92">
                  <w:pPr>
                    <w:pStyle w:val="31"/>
                    <w:rPr>
                      <w:rFonts w:hint="eastAsia" w:eastAsia="仿宋" w:cs="Times New Roman"/>
                      <w:b w:val="0"/>
                      <w:bCs/>
                      <w:color w:val="auto"/>
                      <w:sz w:val="21"/>
                      <w:szCs w:val="21"/>
                      <w:highlight w:val="none"/>
                      <w:lang w:val="en-US" w:eastAsia="zh-CN"/>
                    </w:rPr>
                  </w:pPr>
                </w:p>
              </w:tc>
              <w:tc>
                <w:tcPr>
                  <w:tcW w:w="744" w:type="pct"/>
                  <w:tcBorders>
                    <w:tl2br w:val="nil"/>
                    <w:tr2bl w:val="nil"/>
                  </w:tcBorders>
                  <w:vAlign w:val="center"/>
                </w:tcPr>
                <w:p w14:paraId="6D318BBD">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化学需氧量</w:t>
                  </w:r>
                </w:p>
              </w:tc>
              <w:tc>
                <w:tcPr>
                  <w:tcW w:w="499" w:type="pct"/>
                  <w:tcBorders>
                    <w:tl2br w:val="nil"/>
                    <w:tr2bl w:val="nil"/>
                  </w:tcBorders>
                  <w:vAlign w:val="center"/>
                </w:tcPr>
                <w:p w14:paraId="40607058">
                  <w:pPr>
                    <w:pStyle w:val="31"/>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shd w:val="clear" w:color="auto" w:fill="auto"/>
                  <w:vAlign w:val="center"/>
                </w:tcPr>
                <w:p w14:paraId="0D25C179">
                  <w:pPr>
                    <w:pStyle w:val="31"/>
                    <w:rPr>
                      <w:rFonts w:hint="default" w:ascii="Times New Roman" w:hAnsi="Times New Roman" w:eastAsia="仿宋" w:cs="Times New Roman"/>
                      <w:b w:val="0"/>
                      <w:bCs/>
                      <w:color w:val="auto"/>
                      <w:kern w:val="0"/>
                      <w:sz w:val="21"/>
                      <w:szCs w:val="21"/>
                      <w:highlight w:val="none"/>
                      <w:lang w:val="en-US" w:eastAsia="zh-CN" w:bidi="ar-SA"/>
                    </w:rPr>
                  </w:pPr>
                  <w:r>
                    <w:rPr>
                      <w:rFonts w:hint="eastAsia" w:eastAsia="仿宋" w:cs="Times New Roman"/>
                      <w:b w:val="0"/>
                      <w:bCs/>
                      <w:color w:val="auto"/>
                      <w:sz w:val="21"/>
                      <w:szCs w:val="21"/>
                      <w:highlight w:val="none"/>
                      <w:lang w:val="en-US" w:eastAsia="zh-CN"/>
                    </w:rPr>
                    <w:t>6-7</w:t>
                  </w:r>
                </w:p>
              </w:tc>
              <w:tc>
                <w:tcPr>
                  <w:tcW w:w="466" w:type="pct"/>
                  <w:tcBorders>
                    <w:tl2br w:val="nil"/>
                    <w:tr2bl w:val="nil"/>
                  </w:tcBorders>
                  <w:vAlign w:val="center"/>
                </w:tcPr>
                <w:p w14:paraId="0CAE78AA">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6.5</w:t>
                  </w:r>
                </w:p>
              </w:tc>
              <w:tc>
                <w:tcPr>
                  <w:tcW w:w="596" w:type="pct"/>
                  <w:tcBorders>
                    <w:tl2br w:val="nil"/>
                    <w:tr2bl w:val="nil"/>
                  </w:tcBorders>
                  <w:vAlign w:val="center"/>
                </w:tcPr>
                <w:p w14:paraId="6396BFD9">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0.22</w:t>
                  </w:r>
                </w:p>
              </w:tc>
              <w:tc>
                <w:tcPr>
                  <w:tcW w:w="399" w:type="pct"/>
                  <w:tcBorders>
                    <w:tl2br w:val="nil"/>
                    <w:tr2bl w:val="nil"/>
                  </w:tcBorders>
                  <w:vAlign w:val="center"/>
                </w:tcPr>
                <w:p w14:paraId="4D54A08E">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400" w:type="pct"/>
                  <w:tcBorders>
                    <w:tl2br w:val="nil"/>
                    <w:tr2bl w:val="nil"/>
                  </w:tcBorders>
                  <w:vAlign w:val="center"/>
                </w:tcPr>
                <w:p w14:paraId="15D67492">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534" w:type="pct"/>
                  <w:tcBorders>
                    <w:tl2br w:val="nil"/>
                    <w:tr2bl w:val="nil"/>
                  </w:tcBorders>
                  <w:vAlign w:val="center"/>
                </w:tcPr>
                <w:p w14:paraId="0B176493">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30</w:t>
                  </w:r>
                </w:p>
              </w:tc>
            </w:tr>
            <w:tr w14:paraId="319CFA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030545AF">
                  <w:pPr>
                    <w:pStyle w:val="31"/>
                    <w:rPr>
                      <w:rFonts w:hint="eastAsia" w:eastAsia="仿宋" w:cs="Times New Roman"/>
                      <w:b w:val="0"/>
                      <w:bCs/>
                      <w:color w:val="auto"/>
                      <w:sz w:val="21"/>
                      <w:szCs w:val="21"/>
                      <w:highlight w:val="none"/>
                      <w:lang w:val="en-US" w:eastAsia="zh-CN"/>
                    </w:rPr>
                  </w:pPr>
                </w:p>
              </w:tc>
              <w:tc>
                <w:tcPr>
                  <w:tcW w:w="744" w:type="pct"/>
                  <w:tcBorders>
                    <w:tl2br w:val="nil"/>
                    <w:tr2bl w:val="nil"/>
                  </w:tcBorders>
                  <w:vAlign w:val="center"/>
                </w:tcPr>
                <w:p w14:paraId="239D6898">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氨氮</w:t>
                  </w:r>
                </w:p>
              </w:tc>
              <w:tc>
                <w:tcPr>
                  <w:tcW w:w="499" w:type="pct"/>
                  <w:tcBorders>
                    <w:tl2br w:val="nil"/>
                    <w:tr2bl w:val="nil"/>
                  </w:tcBorders>
                  <w:vAlign w:val="center"/>
                </w:tcPr>
                <w:p w14:paraId="4EB45C11">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shd w:val="clear" w:color="auto" w:fill="auto"/>
                  <w:vAlign w:val="center"/>
                </w:tcPr>
                <w:p w14:paraId="790948FF">
                  <w:pPr>
                    <w:pStyle w:val="31"/>
                    <w:rPr>
                      <w:rFonts w:hint="default" w:ascii="Times New Roman" w:hAnsi="Times New Roman" w:eastAsia="仿宋" w:cs="Times New Roman"/>
                      <w:b w:val="0"/>
                      <w:bCs/>
                      <w:color w:val="auto"/>
                      <w:kern w:val="0"/>
                      <w:sz w:val="21"/>
                      <w:szCs w:val="21"/>
                      <w:highlight w:val="none"/>
                      <w:lang w:val="en-US" w:eastAsia="zh-CN" w:bidi="ar-SA"/>
                    </w:rPr>
                  </w:pPr>
                  <w:r>
                    <w:rPr>
                      <w:rFonts w:hint="eastAsia" w:eastAsia="仿宋" w:cs="Times New Roman"/>
                      <w:b w:val="0"/>
                      <w:bCs/>
                      <w:color w:val="auto"/>
                      <w:sz w:val="21"/>
                      <w:szCs w:val="21"/>
                      <w:highlight w:val="none"/>
                      <w:lang w:val="en-US" w:eastAsia="zh-CN"/>
                    </w:rPr>
                    <w:t>0.822-0.398</w:t>
                  </w:r>
                </w:p>
              </w:tc>
              <w:tc>
                <w:tcPr>
                  <w:tcW w:w="466" w:type="pct"/>
                  <w:tcBorders>
                    <w:tl2br w:val="nil"/>
                    <w:tr2bl w:val="nil"/>
                  </w:tcBorders>
                  <w:vAlign w:val="center"/>
                </w:tcPr>
                <w:p w14:paraId="615F3031">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0.61</w:t>
                  </w:r>
                </w:p>
              </w:tc>
              <w:tc>
                <w:tcPr>
                  <w:tcW w:w="596" w:type="pct"/>
                  <w:tcBorders>
                    <w:tl2br w:val="nil"/>
                    <w:tr2bl w:val="nil"/>
                  </w:tcBorders>
                  <w:vAlign w:val="center"/>
                </w:tcPr>
                <w:p w14:paraId="53CD5483">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0.41</w:t>
                  </w:r>
                </w:p>
              </w:tc>
              <w:tc>
                <w:tcPr>
                  <w:tcW w:w="399" w:type="pct"/>
                  <w:tcBorders>
                    <w:tl2br w:val="nil"/>
                    <w:tr2bl w:val="nil"/>
                  </w:tcBorders>
                  <w:vAlign w:val="center"/>
                </w:tcPr>
                <w:p w14:paraId="25982965">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400" w:type="pct"/>
                  <w:tcBorders>
                    <w:tl2br w:val="nil"/>
                    <w:tr2bl w:val="nil"/>
                  </w:tcBorders>
                  <w:vAlign w:val="center"/>
                </w:tcPr>
                <w:p w14:paraId="7CCD8DC1">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534" w:type="pct"/>
                  <w:tcBorders>
                    <w:tl2br w:val="nil"/>
                    <w:tr2bl w:val="nil"/>
                  </w:tcBorders>
                  <w:vAlign w:val="center"/>
                </w:tcPr>
                <w:p w14:paraId="7CDFA78F">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1.5</w:t>
                  </w:r>
                </w:p>
              </w:tc>
            </w:tr>
            <w:tr w14:paraId="4DD9665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0DD7180A">
                  <w:pPr>
                    <w:pStyle w:val="31"/>
                    <w:rPr>
                      <w:rFonts w:hint="eastAsia" w:eastAsia="仿宋" w:cs="Times New Roman"/>
                      <w:b w:val="0"/>
                      <w:bCs/>
                      <w:color w:val="auto"/>
                      <w:sz w:val="21"/>
                      <w:szCs w:val="21"/>
                      <w:highlight w:val="none"/>
                      <w:lang w:val="en-US" w:eastAsia="zh-CN"/>
                    </w:rPr>
                  </w:pPr>
                </w:p>
              </w:tc>
              <w:tc>
                <w:tcPr>
                  <w:tcW w:w="744" w:type="pct"/>
                  <w:tcBorders>
                    <w:tl2br w:val="nil"/>
                    <w:tr2bl w:val="nil"/>
                  </w:tcBorders>
                  <w:vAlign w:val="center"/>
                </w:tcPr>
                <w:p w14:paraId="32CA7ABC">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总磷</w:t>
                  </w:r>
                </w:p>
              </w:tc>
              <w:tc>
                <w:tcPr>
                  <w:tcW w:w="499" w:type="pct"/>
                  <w:tcBorders>
                    <w:tl2br w:val="nil"/>
                    <w:tr2bl w:val="nil"/>
                  </w:tcBorders>
                  <w:vAlign w:val="center"/>
                </w:tcPr>
                <w:p w14:paraId="1F9276D2">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shd w:val="clear" w:color="auto" w:fill="auto"/>
                  <w:vAlign w:val="center"/>
                </w:tcPr>
                <w:p w14:paraId="78C525BF">
                  <w:pPr>
                    <w:pStyle w:val="31"/>
                    <w:rPr>
                      <w:rFonts w:hint="default" w:ascii="Times New Roman" w:hAnsi="Times New Roman" w:eastAsia="仿宋" w:cs="Times New Roman"/>
                      <w:b w:val="0"/>
                      <w:bCs/>
                      <w:color w:val="auto"/>
                      <w:kern w:val="0"/>
                      <w:sz w:val="21"/>
                      <w:szCs w:val="21"/>
                      <w:highlight w:val="none"/>
                      <w:lang w:val="en-US" w:eastAsia="zh-CN" w:bidi="ar-SA"/>
                    </w:rPr>
                  </w:pPr>
                  <w:r>
                    <w:rPr>
                      <w:rFonts w:hint="eastAsia" w:eastAsia="仿宋" w:cs="Times New Roman"/>
                      <w:b w:val="0"/>
                      <w:bCs/>
                      <w:color w:val="auto"/>
                      <w:sz w:val="21"/>
                      <w:szCs w:val="21"/>
                      <w:highlight w:val="none"/>
                      <w:lang w:val="en-US" w:eastAsia="zh-CN"/>
                    </w:rPr>
                    <w:t>0.05-0.06</w:t>
                  </w:r>
                </w:p>
              </w:tc>
              <w:tc>
                <w:tcPr>
                  <w:tcW w:w="466" w:type="pct"/>
                  <w:tcBorders>
                    <w:tl2br w:val="nil"/>
                    <w:tr2bl w:val="nil"/>
                  </w:tcBorders>
                  <w:vAlign w:val="center"/>
                </w:tcPr>
                <w:p w14:paraId="29D880E5">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0.055</w:t>
                  </w:r>
                </w:p>
              </w:tc>
              <w:tc>
                <w:tcPr>
                  <w:tcW w:w="596" w:type="pct"/>
                  <w:tcBorders>
                    <w:tl2br w:val="nil"/>
                    <w:tr2bl w:val="nil"/>
                  </w:tcBorders>
                  <w:vAlign w:val="center"/>
                </w:tcPr>
                <w:p w14:paraId="713951B5">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0.18</w:t>
                  </w:r>
                </w:p>
              </w:tc>
              <w:tc>
                <w:tcPr>
                  <w:tcW w:w="399" w:type="pct"/>
                  <w:tcBorders>
                    <w:tl2br w:val="nil"/>
                    <w:tr2bl w:val="nil"/>
                  </w:tcBorders>
                  <w:vAlign w:val="center"/>
                </w:tcPr>
                <w:p w14:paraId="285AA4D1">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400" w:type="pct"/>
                  <w:tcBorders>
                    <w:tl2br w:val="nil"/>
                    <w:tr2bl w:val="nil"/>
                  </w:tcBorders>
                  <w:vAlign w:val="center"/>
                </w:tcPr>
                <w:p w14:paraId="5A8EB496">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534" w:type="pct"/>
                  <w:tcBorders>
                    <w:tl2br w:val="nil"/>
                    <w:tr2bl w:val="nil"/>
                  </w:tcBorders>
                  <w:vAlign w:val="center"/>
                </w:tcPr>
                <w:p w14:paraId="3044B7A5">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0.3</w:t>
                  </w:r>
                </w:p>
              </w:tc>
            </w:tr>
            <w:tr w14:paraId="75E152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08319DD9">
                  <w:pPr>
                    <w:pStyle w:val="31"/>
                    <w:rPr>
                      <w:rFonts w:hint="eastAsia" w:eastAsia="仿宋" w:cs="Times New Roman"/>
                      <w:b w:val="0"/>
                      <w:bCs/>
                      <w:color w:val="auto"/>
                      <w:sz w:val="21"/>
                      <w:szCs w:val="21"/>
                      <w:highlight w:val="none"/>
                      <w:lang w:val="en-US" w:eastAsia="zh-CN"/>
                    </w:rPr>
                  </w:pPr>
                </w:p>
              </w:tc>
              <w:tc>
                <w:tcPr>
                  <w:tcW w:w="744" w:type="pct"/>
                  <w:tcBorders>
                    <w:tl2br w:val="nil"/>
                    <w:tr2bl w:val="nil"/>
                  </w:tcBorders>
                  <w:vAlign w:val="center"/>
                </w:tcPr>
                <w:p w14:paraId="28D53E8F">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总氮</w:t>
                  </w:r>
                </w:p>
              </w:tc>
              <w:tc>
                <w:tcPr>
                  <w:tcW w:w="499" w:type="pct"/>
                  <w:tcBorders>
                    <w:tl2br w:val="nil"/>
                    <w:tr2bl w:val="nil"/>
                  </w:tcBorders>
                  <w:vAlign w:val="center"/>
                </w:tcPr>
                <w:p w14:paraId="63F7B82E">
                  <w:pPr>
                    <w:pStyle w:val="31"/>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shd w:val="clear" w:color="auto" w:fill="auto"/>
                  <w:vAlign w:val="center"/>
                </w:tcPr>
                <w:p w14:paraId="36DF3111">
                  <w:pPr>
                    <w:pStyle w:val="31"/>
                    <w:rPr>
                      <w:rFonts w:hint="eastAsia" w:ascii="Times New Roman" w:hAnsi="Times New Roman" w:eastAsia="仿宋" w:cs="Times New Roman"/>
                      <w:b w:val="0"/>
                      <w:bCs/>
                      <w:color w:val="auto"/>
                      <w:kern w:val="0"/>
                      <w:sz w:val="21"/>
                      <w:szCs w:val="21"/>
                      <w:highlight w:val="none"/>
                      <w:lang w:val="en-US" w:eastAsia="zh-CN" w:bidi="ar-SA"/>
                    </w:rPr>
                  </w:pPr>
                  <w:r>
                    <w:rPr>
                      <w:rFonts w:hint="eastAsia" w:eastAsia="仿宋" w:cs="Times New Roman"/>
                      <w:b w:val="0"/>
                      <w:bCs/>
                      <w:color w:val="auto"/>
                      <w:sz w:val="21"/>
                      <w:szCs w:val="21"/>
                      <w:highlight w:val="none"/>
                      <w:lang w:val="en-US" w:eastAsia="zh-CN"/>
                    </w:rPr>
                    <w:t>1.35-1.42</w:t>
                  </w:r>
                </w:p>
              </w:tc>
              <w:tc>
                <w:tcPr>
                  <w:tcW w:w="466" w:type="pct"/>
                  <w:tcBorders>
                    <w:tl2br w:val="nil"/>
                    <w:tr2bl w:val="nil"/>
                  </w:tcBorders>
                  <w:vAlign w:val="center"/>
                </w:tcPr>
                <w:p w14:paraId="35113BDA">
                  <w:pPr>
                    <w:pStyle w:val="31"/>
                    <w:rPr>
                      <w:rFonts w:hint="default"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1.385</w:t>
                  </w:r>
                </w:p>
              </w:tc>
              <w:tc>
                <w:tcPr>
                  <w:tcW w:w="596" w:type="pct"/>
                  <w:tcBorders>
                    <w:tl2br w:val="nil"/>
                    <w:tr2bl w:val="nil"/>
                  </w:tcBorders>
                  <w:vAlign w:val="center"/>
                </w:tcPr>
                <w:p w14:paraId="7AB9C285">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w:t>
                  </w:r>
                </w:p>
              </w:tc>
              <w:tc>
                <w:tcPr>
                  <w:tcW w:w="399" w:type="pct"/>
                  <w:tcBorders>
                    <w:tl2br w:val="nil"/>
                    <w:tr2bl w:val="nil"/>
                  </w:tcBorders>
                  <w:vAlign w:val="center"/>
                </w:tcPr>
                <w:p w14:paraId="7CEB33EF">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400" w:type="pct"/>
                  <w:tcBorders>
                    <w:tl2br w:val="nil"/>
                    <w:tr2bl w:val="nil"/>
                  </w:tcBorders>
                  <w:vAlign w:val="center"/>
                </w:tcPr>
                <w:p w14:paraId="3C0882BA">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0</w:t>
                  </w:r>
                </w:p>
              </w:tc>
              <w:tc>
                <w:tcPr>
                  <w:tcW w:w="534" w:type="pct"/>
                  <w:tcBorders>
                    <w:tl2br w:val="nil"/>
                    <w:tr2bl w:val="nil"/>
                  </w:tcBorders>
                  <w:vAlign w:val="center"/>
                </w:tcPr>
                <w:p w14:paraId="5A373A40">
                  <w:pPr>
                    <w:pStyle w:val="31"/>
                    <w:rPr>
                      <w:rFonts w:hint="eastAsia" w:ascii="Times New Roman" w:hAnsi="Times New Roman" w:eastAsia="仿宋" w:cs="Times New Roman"/>
                      <w:b w:val="0"/>
                      <w:bCs/>
                      <w:color w:val="auto"/>
                      <w:sz w:val="21"/>
                      <w:szCs w:val="21"/>
                      <w:highlight w:val="none"/>
                    </w:rPr>
                  </w:pPr>
                  <w:r>
                    <w:rPr>
                      <w:rFonts w:hint="eastAsia" w:eastAsia="仿宋" w:cs="Times New Roman"/>
                      <w:b w:val="0"/>
                      <w:bCs/>
                      <w:color w:val="auto"/>
                      <w:sz w:val="21"/>
                      <w:szCs w:val="21"/>
                      <w:highlight w:val="none"/>
                      <w:lang w:val="en-US" w:eastAsia="zh-CN"/>
                    </w:rPr>
                    <w:t>/</w:t>
                  </w:r>
                </w:p>
              </w:tc>
            </w:tr>
            <w:tr w14:paraId="32F47B4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33A52E23">
                  <w:pPr>
                    <w:pStyle w:val="31"/>
                    <w:rPr>
                      <w:rFonts w:hint="default" w:ascii="Times New Roman" w:hAnsi="Times New Roman" w:eastAsia="仿宋" w:cs="Times New Roman"/>
                      <w:bCs/>
                      <w:color w:val="auto"/>
                      <w:sz w:val="21"/>
                      <w:szCs w:val="21"/>
                      <w:highlight w:val="none"/>
                    </w:rPr>
                  </w:pPr>
                </w:p>
              </w:tc>
              <w:tc>
                <w:tcPr>
                  <w:tcW w:w="744" w:type="pct"/>
                  <w:tcBorders>
                    <w:tl2br w:val="nil"/>
                    <w:tr2bl w:val="nil"/>
                  </w:tcBorders>
                  <w:vAlign w:val="center"/>
                </w:tcPr>
                <w:p w14:paraId="253B6C00">
                  <w:pPr>
                    <w:pStyle w:val="31"/>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石油类</w:t>
                  </w:r>
                </w:p>
              </w:tc>
              <w:tc>
                <w:tcPr>
                  <w:tcW w:w="499" w:type="pct"/>
                  <w:tcBorders>
                    <w:tl2br w:val="nil"/>
                    <w:tr2bl w:val="nil"/>
                  </w:tcBorders>
                  <w:vAlign w:val="center"/>
                </w:tcPr>
                <w:p w14:paraId="07052416">
                  <w:pPr>
                    <w:pStyle w:val="31"/>
                    <w:rPr>
                      <w:rFonts w:hint="eastAsia" w:ascii="Times New Roman" w:hAnsi="Times New Roman" w:eastAsia="仿宋" w:cs="Times New Roman"/>
                      <w:bCs/>
                      <w:color w:val="auto"/>
                      <w:sz w:val="21"/>
                      <w:szCs w:val="21"/>
                      <w:highlight w:val="none"/>
                      <w:lang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vAlign w:val="center"/>
                </w:tcPr>
                <w:p w14:paraId="0ADD2DF2">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0.03-0.04</w:t>
                  </w:r>
                </w:p>
              </w:tc>
              <w:tc>
                <w:tcPr>
                  <w:tcW w:w="466" w:type="pct"/>
                  <w:tcBorders>
                    <w:tl2br w:val="nil"/>
                    <w:tr2bl w:val="nil"/>
                  </w:tcBorders>
                  <w:vAlign w:val="center"/>
                </w:tcPr>
                <w:p w14:paraId="563D9705">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0.035</w:t>
                  </w:r>
                </w:p>
              </w:tc>
              <w:tc>
                <w:tcPr>
                  <w:tcW w:w="596" w:type="pct"/>
                  <w:tcBorders>
                    <w:tl2br w:val="nil"/>
                    <w:tr2bl w:val="nil"/>
                  </w:tcBorders>
                  <w:vAlign w:val="center"/>
                </w:tcPr>
                <w:p w14:paraId="152F7902">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0.07</w:t>
                  </w:r>
                </w:p>
              </w:tc>
              <w:tc>
                <w:tcPr>
                  <w:tcW w:w="399" w:type="pct"/>
                  <w:tcBorders>
                    <w:tl2br w:val="nil"/>
                    <w:tr2bl w:val="nil"/>
                  </w:tcBorders>
                  <w:vAlign w:val="center"/>
                </w:tcPr>
                <w:p w14:paraId="76438821">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w:t>
                  </w:r>
                </w:p>
              </w:tc>
              <w:tc>
                <w:tcPr>
                  <w:tcW w:w="400" w:type="pct"/>
                  <w:tcBorders>
                    <w:tl2br w:val="nil"/>
                    <w:tr2bl w:val="nil"/>
                  </w:tcBorders>
                  <w:vAlign w:val="center"/>
                </w:tcPr>
                <w:p w14:paraId="3264128B">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w:t>
                  </w:r>
                </w:p>
              </w:tc>
              <w:tc>
                <w:tcPr>
                  <w:tcW w:w="534" w:type="pct"/>
                  <w:tcBorders>
                    <w:tl2br w:val="nil"/>
                    <w:tr2bl w:val="nil"/>
                  </w:tcBorders>
                  <w:vAlign w:val="center"/>
                </w:tcPr>
                <w:p w14:paraId="7D395B5F">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0.5</w:t>
                  </w:r>
                </w:p>
              </w:tc>
            </w:tr>
            <w:tr w14:paraId="0E7834B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pct"/>
                  <w:vMerge w:val="continue"/>
                  <w:tcBorders>
                    <w:tl2br w:val="nil"/>
                    <w:tr2bl w:val="nil"/>
                  </w:tcBorders>
                  <w:vAlign w:val="center"/>
                </w:tcPr>
                <w:p w14:paraId="6C3150A4">
                  <w:pPr>
                    <w:pStyle w:val="31"/>
                    <w:rPr>
                      <w:rFonts w:hint="default" w:ascii="Times New Roman" w:hAnsi="Times New Roman" w:eastAsia="仿宋" w:cs="Times New Roman"/>
                      <w:bCs/>
                      <w:color w:val="auto"/>
                      <w:sz w:val="21"/>
                      <w:szCs w:val="21"/>
                      <w:highlight w:val="none"/>
                    </w:rPr>
                  </w:pPr>
                </w:p>
              </w:tc>
              <w:tc>
                <w:tcPr>
                  <w:tcW w:w="744" w:type="pct"/>
                  <w:tcBorders>
                    <w:tl2br w:val="nil"/>
                    <w:tr2bl w:val="nil"/>
                  </w:tcBorders>
                  <w:vAlign w:val="center"/>
                </w:tcPr>
                <w:p w14:paraId="1BF8E375">
                  <w:pPr>
                    <w:pStyle w:val="31"/>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SS</w:t>
                  </w:r>
                </w:p>
              </w:tc>
              <w:tc>
                <w:tcPr>
                  <w:tcW w:w="499" w:type="pct"/>
                  <w:tcBorders>
                    <w:tl2br w:val="nil"/>
                    <w:tr2bl w:val="nil"/>
                  </w:tcBorders>
                  <w:vAlign w:val="center"/>
                </w:tcPr>
                <w:p w14:paraId="12C71E5D">
                  <w:pPr>
                    <w:pStyle w:val="31"/>
                    <w:rPr>
                      <w:rFonts w:hint="eastAsia" w:ascii="Times New Roman" w:hAnsi="Times New Roman" w:eastAsia="仿宋" w:cs="Times New Roman"/>
                      <w:bCs/>
                      <w:color w:val="auto"/>
                      <w:sz w:val="21"/>
                      <w:szCs w:val="21"/>
                      <w:highlight w:val="none"/>
                      <w:lang w:eastAsia="zh-CN"/>
                    </w:rPr>
                  </w:pPr>
                  <w:r>
                    <w:rPr>
                      <w:rFonts w:hint="eastAsia" w:eastAsia="仿宋" w:cs="Times New Roman"/>
                      <w:b w:val="0"/>
                      <w:bCs/>
                      <w:color w:val="auto"/>
                      <w:sz w:val="21"/>
                      <w:szCs w:val="21"/>
                      <w:highlight w:val="none"/>
                      <w:lang w:val="en-US" w:eastAsia="zh-CN"/>
                    </w:rPr>
                    <w:t>mg/L</w:t>
                  </w:r>
                </w:p>
              </w:tc>
              <w:tc>
                <w:tcPr>
                  <w:tcW w:w="930" w:type="pct"/>
                  <w:tcBorders>
                    <w:tl2br w:val="nil"/>
                    <w:tr2bl w:val="nil"/>
                  </w:tcBorders>
                  <w:vAlign w:val="center"/>
                </w:tcPr>
                <w:p w14:paraId="6594F343">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7-8</w:t>
                  </w:r>
                </w:p>
              </w:tc>
              <w:tc>
                <w:tcPr>
                  <w:tcW w:w="466" w:type="pct"/>
                  <w:tcBorders>
                    <w:tl2br w:val="nil"/>
                    <w:tr2bl w:val="nil"/>
                  </w:tcBorders>
                  <w:vAlign w:val="center"/>
                </w:tcPr>
                <w:p w14:paraId="3F7DEC74">
                  <w:pPr>
                    <w:pStyle w:val="31"/>
                    <w:rPr>
                      <w:rFonts w:hint="default"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7.5</w:t>
                  </w:r>
                </w:p>
              </w:tc>
              <w:tc>
                <w:tcPr>
                  <w:tcW w:w="596" w:type="pct"/>
                  <w:tcBorders>
                    <w:tl2br w:val="nil"/>
                    <w:tr2bl w:val="nil"/>
                  </w:tcBorders>
                  <w:vAlign w:val="center"/>
                </w:tcPr>
                <w:p w14:paraId="067FF52A">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w:t>
                  </w:r>
                </w:p>
              </w:tc>
              <w:tc>
                <w:tcPr>
                  <w:tcW w:w="399" w:type="pct"/>
                  <w:tcBorders>
                    <w:tl2br w:val="nil"/>
                    <w:tr2bl w:val="nil"/>
                  </w:tcBorders>
                  <w:vAlign w:val="center"/>
                </w:tcPr>
                <w:p w14:paraId="31769552">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w:t>
                  </w:r>
                </w:p>
              </w:tc>
              <w:tc>
                <w:tcPr>
                  <w:tcW w:w="400" w:type="pct"/>
                  <w:tcBorders>
                    <w:tl2br w:val="nil"/>
                    <w:tr2bl w:val="nil"/>
                  </w:tcBorders>
                  <w:vAlign w:val="center"/>
                </w:tcPr>
                <w:p w14:paraId="049AEA2E">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0</w:t>
                  </w:r>
                </w:p>
              </w:tc>
              <w:tc>
                <w:tcPr>
                  <w:tcW w:w="534" w:type="pct"/>
                  <w:tcBorders>
                    <w:tl2br w:val="nil"/>
                    <w:tr2bl w:val="nil"/>
                  </w:tcBorders>
                  <w:vAlign w:val="center"/>
                </w:tcPr>
                <w:p w14:paraId="56D31FB2">
                  <w:pPr>
                    <w:pStyle w:val="31"/>
                    <w:rPr>
                      <w:rFonts w:hint="eastAsia" w:ascii="Times New Roman" w:hAnsi="Times New Roman" w:eastAsia="仿宋" w:cs="Times New Roman"/>
                      <w:bCs/>
                      <w:color w:val="auto"/>
                      <w:sz w:val="21"/>
                      <w:szCs w:val="21"/>
                      <w:highlight w:val="none"/>
                    </w:rPr>
                  </w:pPr>
                  <w:r>
                    <w:rPr>
                      <w:rFonts w:hint="eastAsia" w:eastAsia="仿宋" w:cs="Times New Roman"/>
                      <w:bCs/>
                      <w:color w:val="auto"/>
                      <w:sz w:val="21"/>
                      <w:szCs w:val="21"/>
                      <w:highlight w:val="none"/>
                      <w:lang w:val="en-US" w:eastAsia="zh-CN"/>
                    </w:rPr>
                    <w:t>/</w:t>
                  </w:r>
                </w:p>
              </w:tc>
            </w:tr>
          </w:tbl>
          <w:p w14:paraId="0C4C7887">
            <w:pPr>
              <w:spacing w:line="360" w:lineRule="auto"/>
              <w:ind w:firstLine="456" w:firstLineChars="200"/>
              <w:rPr>
                <w:rFonts w:hint="default" w:ascii="Times New Roman" w:hAnsi="Times New Roman" w:cs="Times New Roman"/>
                <w:b w:val="0"/>
                <w:color w:val="auto"/>
                <w:spacing w:val="-6"/>
                <w:sz w:val="24"/>
                <w:szCs w:val="24"/>
                <w:highlight w:val="none"/>
                <w:u w:val="none"/>
                <w:lang w:val="en-US" w:eastAsia="zh-CN"/>
              </w:rPr>
            </w:pPr>
            <w:r>
              <w:rPr>
                <w:rFonts w:hint="default" w:ascii="Times New Roman" w:hAnsi="Times New Roman" w:cs="Times New Roman"/>
                <w:b w:val="0"/>
                <w:color w:val="auto"/>
                <w:spacing w:val="-6"/>
                <w:sz w:val="24"/>
                <w:highlight w:val="none"/>
                <w:u w:val="none"/>
              </w:rPr>
              <w:t>从上表可以看出，各监测断面水质指数值均小于1，所测各指标均达到《地表水环境质量标准》（GB</w:t>
            </w:r>
            <w:r>
              <w:rPr>
                <w:rFonts w:hint="eastAsia" w:ascii="Times New Roman" w:hAnsi="Times New Roman" w:cs="Times New Roman"/>
                <w:b w:val="0"/>
                <w:color w:val="auto"/>
                <w:spacing w:val="-6"/>
                <w:sz w:val="24"/>
                <w:highlight w:val="none"/>
                <w:u w:val="none"/>
                <w:lang w:val="en-US" w:eastAsia="zh-CN"/>
              </w:rPr>
              <w:t xml:space="preserve"> </w:t>
            </w:r>
            <w:r>
              <w:rPr>
                <w:rFonts w:hint="default" w:ascii="Times New Roman" w:hAnsi="Times New Roman" w:cs="Times New Roman"/>
                <w:b w:val="0"/>
                <w:color w:val="auto"/>
                <w:spacing w:val="-6"/>
                <w:sz w:val="24"/>
                <w:highlight w:val="none"/>
                <w:u w:val="none"/>
              </w:rPr>
              <w:t>3838-2002）Ⅳ类水要求。</w:t>
            </w:r>
          </w:p>
          <w:p w14:paraId="3E81067C">
            <w:pPr>
              <w:spacing w:line="360" w:lineRule="auto"/>
              <w:rPr>
                <w:b/>
                <w:color w:val="auto"/>
                <w:sz w:val="24"/>
                <w:szCs w:val="24"/>
                <w:highlight w:val="none"/>
              </w:rPr>
            </w:pPr>
            <w:r>
              <w:rPr>
                <w:rFonts w:hint="eastAsia"/>
                <w:b/>
                <w:color w:val="auto"/>
                <w:sz w:val="24"/>
                <w:szCs w:val="24"/>
                <w:highlight w:val="none"/>
                <w:lang w:val="en-US" w:eastAsia="zh-CN"/>
              </w:rPr>
              <w:t>3、</w:t>
            </w:r>
            <w:r>
              <w:rPr>
                <w:b/>
                <w:color w:val="auto"/>
                <w:sz w:val="24"/>
                <w:szCs w:val="24"/>
                <w:highlight w:val="none"/>
              </w:rPr>
              <w:t>声环境现状</w:t>
            </w:r>
          </w:p>
          <w:p w14:paraId="1B6FB83B">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8"/>
              </w:rPr>
              <w:t>202</w:t>
            </w:r>
            <w:r>
              <w:rPr>
                <w:rFonts w:hint="eastAsia" w:cs="Times New Roman"/>
                <w:color w:val="auto"/>
                <w:kern w:val="0"/>
                <w:sz w:val="24"/>
                <w:szCs w:val="28"/>
                <w:lang w:val="en-US" w:eastAsia="zh-CN"/>
              </w:rPr>
              <w:t>4</w:t>
            </w:r>
            <w:r>
              <w:rPr>
                <w:rFonts w:hint="default" w:ascii="Times New Roman" w:hAnsi="Times New Roman" w:eastAsia="宋体" w:cs="Times New Roman"/>
                <w:color w:val="auto"/>
                <w:kern w:val="0"/>
                <w:sz w:val="24"/>
                <w:szCs w:val="28"/>
              </w:rPr>
              <w:t>年度苏州市生态环境</w:t>
            </w:r>
            <w:r>
              <w:rPr>
                <w:rFonts w:hint="eastAsia" w:cs="Times New Roman"/>
                <w:color w:val="auto"/>
                <w:kern w:val="0"/>
                <w:sz w:val="24"/>
                <w:szCs w:val="28"/>
                <w:lang w:val="en-US" w:eastAsia="zh-CN"/>
              </w:rPr>
              <w:t>状况公报</w:t>
            </w: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highlight w:val="none"/>
              </w:rPr>
              <w:t>中相关资料，声环境质量方面，</w:t>
            </w:r>
            <w:r>
              <w:rPr>
                <w:rFonts w:hint="default" w:ascii="Times New Roman" w:hAnsi="Times New Roman" w:eastAsia="宋体" w:cs="Times New Roman"/>
                <w:color w:val="auto"/>
                <w:sz w:val="24"/>
                <w:szCs w:val="24"/>
                <w:highlight w:val="none"/>
              </w:rPr>
              <w:t>2024年，全市声环境质量总体保持稳定。全市功能区声环境昼间质量较2023年有所下降、夜间质量较2023年有所提升，昼间区域声环境质量和道路交通声环境质量均有所改善</w:t>
            </w:r>
            <w:r>
              <w:rPr>
                <w:rFonts w:hint="eastAsia" w:ascii="宋体" w:hAnsi="宋体" w:eastAsia="宋体" w:cs="宋体"/>
                <w:color w:val="auto"/>
                <w:sz w:val="24"/>
                <w:szCs w:val="24"/>
                <w:highlight w:val="none"/>
              </w:rPr>
              <w:t>。</w:t>
            </w:r>
          </w:p>
          <w:p w14:paraId="40C52148">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2024年，全市昼间区域噪声平均等效声级为54.7dB(A)，同比下降0.3dB(A)，处于区域环境噪声二级</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较好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水平，评价等级持平。各地昼间噪声平均等效声级介于53.6~55.0dB(A)</w:t>
            </w:r>
            <w:r>
              <w:rPr>
                <w:rFonts w:hint="eastAsia" w:ascii="Times New Roman" w:hAnsi="Times New Roman" w:cs="Times New Roman"/>
                <w:color w:val="auto"/>
                <w:sz w:val="24"/>
                <w:szCs w:val="24"/>
                <w:highlight w:val="none"/>
                <w:lang w:eastAsia="zh-CN"/>
              </w:rPr>
              <w:t>。</w:t>
            </w:r>
          </w:p>
          <w:p w14:paraId="07743DD8">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影响全市昼间城市区域声环境质量的主要声源是社会生活噪声，所占比例达58.2%；其余依次为交通噪声、工业噪声和施工噪声，所占比例分别为24.5%、10.4%和6.9%。</w:t>
            </w:r>
          </w:p>
          <w:p w14:paraId="5412EBFF">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依据《声环境质量标准》（GB</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eastAsia="zh-CN"/>
              </w:rPr>
              <w:t>3096-2008）评价，2024年，全市功能区声环境昼间、夜间平均达标率分别为95.8%和88.7%。与2023年相比，功能区声环境昼间平均达标率下降1.4个百分点，夜间平均达标率上升0.5个百分点。全市1~4a类功能区声环境昼间达标率分别为93.2%、94.1%、95.8%和100%，夜间达标率分别为79.5%、97.1%、89.6%和84.6%。</w:t>
            </w:r>
          </w:p>
          <w:p w14:paraId="6E93F712">
            <w:pPr>
              <w:keepNext w:val="0"/>
              <w:keepLines w:val="0"/>
              <w:pageBreakBefore w:val="0"/>
              <w:suppressLineNumbers w:val="0"/>
              <w:kinsoku/>
              <w:wordWrap/>
              <w:overflowPunct/>
              <w:topLinePunct w:val="0"/>
              <w:autoSpaceDE/>
              <w:autoSpaceDN/>
              <w:bidi w:val="0"/>
              <w:spacing w:before="0" w:beforeAutospacing="0" w:afterAutospacing="0" w:line="360" w:lineRule="auto"/>
              <w:ind w:left="0" w:right="105" w:rightChars="50" w:firstLine="480" w:firstLineChars="200"/>
              <w:textAlignment w:val="auto"/>
              <w:rPr>
                <w:rFonts w:hint="eastAsia" w:ascii="宋体" w:hAnsi="宋体" w:eastAsia="宋体" w:cs="宋体"/>
                <w:color w:val="auto"/>
                <w:sz w:val="24"/>
                <w:szCs w:val="24"/>
                <w:highlight w:val="none"/>
                <w:lang w:val="en-US"/>
              </w:rPr>
            </w:pPr>
            <w:r>
              <w:rPr>
                <w:rFonts w:hint="eastAsia" w:ascii="Times New Roman" w:hAnsi="Times New Roman" w:cs="Times New Roman"/>
                <w:color w:val="auto"/>
                <w:sz w:val="24"/>
                <w:szCs w:val="24"/>
                <w:highlight w:val="none"/>
                <w:lang w:eastAsia="zh-CN"/>
              </w:rPr>
              <w:t>2024年，全市昼间道路交通噪声平均等效声级为66.3dB(A)，同比下降0.6dB(A)交通噪声强度为一级，昼间道路交通声环境质量为好。监测路段中共有156.9千米的路段平均等效声级超出道路交通噪声强度昼间二级限值70.0dB(A)，占监测总路长的15.4%，同比下降2.0个百分点。</w:t>
            </w:r>
          </w:p>
          <w:p w14:paraId="4D5CA3EA">
            <w:pPr>
              <w:spacing w:line="360" w:lineRule="auto"/>
              <w:ind w:firstLine="480" w:firstLineChars="200"/>
              <w:rPr>
                <w:color w:val="auto"/>
                <w:sz w:val="24"/>
                <w:szCs w:val="24"/>
                <w:highlight w:val="none"/>
              </w:rPr>
            </w:pPr>
            <w:r>
              <w:rPr>
                <w:color w:val="auto"/>
                <w:sz w:val="24"/>
                <w:szCs w:val="24"/>
                <w:highlight w:val="none"/>
              </w:rPr>
              <w:t>本项目周边50m范围内无声环境敏感目标</w:t>
            </w:r>
            <w:r>
              <w:rPr>
                <w:rFonts w:hint="eastAsia"/>
                <w:color w:val="auto"/>
                <w:sz w:val="24"/>
                <w:szCs w:val="24"/>
                <w:highlight w:val="none"/>
              </w:rPr>
              <w:t>，根据《苏州市市区声环境功能区划分规定》（2018年修订版）</w:t>
            </w:r>
            <w:r>
              <w:rPr>
                <w:rFonts w:hint="eastAsia"/>
                <w:color w:val="auto"/>
                <w:sz w:val="24"/>
                <w:szCs w:val="24"/>
                <w:highlight w:val="none"/>
                <w:lang w:eastAsia="zh-CN"/>
              </w:rPr>
              <w:t>“</w:t>
            </w:r>
            <w:r>
              <w:rPr>
                <w:rFonts w:hint="eastAsia"/>
                <w:color w:val="auto"/>
                <w:sz w:val="24"/>
                <w:szCs w:val="24"/>
                <w:highlight w:val="none"/>
              </w:rPr>
              <w:t>第</w:t>
            </w:r>
            <w:r>
              <w:rPr>
                <w:rFonts w:hint="eastAsia"/>
                <w:color w:val="auto"/>
                <w:sz w:val="24"/>
                <w:szCs w:val="24"/>
                <w:highlight w:val="none"/>
                <w:lang w:val="en-US" w:eastAsia="zh-CN"/>
              </w:rPr>
              <w:t>七</w:t>
            </w:r>
            <w:r>
              <w:rPr>
                <w:rFonts w:hint="eastAsia"/>
                <w:color w:val="auto"/>
                <w:sz w:val="24"/>
                <w:szCs w:val="24"/>
                <w:highlight w:val="none"/>
              </w:rPr>
              <w:t>项，以商业金融、集市贸易为主要功能，或者居住、商业、工业混杂，需要维护住宅安静的区域</w:t>
            </w:r>
            <w:r>
              <w:rPr>
                <w:rFonts w:hint="eastAsia"/>
                <w:color w:val="auto"/>
                <w:sz w:val="24"/>
                <w:szCs w:val="24"/>
                <w:highlight w:val="none"/>
                <w:lang w:eastAsia="zh-CN"/>
              </w:rPr>
              <w:t>”</w:t>
            </w:r>
            <w:r>
              <w:rPr>
                <w:rFonts w:hint="eastAsia"/>
                <w:color w:val="auto"/>
                <w:sz w:val="24"/>
                <w:szCs w:val="24"/>
                <w:highlight w:val="none"/>
              </w:rPr>
              <w:t>，本项目</w:t>
            </w:r>
            <w:r>
              <w:rPr>
                <w:rFonts w:hint="eastAsia"/>
                <w:color w:val="auto"/>
                <w:sz w:val="24"/>
                <w:szCs w:val="24"/>
                <w:highlight w:val="none"/>
                <w:lang w:val="en-US" w:eastAsia="zh-CN"/>
              </w:rPr>
              <w:t>位于</w:t>
            </w:r>
            <w:r>
              <w:rPr>
                <w:rFonts w:hint="eastAsia"/>
                <w:color w:val="auto"/>
                <w:sz w:val="24"/>
                <w:szCs w:val="24"/>
                <w:highlight w:val="none"/>
              </w:rPr>
              <w:t>江苏省苏州市相城区元春路353号</w:t>
            </w:r>
            <w:r>
              <w:rPr>
                <w:rFonts w:hint="eastAsia"/>
                <w:color w:val="auto"/>
                <w:sz w:val="24"/>
                <w:szCs w:val="24"/>
                <w:highlight w:val="none"/>
                <w:lang w:val="en-US" w:eastAsia="zh-CN"/>
              </w:rPr>
              <w:t>，</w:t>
            </w:r>
            <w:r>
              <w:rPr>
                <w:rFonts w:hint="eastAsia"/>
                <w:color w:val="auto"/>
                <w:sz w:val="24"/>
                <w:szCs w:val="24"/>
                <w:highlight w:val="none"/>
              </w:rPr>
              <w:t>执行《声环境质量标准》（GB</w:t>
            </w:r>
            <w:r>
              <w:rPr>
                <w:rFonts w:hint="eastAsia"/>
                <w:color w:val="auto"/>
                <w:sz w:val="24"/>
                <w:szCs w:val="24"/>
                <w:highlight w:val="none"/>
                <w:lang w:val="en-US" w:eastAsia="zh-CN"/>
              </w:rPr>
              <w:t xml:space="preserve"> </w:t>
            </w:r>
            <w:r>
              <w:rPr>
                <w:rFonts w:hint="eastAsia"/>
                <w:color w:val="auto"/>
                <w:sz w:val="24"/>
                <w:szCs w:val="24"/>
                <w:highlight w:val="none"/>
              </w:rPr>
              <w:t>3096-2008）</w:t>
            </w:r>
            <w:r>
              <w:rPr>
                <w:rFonts w:hint="eastAsia"/>
                <w:color w:val="auto"/>
                <w:sz w:val="24"/>
                <w:szCs w:val="24"/>
                <w:highlight w:val="none"/>
                <w:lang w:val="en-US" w:eastAsia="zh-CN"/>
              </w:rPr>
              <w:t>2</w:t>
            </w:r>
            <w:r>
              <w:rPr>
                <w:rFonts w:hint="eastAsia"/>
                <w:color w:val="auto"/>
                <w:sz w:val="24"/>
                <w:szCs w:val="24"/>
                <w:highlight w:val="none"/>
              </w:rPr>
              <w:t>类标准，</w:t>
            </w:r>
            <w:r>
              <w:rPr>
                <w:color w:val="auto"/>
                <w:sz w:val="24"/>
                <w:szCs w:val="24"/>
                <w:highlight w:val="none"/>
              </w:rPr>
              <w:t>具体见</w:t>
            </w:r>
            <w:r>
              <w:rPr>
                <w:rFonts w:hint="eastAsia"/>
                <w:color w:val="auto"/>
                <w:sz w:val="24"/>
                <w:szCs w:val="24"/>
                <w:highlight w:val="none"/>
                <w:lang w:val="en-US" w:eastAsia="zh-CN"/>
              </w:rPr>
              <w:t>下表</w:t>
            </w:r>
            <w:r>
              <w:rPr>
                <w:color w:val="auto"/>
                <w:sz w:val="24"/>
                <w:szCs w:val="24"/>
                <w:highlight w:val="none"/>
              </w:rPr>
              <w:t>。</w:t>
            </w:r>
          </w:p>
          <w:p w14:paraId="4ECA79B2">
            <w:pPr>
              <w:numPr>
                <w:ilvl w:val="0"/>
                <w:numId w:val="4"/>
              </w:numPr>
              <w:adjustRightInd w:val="0"/>
              <w:snapToGrid w:val="0"/>
              <w:jc w:val="center"/>
              <w:rPr>
                <w:b/>
                <w:color w:val="auto"/>
                <w:sz w:val="24"/>
                <w:szCs w:val="24"/>
                <w:highlight w:val="none"/>
              </w:rPr>
            </w:pPr>
            <w:r>
              <w:rPr>
                <w:b/>
                <w:color w:val="auto"/>
                <w:sz w:val="24"/>
                <w:szCs w:val="24"/>
                <w:highlight w:val="none"/>
              </w:rPr>
              <w:t>声环境质量标准</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889"/>
              <w:gridCol w:w="5786"/>
            </w:tblGrid>
            <w:tr w14:paraId="4797366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1" w:type="pct"/>
                  <w:tcBorders>
                    <w:tl2br w:val="nil"/>
                    <w:tr2bl w:val="nil"/>
                  </w:tcBorders>
                  <w:vAlign w:val="center"/>
                </w:tcPr>
                <w:p w14:paraId="48AB6E9D">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类别</w:t>
                  </w:r>
                </w:p>
              </w:tc>
              <w:tc>
                <w:tcPr>
                  <w:tcW w:w="1028" w:type="pct"/>
                  <w:tcBorders>
                    <w:tl2br w:val="nil"/>
                    <w:tr2bl w:val="nil"/>
                  </w:tcBorders>
                  <w:vAlign w:val="center"/>
                </w:tcPr>
                <w:p w14:paraId="73BF6BC7">
                  <w:pPr>
                    <w:pStyle w:val="31"/>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昼间dB</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A</w:t>
                  </w:r>
                  <w:r>
                    <w:rPr>
                      <w:rFonts w:hint="default" w:ascii="Times New Roman" w:hAnsi="Times New Roman" w:eastAsia="仿宋" w:cs="Times New Roman"/>
                      <w:b/>
                      <w:color w:val="auto"/>
                      <w:sz w:val="21"/>
                      <w:szCs w:val="21"/>
                      <w:highlight w:val="none"/>
                      <w:lang w:eastAsia="zh-CN"/>
                    </w:rPr>
                    <w:t>）</w:t>
                  </w:r>
                </w:p>
              </w:tc>
              <w:tc>
                <w:tcPr>
                  <w:tcW w:w="3150" w:type="pct"/>
                  <w:tcBorders>
                    <w:tl2br w:val="nil"/>
                    <w:tr2bl w:val="nil"/>
                  </w:tcBorders>
                  <w:vAlign w:val="center"/>
                </w:tcPr>
                <w:p w14:paraId="5A108A51">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w:t>
                  </w:r>
                </w:p>
              </w:tc>
            </w:tr>
            <w:tr w14:paraId="715C459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1" w:type="pct"/>
                  <w:tcBorders>
                    <w:tl2br w:val="nil"/>
                    <w:tr2bl w:val="nil"/>
                  </w:tcBorders>
                  <w:vAlign w:val="center"/>
                </w:tcPr>
                <w:p w14:paraId="0F0F7D6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标准限值</w:t>
                  </w:r>
                </w:p>
              </w:tc>
              <w:tc>
                <w:tcPr>
                  <w:tcW w:w="1028" w:type="pct"/>
                  <w:tcBorders>
                    <w:tl2br w:val="nil"/>
                    <w:tr2bl w:val="nil"/>
                  </w:tcBorders>
                  <w:vAlign w:val="center"/>
                </w:tcPr>
                <w:p w14:paraId="604B1D7A">
                  <w:pPr>
                    <w:pStyle w:val="31"/>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6</w:t>
                  </w:r>
                  <w:r>
                    <w:rPr>
                      <w:rFonts w:hint="eastAsia" w:eastAsia="仿宋" w:cs="Times New Roman"/>
                      <w:color w:val="auto"/>
                      <w:sz w:val="21"/>
                      <w:szCs w:val="21"/>
                      <w:highlight w:val="none"/>
                      <w:lang w:val="en-US" w:eastAsia="zh-CN"/>
                    </w:rPr>
                    <w:t>0</w:t>
                  </w:r>
                </w:p>
              </w:tc>
              <w:tc>
                <w:tcPr>
                  <w:tcW w:w="3150" w:type="pct"/>
                  <w:tcBorders>
                    <w:tl2br w:val="nil"/>
                    <w:tr2bl w:val="nil"/>
                  </w:tcBorders>
                  <w:vAlign w:val="center"/>
                </w:tcPr>
                <w:p w14:paraId="06E0990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《声环境质量标准》（GB</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rPr>
                    <w:t>3096-2008）</w:t>
                  </w:r>
                  <w:r>
                    <w:rPr>
                      <w:rFonts w:hint="eastAsia"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类标准</w:t>
                  </w:r>
                </w:p>
              </w:tc>
            </w:tr>
          </w:tbl>
          <w:p w14:paraId="7BE77338">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地下水、土壤环境现状</w:t>
            </w:r>
          </w:p>
          <w:p w14:paraId="793C2DCA">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本项目可能对地下水和土壤产生环境影响的区域为</w:t>
            </w:r>
            <w:r>
              <w:rPr>
                <w:rFonts w:hint="eastAsia"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rPr>
              <w:t>、危废仓库、</w:t>
            </w:r>
            <w:r>
              <w:rPr>
                <w:rFonts w:hint="eastAsia" w:cs="Times New Roman"/>
                <w:color w:val="auto"/>
                <w:sz w:val="24"/>
                <w:szCs w:val="24"/>
                <w:highlight w:val="none"/>
                <w:lang w:val="en-US" w:eastAsia="zh-CN"/>
              </w:rPr>
              <w:t>原料仓库、</w:t>
            </w:r>
            <w:r>
              <w:rPr>
                <w:rFonts w:hint="default" w:ascii="Times New Roman" w:hAnsi="Times New Roman" w:eastAsia="宋体" w:cs="Times New Roman"/>
                <w:color w:val="auto"/>
                <w:sz w:val="24"/>
                <w:szCs w:val="24"/>
                <w:highlight w:val="none"/>
              </w:rPr>
              <w:t>废气处理装置区，各区域均采取</w:t>
            </w:r>
            <w:r>
              <w:rPr>
                <w:rFonts w:hint="eastAsia" w:cs="Times New Roman"/>
                <w:color w:val="auto"/>
                <w:sz w:val="24"/>
                <w:szCs w:val="24"/>
                <w:highlight w:val="none"/>
                <w:lang w:eastAsia="zh-CN"/>
              </w:rPr>
              <w:t>相关防渗措施</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项目正常运行情况下</w:t>
            </w:r>
            <w:r>
              <w:rPr>
                <w:rFonts w:hint="default" w:ascii="Times New Roman" w:hAnsi="Times New Roman" w:eastAsia="宋体" w:cs="Times New Roman"/>
                <w:color w:val="auto"/>
                <w:sz w:val="24"/>
                <w:szCs w:val="24"/>
                <w:highlight w:val="none"/>
              </w:rPr>
              <w:t>不存在地下水污染途径，根据《建设项目环境影响报告表编制技术指南（污染影响类）》（2021年4月1日起实施）文件要求，地下水、土壤环境原则上不开展环境质量现状调查。</w:t>
            </w:r>
          </w:p>
          <w:p w14:paraId="17F06277">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生态环境现状</w:t>
            </w:r>
          </w:p>
          <w:p w14:paraId="6741445A">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位于江苏省苏州市相城区元春路353号，利用</w:t>
            </w:r>
            <w:r>
              <w:rPr>
                <w:rFonts w:hint="eastAsia" w:cs="Times New Roman"/>
                <w:color w:val="auto"/>
                <w:sz w:val="24"/>
                <w:szCs w:val="24"/>
                <w:highlight w:val="none"/>
                <w:lang w:val="en-US" w:eastAsia="zh-CN"/>
              </w:rPr>
              <w:t>现有租赁厂房</w:t>
            </w:r>
            <w:r>
              <w:rPr>
                <w:rFonts w:hint="default" w:ascii="Times New Roman" w:hAnsi="Times New Roman" w:eastAsia="宋体" w:cs="Times New Roman"/>
                <w:color w:val="auto"/>
                <w:sz w:val="24"/>
                <w:szCs w:val="24"/>
                <w:highlight w:val="none"/>
              </w:rPr>
              <w:t>进行生产，不新增用地，且用地范围内无生态环境保护目标</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rPr>
              <w:t>无需开展生态</w:t>
            </w:r>
            <w:r>
              <w:rPr>
                <w:rFonts w:hint="eastAsia"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rPr>
              <w:t>现状调查。</w:t>
            </w:r>
          </w:p>
        </w:tc>
      </w:tr>
      <w:tr w14:paraId="4BC05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 w:type="pct"/>
            <w:vAlign w:val="center"/>
          </w:tcPr>
          <w:p w14:paraId="0CE7A4B0">
            <w:pPr>
              <w:adjustRightInd w:val="0"/>
              <w:snapToGrid w:val="0"/>
              <w:jc w:val="center"/>
              <w:rPr>
                <w:color w:val="auto"/>
                <w:kern w:val="0"/>
                <w:szCs w:val="21"/>
                <w:highlight w:val="none"/>
              </w:rPr>
            </w:pPr>
            <w:r>
              <w:rPr>
                <w:color w:val="auto"/>
                <w:kern w:val="0"/>
                <w:sz w:val="24"/>
                <w:szCs w:val="24"/>
                <w:highlight w:val="none"/>
              </w:rPr>
              <w:t>环境保护目标</w:t>
            </w:r>
          </w:p>
        </w:tc>
        <w:tc>
          <w:tcPr>
            <w:tcW w:w="4736" w:type="pct"/>
          </w:tcPr>
          <w:p w14:paraId="2DA5B26E">
            <w:pPr>
              <w:spacing w:line="360" w:lineRule="auto"/>
              <w:rPr>
                <w:rFonts w:hAnsi="宋体"/>
                <w:b/>
                <w:bCs/>
                <w:color w:val="auto"/>
                <w:sz w:val="24"/>
                <w:szCs w:val="24"/>
                <w:highlight w:val="none"/>
              </w:rPr>
            </w:pPr>
            <w:r>
              <w:rPr>
                <w:rFonts w:hint="eastAsia" w:hAnsi="宋体"/>
                <w:b/>
                <w:bCs/>
                <w:color w:val="auto"/>
                <w:sz w:val="24"/>
                <w:szCs w:val="24"/>
                <w:highlight w:val="none"/>
                <w:lang w:val="en-US" w:eastAsia="zh-CN"/>
              </w:rPr>
              <w:t>1、</w:t>
            </w:r>
            <w:r>
              <w:rPr>
                <w:rFonts w:hint="eastAsia" w:hAnsi="宋体"/>
                <w:b/>
                <w:bCs/>
                <w:color w:val="auto"/>
                <w:sz w:val="24"/>
                <w:szCs w:val="24"/>
                <w:highlight w:val="none"/>
              </w:rPr>
              <w:t>大气环境保护目标</w:t>
            </w:r>
          </w:p>
          <w:p w14:paraId="4DAB3D6A">
            <w:pPr>
              <w:spacing w:line="360" w:lineRule="auto"/>
              <w:ind w:firstLine="480" w:firstLineChars="200"/>
              <w:rPr>
                <w:rFonts w:hint="eastAsia"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rPr>
              <w:t>本项目厂界外500米范围内</w:t>
            </w:r>
            <w:r>
              <w:rPr>
                <w:rFonts w:hint="eastAsia" w:cs="Times New Roman"/>
                <w:color w:val="auto"/>
                <w:kern w:val="21"/>
                <w:sz w:val="24"/>
                <w:szCs w:val="24"/>
                <w:highlight w:val="none"/>
                <w:lang w:val="en-US" w:eastAsia="zh-CN"/>
              </w:rPr>
              <w:t>环境敏感点见下表</w:t>
            </w:r>
            <w:r>
              <w:rPr>
                <w:rFonts w:hint="eastAsia" w:cs="Times New Roman"/>
                <w:color w:val="auto"/>
                <w:kern w:val="21"/>
                <w:sz w:val="24"/>
                <w:szCs w:val="24"/>
                <w:highlight w:val="none"/>
                <w:lang w:eastAsia="zh-CN"/>
              </w:rPr>
              <w:t>。</w:t>
            </w:r>
          </w:p>
          <w:p w14:paraId="67383A2C">
            <w:pPr>
              <w:numPr>
                <w:ilvl w:val="0"/>
                <w:numId w:val="4"/>
              </w:numPr>
              <w:adjustRightInd w:val="0"/>
              <w:snapToGrid w:val="0"/>
              <w:jc w:val="center"/>
              <w:rPr>
                <w:rFonts w:hint="eastAsia"/>
                <w:b/>
                <w:color w:val="auto"/>
                <w:sz w:val="24"/>
                <w:szCs w:val="24"/>
                <w:highlight w:val="none"/>
              </w:rPr>
            </w:pPr>
            <w:r>
              <w:rPr>
                <w:rFonts w:hint="default"/>
                <w:b/>
                <w:color w:val="auto"/>
                <w:sz w:val="24"/>
                <w:szCs w:val="24"/>
                <w:highlight w:val="none"/>
              </w:rPr>
              <w:t>建设项目主要环境保护目标一览表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708"/>
              <w:gridCol w:w="869"/>
              <w:gridCol w:w="1480"/>
              <w:gridCol w:w="1113"/>
              <w:gridCol w:w="1080"/>
              <w:gridCol w:w="1038"/>
              <w:gridCol w:w="948"/>
              <w:gridCol w:w="1043"/>
            </w:tblGrid>
            <w:tr w14:paraId="565B458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57" w:hRule="atLeast"/>
                <w:jc w:val="center"/>
              </w:trPr>
              <w:tc>
                <w:tcPr>
                  <w:tcW w:w="492" w:type="pct"/>
                  <w:vMerge w:val="restart"/>
                  <w:tcBorders>
                    <w:tl2br w:val="nil"/>
                    <w:tr2bl w:val="nil"/>
                  </w:tcBorders>
                  <w:noWrap w:val="0"/>
                  <w:vAlign w:val="center"/>
                </w:tcPr>
                <w:p w14:paraId="44DAA391">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环境要素</w:t>
                  </w:r>
                </w:p>
              </w:tc>
              <w:tc>
                <w:tcPr>
                  <w:tcW w:w="859" w:type="pct"/>
                  <w:gridSpan w:val="2"/>
                  <w:tcBorders>
                    <w:tl2br w:val="nil"/>
                    <w:tr2bl w:val="nil"/>
                  </w:tcBorders>
                  <w:noWrap w:val="0"/>
                  <w:vAlign w:val="center"/>
                </w:tcPr>
                <w:p w14:paraId="41E5F33B">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坐标</w:t>
                  </w:r>
                </w:p>
              </w:tc>
              <w:tc>
                <w:tcPr>
                  <w:tcW w:w="806" w:type="pct"/>
                  <w:vMerge w:val="restart"/>
                  <w:tcBorders>
                    <w:tl2br w:val="nil"/>
                    <w:tr2bl w:val="nil"/>
                  </w:tcBorders>
                  <w:noWrap w:val="0"/>
                  <w:vAlign w:val="center"/>
                </w:tcPr>
                <w:p w14:paraId="0B5358B1">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606" w:type="pct"/>
                  <w:vMerge w:val="restart"/>
                  <w:tcBorders>
                    <w:tl2br w:val="nil"/>
                    <w:tr2bl w:val="nil"/>
                  </w:tcBorders>
                  <w:noWrap w:val="0"/>
                  <w:vAlign w:val="center"/>
                </w:tcPr>
                <w:p w14:paraId="557F8B26">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保护对象</w:t>
                  </w:r>
                </w:p>
              </w:tc>
              <w:tc>
                <w:tcPr>
                  <w:tcW w:w="588" w:type="pct"/>
                  <w:vMerge w:val="restart"/>
                  <w:tcBorders>
                    <w:tl2br w:val="nil"/>
                    <w:tr2bl w:val="nil"/>
                  </w:tcBorders>
                  <w:noWrap w:val="0"/>
                  <w:vAlign w:val="center"/>
                </w:tcPr>
                <w:p w14:paraId="5BABFE7B">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保护内容</w:t>
                  </w:r>
                </w:p>
              </w:tc>
              <w:tc>
                <w:tcPr>
                  <w:tcW w:w="565" w:type="pct"/>
                  <w:vMerge w:val="restart"/>
                  <w:tcBorders>
                    <w:tl2br w:val="nil"/>
                    <w:tr2bl w:val="nil"/>
                  </w:tcBorders>
                  <w:noWrap w:val="0"/>
                  <w:vAlign w:val="center"/>
                </w:tcPr>
                <w:p w14:paraId="5DFEF8DB">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环境功能区</w:t>
                  </w:r>
                </w:p>
              </w:tc>
              <w:tc>
                <w:tcPr>
                  <w:tcW w:w="516" w:type="pct"/>
                  <w:vMerge w:val="restart"/>
                  <w:tcBorders>
                    <w:tl2br w:val="nil"/>
                    <w:tr2bl w:val="nil"/>
                  </w:tcBorders>
                  <w:noWrap w:val="0"/>
                  <w:vAlign w:val="center"/>
                </w:tcPr>
                <w:p w14:paraId="1F319D22">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相对厂址方位</w:t>
                  </w:r>
                </w:p>
              </w:tc>
              <w:tc>
                <w:tcPr>
                  <w:tcW w:w="565" w:type="pct"/>
                  <w:vMerge w:val="restart"/>
                  <w:tcBorders>
                    <w:tl2br w:val="nil"/>
                    <w:tr2bl w:val="nil"/>
                  </w:tcBorders>
                  <w:noWrap w:val="0"/>
                  <w:vAlign w:val="center"/>
                </w:tcPr>
                <w:p w14:paraId="0023EB2E">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相对厂界距离</w:t>
                  </w:r>
                </w:p>
              </w:tc>
            </w:tr>
            <w:tr w14:paraId="3FAAF6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732CF32C">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386" w:type="pct"/>
                  <w:tcBorders>
                    <w:tl2br w:val="nil"/>
                    <w:tr2bl w:val="nil"/>
                  </w:tcBorders>
                  <w:noWrap w:val="0"/>
                  <w:vAlign w:val="center"/>
                </w:tcPr>
                <w:p w14:paraId="07641404">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X</w:t>
                  </w:r>
                </w:p>
              </w:tc>
              <w:tc>
                <w:tcPr>
                  <w:tcW w:w="472" w:type="pct"/>
                  <w:tcBorders>
                    <w:tl2br w:val="nil"/>
                    <w:tr2bl w:val="nil"/>
                  </w:tcBorders>
                  <w:noWrap w:val="0"/>
                  <w:vAlign w:val="center"/>
                </w:tcPr>
                <w:p w14:paraId="1EC0E2D4">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Y</w:t>
                  </w:r>
                </w:p>
              </w:tc>
              <w:tc>
                <w:tcPr>
                  <w:tcW w:w="806" w:type="pct"/>
                  <w:vMerge w:val="continue"/>
                  <w:tcBorders>
                    <w:tl2br w:val="nil"/>
                    <w:tr2bl w:val="nil"/>
                  </w:tcBorders>
                  <w:noWrap w:val="0"/>
                  <w:vAlign w:val="center"/>
                </w:tcPr>
                <w:p w14:paraId="0A63D347">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606" w:type="pct"/>
                  <w:vMerge w:val="continue"/>
                  <w:tcBorders>
                    <w:tl2br w:val="nil"/>
                    <w:tr2bl w:val="nil"/>
                  </w:tcBorders>
                  <w:noWrap w:val="0"/>
                  <w:vAlign w:val="center"/>
                </w:tcPr>
                <w:p w14:paraId="7A6C740E">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588" w:type="pct"/>
                  <w:vMerge w:val="continue"/>
                  <w:tcBorders>
                    <w:tl2br w:val="nil"/>
                    <w:tr2bl w:val="nil"/>
                  </w:tcBorders>
                  <w:noWrap w:val="0"/>
                  <w:vAlign w:val="center"/>
                </w:tcPr>
                <w:p w14:paraId="0439840B">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565" w:type="pct"/>
                  <w:vMerge w:val="continue"/>
                  <w:tcBorders>
                    <w:tl2br w:val="nil"/>
                    <w:tr2bl w:val="nil"/>
                  </w:tcBorders>
                  <w:noWrap w:val="0"/>
                  <w:vAlign w:val="center"/>
                </w:tcPr>
                <w:p w14:paraId="3BE0ED8C">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516" w:type="pct"/>
                  <w:vMerge w:val="continue"/>
                  <w:tcBorders>
                    <w:tl2br w:val="nil"/>
                    <w:tr2bl w:val="nil"/>
                  </w:tcBorders>
                  <w:noWrap w:val="0"/>
                  <w:vAlign w:val="center"/>
                </w:tcPr>
                <w:p w14:paraId="5821E37A">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c>
                <w:tcPr>
                  <w:tcW w:w="565" w:type="pct"/>
                  <w:vMerge w:val="continue"/>
                  <w:tcBorders>
                    <w:tl2br w:val="nil"/>
                    <w:tr2bl w:val="nil"/>
                  </w:tcBorders>
                  <w:noWrap w:val="0"/>
                  <w:vAlign w:val="center"/>
                </w:tcPr>
                <w:p w14:paraId="69C26512">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p>
              </w:tc>
            </w:tr>
            <w:tr w14:paraId="070B305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restart"/>
                  <w:tcBorders>
                    <w:tl2br w:val="nil"/>
                    <w:tr2bl w:val="nil"/>
                  </w:tcBorders>
                  <w:noWrap w:val="0"/>
                  <w:vAlign w:val="center"/>
                </w:tcPr>
                <w:p w14:paraId="40984646">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空气环境（厂界外500m）</w:t>
                  </w:r>
                </w:p>
              </w:tc>
              <w:tc>
                <w:tcPr>
                  <w:tcW w:w="386" w:type="pct"/>
                  <w:tcBorders>
                    <w:tl2br w:val="nil"/>
                    <w:tr2bl w:val="nil"/>
                  </w:tcBorders>
                  <w:noWrap w:val="0"/>
                  <w:vAlign w:val="center"/>
                </w:tcPr>
                <w:p w14:paraId="139CC8C2">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-188</w:t>
                  </w:r>
                </w:p>
              </w:tc>
              <w:tc>
                <w:tcPr>
                  <w:tcW w:w="472" w:type="pct"/>
                  <w:tcBorders>
                    <w:tl2br w:val="nil"/>
                    <w:tr2bl w:val="nil"/>
                  </w:tcBorders>
                  <w:noWrap w:val="0"/>
                  <w:vAlign w:val="center"/>
                </w:tcPr>
                <w:p w14:paraId="7827FBE4">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345</w:t>
                  </w:r>
                </w:p>
              </w:tc>
              <w:tc>
                <w:tcPr>
                  <w:tcW w:w="806" w:type="pct"/>
                  <w:tcBorders>
                    <w:tl2br w:val="nil"/>
                    <w:tr2bl w:val="nil"/>
                  </w:tcBorders>
                  <w:noWrap w:val="0"/>
                  <w:vAlign w:val="center"/>
                </w:tcPr>
                <w:p w14:paraId="00F98D2E">
                  <w:pPr>
                    <w:keepNext w:val="0"/>
                    <w:keepLines w:val="0"/>
                    <w:suppressLineNumbers w:val="0"/>
                    <w:spacing w:before="0" w:beforeAutospacing="0" w:after="0" w:afterAutospacing="0" w:line="320" w:lineRule="exact"/>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东渡海派青城</w:t>
                  </w:r>
                </w:p>
              </w:tc>
              <w:tc>
                <w:tcPr>
                  <w:tcW w:w="606" w:type="pct"/>
                  <w:tcBorders>
                    <w:tl2br w:val="nil"/>
                    <w:tr2bl w:val="nil"/>
                  </w:tcBorders>
                  <w:noWrap w:val="0"/>
                  <w:vAlign w:val="center"/>
                </w:tcPr>
                <w:p w14:paraId="14E40D63">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居住区</w:t>
                  </w:r>
                </w:p>
              </w:tc>
              <w:tc>
                <w:tcPr>
                  <w:tcW w:w="588" w:type="pct"/>
                  <w:tcBorders>
                    <w:tl2br w:val="nil"/>
                    <w:tr2bl w:val="nil"/>
                  </w:tcBorders>
                  <w:noWrap w:val="0"/>
                  <w:vAlign w:val="center"/>
                </w:tcPr>
                <w:p w14:paraId="3A8A36BF">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居民</w:t>
                  </w:r>
                </w:p>
              </w:tc>
              <w:tc>
                <w:tcPr>
                  <w:tcW w:w="565" w:type="pct"/>
                  <w:tcBorders>
                    <w:tl2br w:val="nil"/>
                    <w:tr2bl w:val="nil"/>
                  </w:tcBorders>
                  <w:noWrap w:val="0"/>
                  <w:vAlign w:val="center"/>
                </w:tcPr>
                <w:p w14:paraId="03D7AE86">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二类区</w:t>
                  </w:r>
                </w:p>
              </w:tc>
              <w:tc>
                <w:tcPr>
                  <w:tcW w:w="516" w:type="pct"/>
                  <w:tcBorders>
                    <w:tl2br w:val="nil"/>
                    <w:tr2bl w:val="nil"/>
                  </w:tcBorders>
                  <w:noWrap w:val="0"/>
                  <w:vAlign w:val="center"/>
                </w:tcPr>
                <w:p w14:paraId="12B34533">
                  <w:pPr>
                    <w:keepNext w:val="0"/>
                    <w:keepLines w:val="0"/>
                    <w:suppressLineNumbers w:val="0"/>
                    <w:overflowPunct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西北</w:t>
                  </w:r>
                </w:p>
              </w:tc>
              <w:tc>
                <w:tcPr>
                  <w:tcW w:w="565" w:type="pct"/>
                  <w:tcBorders>
                    <w:tl2br w:val="nil"/>
                    <w:tr2bl w:val="nil"/>
                  </w:tcBorders>
                  <w:noWrap w:val="0"/>
                  <w:vAlign w:val="center"/>
                </w:tcPr>
                <w:p w14:paraId="26548CE9">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355m</w:t>
                  </w:r>
                </w:p>
              </w:tc>
            </w:tr>
            <w:tr w14:paraId="293A8C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6447A17F">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noWrap w:val="0"/>
                  <w:vAlign w:val="center"/>
                </w:tcPr>
                <w:p w14:paraId="694DC33A">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48</w:t>
                  </w:r>
                </w:p>
              </w:tc>
              <w:tc>
                <w:tcPr>
                  <w:tcW w:w="472" w:type="pct"/>
                  <w:tcBorders>
                    <w:tl2br w:val="nil"/>
                    <w:tr2bl w:val="nil"/>
                  </w:tcBorders>
                  <w:noWrap w:val="0"/>
                  <w:vAlign w:val="center"/>
                </w:tcPr>
                <w:p w14:paraId="4BA02D78">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152</w:t>
                  </w:r>
                </w:p>
              </w:tc>
              <w:tc>
                <w:tcPr>
                  <w:tcW w:w="806" w:type="pct"/>
                  <w:tcBorders>
                    <w:tl2br w:val="nil"/>
                    <w:tr2bl w:val="nil"/>
                  </w:tcBorders>
                  <w:noWrap w:val="0"/>
                  <w:vAlign w:val="center"/>
                </w:tcPr>
                <w:p w14:paraId="37AA3C52">
                  <w:pPr>
                    <w:keepNext w:val="0"/>
                    <w:keepLines w:val="0"/>
                    <w:suppressLineNumbers w:val="0"/>
                    <w:spacing w:before="0" w:beforeAutospacing="0" w:after="0" w:afterAutospacing="0" w:line="320" w:lineRule="exact"/>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春天璟墅</w:t>
                  </w:r>
                </w:p>
              </w:tc>
              <w:tc>
                <w:tcPr>
                  <w:tcW w:w="606" w:type="pct"/>
                  <w:tcBorders>
                    <w:tl2br w:val="nil"/>
                    <w:tr2bl w:val="nil"/>
                  </w:tcBorders>
                  <w:noWrap w:val="0"/>
                  <w:vAlign w:val="center"/>
                </w:tcPr>
                <w:p w14:paraId="2A3A1338">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居住区</w:t>
                  </w:r>
                </w:p>
              </w:tc>
              <w:tc>
                <w:tcPr>
                  <w:tcW w:w="588" w:type="pct"/>
                  <w:tcBorders>
                    <w:tl2br w:val="nil"/>
                    <w:tr2bl w:val="nil"/>
                  </w:tcBorders>
                  <w:noWrap w:val="0"/>
                  <w:vAlign w:val="center"/>
                </w:tcPr>
                <w:p w14:paraId="78BBAE9D">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居民</w:t>
                  </w:r>
                </w:p>
              </w:tc>
              <w:tc>
                <w:tcPr>
                  <w:tcW w:w="565" w:type="pct"/>
                  <w:tcBorders>
                    <w:tl2br w:val="nil"/>
                    <w:tr2bl w:val="nil"/>
                  </w:tcBorders>
                  <w:noWrap w:val="0"/>
                  <w:vAlign w:val="center"/>
                </w:tcPr>
                <w:p w14:paraId="13F918BA">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二类区</w:t>
                  </w:r>
                </w:p>
              </w:tc>
              <w:tc>
                <w:tcPr>
                  <w:tcW w:w="516" w:type="pct"/>
                  <w:tcBorders>
                    <w:tl2br w:val="nil"/>
                    <w:tr2bl w:val="nil"/>
                  </w:tcBorders>
                  <w:noWrap w:val="0"/>
                  <w:vAlign w:val="center"/>
                </w:tcPr>
                <w:p w14:paraId="3145BE6A">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北</w:t>
                  </w:r>
                </w:p>
              </w:tc>
              <w:tc>
                <w:tcPr>
                  <w:tcW w:w="565" w:type="pct"/>
                  <w:tcBorders>
                    <w:tl2br w:val="nil"/>
                    <w:tr2bl w:val="nil"/>
                  </w:tcBorders>
                  <w:noWrap w:val="0"/>
                  <w:vAlign w:val="center"/>
                </w:tcPr>
                <w:p w14:paraId="029E25B6">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106m</w:t>
                  </w:r>
                </w:p>
              </w:tc>
            </w:tr>
            <w:tr w14:paraId="6F79B0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19F78239">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noWrap w:val="0"/>
                  <w:vAlign w:val="center"/>
                </w:tcPr>
                <w:p w14:paraId="12D7868A">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328</w:t>
                  </w:r>
                </w:p>
              </w:tc>
              <w:tc>
                <w:tcPr>
                  <w:tcW w:w="472" w:type="pct"/>
                  <w:tcBorders>
                    <w:tl2br w:val="nil"/>
                    <w:tr2bl w:val="nil"/>
                  </w:tcBorders>
                  <w:noWrap w:val="0"/>
                  <w:vAlign w:val="center"/>
                </w:tcPr>
                <w:p w14:paraId="1BC9D56B">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140</w:t>
                  </w:r>
                </w:p>
              </w:tc>
              <w:tc>
                <w:tcPr>
                  <w:tcW w:w="806" w:type="pct"/>
                  <w:tcBorders>
                    <w:tl2br w:val="nil"/>
                    <w:tr2bl w:val="nil"/>
                  </w:tcBorders>
                  <w:noWrap w:val="0"/>
                  <w:vAlign w:val="center"/>
                </w:tcPr>
                <w:p w14:paraId="34704488">
                  <w:pPr>
                    <w:keepNext w:val="0"/>
                    <w:keepLines w:val="0"/>
                    <w:suppressLineNumbers w:val="0"/>
                    <w:spacing w:before="0" w:beforeAutospacing="0" w:after="0" w:afterAutospacing="0" w:line="320" w:lineRule="exact"/>
                    <w:ind w:left="0" w:right="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苏州</w:t>
                  </w:r>
                  <w:r>
                    <w:rPr>
                      <w:rFonts w:hint="eastAsia" w:eastAsia="仿宋" w:cs="Times New Roman"/>
                      <w:color w:val="auto"/>
                      <w:sz w:val="21"/>
                      <w:szCs w:val="21"/>
                      <w:highlight w:val="none"/>
                      <w:lang w:val="en-US" w:eastAsia="zh-CN"/>
                    </w:rPr>
                    <w:t>市相城区太平</w:t>
                  </w:r>
                  <w:r>
                    <w:rPr>
                      <w:rFonts w:hint="default" w:ascii="Times New Roman" w:hAnsi="Times New Roman" w:eastAsia="仿宋" w:cs="Times New Roman"/>
                      <w:color w:val="auto"/>
                      <w:sz w:val="21"/>
                      <w:szCs w:val="21"/>
                      <w:highlight w:val="none"/>
                    </w:rPr>
                    <w:t>实验</w:t>
                  </w:r>
                  <w:r>
                    <w:rPr>
                      <w:rFonts w:hint="eastAsia" w:eastAsia="仿宋" w:cs="Times New Roman"/>
                      <w:color w:val="auto"/>
                      <w:sz w:val="21"/>
                      <w:szCs w:val="21"/>
                      <w:highlight w:val="none"/>
                      <w:lang w:val="en-US" w:eastAsia="zh-CN"/>
                    </w:rPr>
                    <w:t>小学</w:t>
                  </w:r>
                </w:p>
              </w:tc>
              <w:tc>
                <w:tcPr>
                  <w:tcW w:w="606" w:type="pct"/>
                  <w:tcBorders>
                    <w:tl2br w:val="nil"/>
                    <w:tr2bl w:val="nil"/>
                  </w:tcBorders>
                  <w:noWrap w:val="0"/>
                  <w:vAlign w:val="center"/>
                </w:tcPr>
                <w:p w14:paraId="6EB6F116">
                  <w:pPr>
                    <w:keepNext w:val="0"/>
                    <w:keepLines w:val="0"/>
                    <w:widowControl/>
                    <w:suppressLineNumbers w:val="0"/>
                    <w:spacing w:before="0" w:beforeAutospacing="0" w:after="0" w:afterAutospacing="0"/>
                    <w:ind w:left="0" w:right="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学校</w:t>
                  </w:r>
                </w:p>
              </w:tc>
              <w:tc>
                <w:tcPr>
                  <w:tcW w:w="588" w:type="pct"/>
                  <w:tcBorders>
                    <w:tl2br w:val="nil"/>
                    <w:tr2bl w:val="nil"/>
                  </w:tcBorders>
                  <w:noWrap w:val="0"/>
                  <w:vAlign w:val="center"/>
                </w:tcPr>
                <w:p w14:paraId="0AEE62E1">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学生</w:t>
                  </w:r>
                </w:p>
              </w:tc>
              <w:tc>
                <w:tcPr>
                  <w:tcW w:w="565" w:type="pct"/>
                  <w:tcBorders>
                    <w:tl2br w:val="nil"/>
                    <w:tr2bl w:val="nil"/>
                  </w:tcBorders>
                  <w:noWrap w:val="0"/>
                  <w:vAlign w:val="center"/>
                </w:tcPr>
                <w:p w14:paraId="718FDD1D">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二类区</w:t>
                  </w:r>
                </w:p>
              </w:tc>
              <w:tc>
                <w:tcPr>
                  <w:tcW w:w="516" w:type="pct"/>
                  <w:tcBorders>
                    <w:tl2br w:val="nil"/>
                    <w:tr2bl w:val="nil"/>
                  </w:tcBorders>
                  <w:noWrap w:val="0"/>
                  <w:vAlign w:val="center"/>
                </w:tcPr>
                <w:p w14:paraId="01BEAA98">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东北</w:t>
                  </w:r>
                </w:p>
              </w:tc>
              <w:tc>
                <w:tcPr>
                  <w:tcW w:w="565" w:type="pct"/>
                  <w:tcBorders>
                    <w:tl2br w:val="nil"/>
                    <w:tr2bl w:val="nil"/>
                  </w:tcBorders>
                  <w:noWrap w:val="0"/>
                  <w:vAlign w:val="center"/>
                </w:tcPr>
                <w:p w14:paraId="1D1C6FD3">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285</w:t>
                  </w:r>
                  <w:r>
                    <w:rPr>
                      <w:rFonts w:hint="eastAsia" w:eastAsia="仿宋" w:cs="Times New Roman"/>
                      <w:color w:val="auto"/>
                      <w:sz w:val="21"/>
                      <w:szCs w:val="21"/>
                      <w:lang w:val="en-US" w:eastAsia="zh-CN"/>
                    </w:rPr>
                    <w:t>m</w:t>
                  </w:r>
                </w:p>
              </w:tc>
            </w:tr>
            <w:tr w14:paraId="01C76AF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3E3F4462">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noWrap w:val="0"/>
                  <w:vAlign w:val="center"/>
                </w:tcPr>
                <w:p w14:paraId="512304CA">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521</w:t>
                  </w:r>
                </w:p>
              </w:tc>
              <w:tc>
                <w:tcPr>
                  <w:tcW w:w="472" w:type="pct"/>
                  <w:tcBorders>
                    <w:tl2br w:val="nil"/>
                    <w:tr2bl w:val="nil"/>
                  </w:tcBorders>
                  <w:noWrap w:val="0"/>
                  <w:vAlign w:val="center"/>
                </w:tcPr>
                <w:p w14:paraId="7968F581">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38</w:t>
                  </w:r>
                </w:p>
              </w:tc>
              <w:tc>
                <w:tcPr>
                  <w:tcW w:w="806" w:type="pct"/>
                  <w:tcBorders>
                    <w:tl2br w:val="nil"/>
                    <w:tr2bl w:val="nil"/>
                  </w:tcBorders>
                  <w:noWrap w:val="0"/>
                  <w:vAlign w:val="center"/>
                </w:tcPr>
                <w:p w14:paraId="4CB51ED9">
                  <w:pPr>
                    <w:keepNext w:val="0"/>
                    <w:keepLines w:val="0"/>
                    <w:suppressLineNumbers w:val="0"/>
                    <w:spacing w:before="0" w:beforeAutospacing="0" w:after="0" w:afterAutospacing="0" w:line="320" w:lineRule="exact"/>
                    <w:ind w:left="0" w:right="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金</w:t>
                  </w:r>
                  <w:r>
                    <w:rPr>
                      <w:rFonts w:hint="default" w:ascii="Times New Roman" w:hAnsi="Times New Roman" w:eastAsia="仿宋" w:cs="Times New Roman"/>
                      <w:color w:val="auto"/>
                      <w:sz w:val="21"/>
                      <w:szCs w:val="21"/>
                    </w:rPr>
                    <w:t>澄</w:t>
                  </w:r>
                  <w:r>
                    <w:rPr>
                      <w:rFonts w:hint="eastAsia" w:eastAsia="仿宋" w:cs="Times New Roman"/>
                      <w:color w:val="auto"/>
                      <w:sz w:val="21"/>
                      <w:szCs w:val="21"/>
                      <w:highlight w:val="none"/>
                      <w:lang w:val="en-US" w:eastAsia="zh-CN"/>
                    </w:rPr>
                    <w:t>别墅</w:t>
                  </w:r>
                </w:p>
              </w:tc>
              <w:tc>
                <w:tcPr>
                  <w:tcW w:w="606" w:type="pct"/>
                  <w:tcBorders>
                    <w:tl2br w:val="nil"/>
                    <w:tr2bl w:val="nil"/>
                  </w:tcBorders>
                  <w:noWrap w:val="0"/>
                  <w:vAlign w:val="center"/>
                </w:tcPr>
                <w:p w14:paraId="195524F5">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居住区</w:t>
                  </w:r>
                </w:p>
              </w:tc>
              <w:tc>
                <w:tcPr>
                  <w:tcW w:w="588" w:type="pct"/>
                  <w:tcBorders>
                    <w:tl2br w:val="nil"/>
                    <w:tr2bl w:val="nil"/>
                  </w:tcBorders>
                  <w:noWrap w:val="0"/>
                  <w:vAlign w:val="center"/>
                </w:tcPr>
                <w:p w14:paraId="37BD7ED0">
                  <w:pPr>
                    <w:keepNext w:val="0"/>
                    <w:keepLines w:val="0"/>
                    <w:widowControl/>
                    <w:suppressLineNumbers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居民</w:t>
                  </w:r>
                </w:p>
              </w:tc>
              <w:tc>
                <w:tcPr>
                  <w:tcW w:w="565" w:type="pct"/>
                  <w:tcBorders>
                    <w:tl2br w:val="nil"/>
                    <w:tr2bl w:val="nil"/>
                  </w:tcBorders>
                  <w:noWrap w:val="0"/>
                  <w:vAlign w:val="center"/>
                </w:tcPr>
                <w:p w14:paraId="197E2C4C">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二类区</w:t>
                  </w:r>
                </w:p>
              </w:tc>
              <w:tc>
                <w:tcPr>
                  <w:tcW w:w="516" w:type="pct"/>
                  <w:tcBorders>
                    <w:tl2br w:val="nil"/>
                    <w:tr2bl w:val="nil"/>
                  </w:tcBorders>
                  <w:noWrap w:val="0"/>
                  <w:vAlign w:val="center"/>
                </w:tcPr>
                <w:p w14:paraId="3C7C51AD">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东北</w:t>
                  </w:r>
                </w:p>
              </w:tc>
              <w:tc>
                <w:tcPr>
                  <w:tcW w:w="565" w:type="pct"/>
                  <w:tcBorders>
                    <w:tl2br w:val="nil"/>
                    <w:tr2bl w:val="nil"/>
                  </w:tcBorders>
                  <w:noWrap w:val="0"/>
                  <w:vAlign w:val="center"/>
                </w:tcPr>
                <w:p w14:paraId="2AF59688">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451m</w:t>
                  </w:r>
                </w:p>
              </w:tc>
            </w:tr>
            <w:tr w14:paraId="28E70C5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4F80FC24">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shd w:val="clear" w:color="auto" w:fill="auto"/>
                  <w:noWrap w:val="0"/>
                  <w:vAlign w:val="center"/>
                </w:tcPr>
                <w:p w14:paraId="0C84DD38">
                  <w:pPr>
                    <w:keepNext w:val="0"/>
                    <w:keepLines w:val="0"/>
                    <w:widowControl/>
                    <w:suppressLineNumbers w:val="0"/>
                    <w:adjustRightInd w:val="0"/>
                    <w:snapToGrid w:val="0"/>
                    <w:spacing w:before="48" w:beforeLines="20" w:beforeAutospacing="0" w:after="48" w:afterLines="20" w:afterAutospacing="0"/>
                    <w:ind w:left="0" w:leftChars="0" w:right="2" w:rightChars="1"/>
                    <w:jc w:val="center"/>
                    <w:rPr>
                      <w:rFonts w:hint="eastAsia"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rPr>
                    <w:t>286</w:t>
                  </w:r>
                </w:p>
              </w:tc>
              <w:tc>
                <w:tcPr>
                  <w:tcW w:w="472" w:type="pct"/>
                  <w:tcBorders>
                    <w:tl2br w:val="nil"/>
                    <w:tr2bl w:val="nil"/>
                  </w:tcBorders>
                  <w:shd w:val="clear" w:color="auto" w:fill="auto"/>
                  <w:noWrap w:val="0"/>
                  <w:vAlign w:val="center"/>
                </w:tcPr>
                <w:p w14:paraId="707C61DB">
                  <w:pPr>
                    <w:keepNext w:val="0"/>
                    <w:keepLines w:val="0"/>
                    <w:widowControl/>
                    <w:suppressLineNumbers w:val="0"/>
                    <w:adjustRightInd w:val="0"/>
                    <w:snapToGrid w:val="0"/>
                    <w:spacing w:before="48" w:beforeLines="20" w:beforeAutospacing="0" w:after="48" w:afterLines="20" w:afterAutospacing="0"/>
                    <w:ind w:left="0" w:leftChars="0" w:right="2" w:rightChars="1"/>
                    <w:jc w:val="center"/>
                    <w:rPr>
                      <w:rFonts w:hint="eastAsia" w:ascii="Times New Roman" w:hAnsi="Times New Roman" w:eastAsia="仿宋" w:cs="Times New Roman"/>
                      <w:bCs/>
                      <w:color w:val="auto"/>
                      <w:kern w:val="0"/>
                      <w:sz w:val="21"/>
                      <w:szCs w:val="21"/>
                      <w:lang w:val="en-US" w:eastAsia="zh-CN" w:bidi="ar-SA"/>
                    </w:rPr>
                  </w:pPr>
                  <w:r>
                    <w:rPr>
                      <w:rFonts w:hint="eastAsia" w:eastAsia="仿宋" w:cs="Times New Roman"/>
                      <w:bCs/>
                      <w:color w:val="auto"/>
                      <w:kern w:val="0"/>
                      <w:sz w:val="21"/>
                      <w:szCs w:val="21"/>
                      <w:lang w:val="en-US" w:eastAsia="zh-CN"/>
                    </w:rPr>
                    <w:t>-42</w:t>
                  </w:r>
                </w:p>
              </w:tc>
              <w:tc>
                <w:tcPr>
                  <w:tcW w:w="806" w:type="pct"/>
                  <w:tcBorders>
                    <w:tl2br w:val="nil"/>
                    <w:tr2bl w:val="nil"/>
                  </w:tcBorders>
                  <w:shd w:val="clear" w:color="auto" w:fill="auto"/>
                  <w:noWrap w:val="0"/>
                  <w:vAlign w:val="center"/>
                </w:tcPr>
                <w:p w14:paraId="5AAF6DA1">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花语熙园</w:t>
                  </w:r>
                </w:p>
              </w:tc>
              <w:tc>
                <w:tcPr>
                  <w:tcW w:w="606" w:type="pct"/>
                  <w:tcBorders>
                    <w:tl2br w:val="nil"/>
                    <w:tr2bl w:val="nil"/>
                  </w:tcBorders>
                  <w:shd w:val="clear" w:color="auto" w:fill="auto"/>
                  <w:noWrap w:val="0"/>
                  <w:vAlign w:val="center"/>
                </w:tcPr>
                <w:p w14:paraId="1733B1A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居住区</w:t>
                  </w:r>
                </w:p>
              </w:tc>
              <w:tc>
                <w:tcPr>
                  <w:tcW w:w="588" w:type="pct"/>
                  <w:tcBorders>
                    <w:tl2br w:val="nil"/>
                    <w:tr2bl w:val="nil"/>
                  </w:tcBorders>
                  <w:shd w:val="clear" w:color="auto" w:fill="auto"/>
                  <w:noWrap w:val="0"/>
                  <w:vAlign w:val="center"/>
                </w:tcPr>
                <w:p w14:paraId="01C7874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居民</w:t>
                  </w:r>
                </w:p>
              </w:tc>
              <w:tc>
                <w:tcPr>
                  <w:tcW w:w="565" w:type="pct"/>
                  <w:tcBorders>
                    <w:tl2br w:val="nil"/>
                    <w:tr2bl w:val="nil"/>
                  </w:tcBorders>
                  <w:shd w:val="clear" w:color="auto" w:fill="auto"/>
                  <w:noWrap w:val="0"/>
                  <w:vAlign w:val="center"/>
                </w:tcPr>
                <w:p w14:paraId="08DAF0B6">
                  <w:pPr>
                    <w:keepNext w:val="0"/>
                    <w:keepLines w:val="0"/>
                    <w:suppressLineNumbers w:val="0"/>
                    <w:overflowPunct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二类区</w:t>
                  </w:r>
                </w:p>
              </w:tc>
              <w:tc>
                <w:tcPr>
                  <w:tcW w:w="516" w:type="pct"/>
                  <w:tcBorders>
                    <w:tl2br w:val="nil"/>
                    <w:tr2bl w:val="nil"/>
                  </w:tcBorders>
                  <w:shd w:val="clear" w:color="auto" w:fill="auto"/>
                  <w:noWrap w:val="0"/>
                  <w:vAlign w:val="center"/>
                </w:tcPr>
                <w:p w14:paraId="6C44DB5D">
                  <w:pPr>
                    <w:keepNext w:val="0"/>
                    <w:keepLines w:val="0"/>
                    <w:suppressLineNumbers w:val="0"/>
                    <w:overflowPunct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东</w:t>
                  </w:r>
                </w:p>
              </w:tc>
              <w:tc>
                <w:tcPr>
                  <w:tcW w:w="565" w:type="pct"/>
                  <w:tcBorders>
                    <w:tl2br w:val="nil"/>
                    <w:tr2bl w:val="nil"/>
                  </w:tcBorders>
                  <w:shd w:val="clear" w:color="auto" w:fill="auto"/>
                  <w:noWrap w:val="0"/>
                  <w:vAlign w:val="center"/>
                </w:tcPr>
                <w:p w14:paraId="1729A284">
                  <w:pPr>
                    <w:keepNext w:val="0"/>
                    <w:keepLines w:val="0"/>
                    <w:suppressLineNumbers w:val="0"/>
                    <w:overflowPunct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236m</w:t>
                  </w:r>
                </w:p>
              </w:tc>
            </w:tr>
            <w:tr w14:paraId="5ABFCD9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3B7C8AA5">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noWrap w:val="0"/>
                  <w:vAlign w:val="center"/>
                </w:tcPr>
                <w:p w14:paraId="16A3CC6D">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-356</w:t>
                  </w:r>
                </w:p>
              </w:tc>
              <w:tc>
                <w:tcPr>
                  <w:tcW w:w="472" w:type="pct"/>
                  <w:tcBorders>
                    <w:tl2br w:val="nil"/>
                    <w:tr2bl w:val="nil"/>
                  </w:tcBorders>
                  <w:noWrap w:val="0"/>
                  <w:vAlign w:val="center"/>
                </w:tcPr>
                <w:p w14:paraId="48E0612A">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-319</w:t>
                  </w:r>
                </w:p>
              </w:tc>
              <w:tc>
                <w:tcPr>
                  <w:tcW w:w="806" w:type="pct"/>
                  <w:tcBorders>
                    <w:tl2br w:val="nil"/>
                    <w:tr2bl w:val="nil"/>
                  </w:tcBorders>
                  <w:noWrap w:val="0"/>
                  <w:vAlign w:val="center"/>
                </w:tcPr>
                <w:p w14:paraId="3F88E6DC">
                  <w:pPr>
                    <w:keepNext w:val="0"/>
                    <w:keepLines w:val="0"/>
                    <w:suppressLineNumbers w:val="0"/>
                    <w:spacing w:before="0" w:beforeAutospacing="0" w:after="0" w:afterAutospacing="0" w:line="320" w:lineRule="exact"/>
                    <w:ind w:left="0" w:right="0"/>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村庄</w:t>
                  </w:r>
                </w:p>
              </w:tc>
              <w:tc>
                <w:tcPr>
                  <w:tcW w:w="606" w:type="pct"/>
                  <w:tcBorders>
                    <w:tl2br w:val="nil"/>
                    <w:tr2bl w:val="nil"/>
                  </w:tcBorders>
                  <w:shd w:val="clear" w:color="auto" w:fill="auto"/>
                  <w:noWrap w:val="0"/>
                  <w:vAlign w:val="center"/>
                </w:tcPr>
                <w:p w14:paraId="13DCEB9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居住区</w:t>
                  </w:r>
                </w:p>
              </w:tc>
              <w:tc>
                <w:tcPr>
                  <w:tcW w:w="588" w:type="pct"/>
                  <w:tcBorders>
                    <w:tl2br w:val="nil"/>
                    <w:tr2bl w:val="nil"/>
                  </w:tcBorders>
                  <w:shd w:val="clear" w:color="auto" w:fill="auto"/>
                  <w:noWrap w:val="0"/>
                  <w:vAlign w:val="center"/>
                </w:tcPr>
                <w:p w14:paraId="399E2F7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居民</w:t>
                  </w:r>
                </w:p>
              </w:tc>
              <w:tc>
                <w:tcPr>
                  <w:tcW w:w="565" w:type="pct"/>
                  <w:tcBorders>
                    <w:tl2br w:val="nil"/>
                    <w:tr2bl w:val="nil"/>
                  </w:tcBorders>
                  <w:shd w:val="clear" w:color="auto" w:fill="auto"/>
                  <w:noWrap w:val="0"/>
                  <w:vAlign w:val="center"/>
                </w:tcPr>
                <w:p w14:paraId="4B65B34A">
                  <w:pPr>
                    <w:keepNext w:val="0"/>
                    <w:keepLines w:val="0"/>
                    <w:suppressLineNumbers w:val="0"/>
                    <w:overflowPunct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二类区</w:t>
                  </w:r>
                </w:p>
              </w:tc>
              <w:tc>
                <w:tcPr>
                  <w:tcW w:w="516" w:type="pct"/>
                  <w:tcBorders>
                    <w:tl2br w:val="nil"/>
                    <w:tr2bl w:val="nil"/>
                  </w:tcBorders>
                  <w:shd w:val="clear" w:color="auto" w:fill="auto"/>
                  <w:noWrap w:val="0"/>
                  <w:vAlign w:val="center"/>
                </w:tcPr>
                <w:p w14:paraId="7EC1B41F">
                  <w:pPr>
                    <w:keepNext w:val="0"/>
                    <w:keepLines w:val="0"/>
                    <w:suppressLineNumbers w:val="0"/>
                    <w:overflowPunct w:val="0"/>
                    <w:adjustRightInd w:val="0"/>
                    <w:snapToGrid w:val="0"/>
                    <w:spacing w:before="0" w:beforeAutospacing="0" w:after="0" w:afterAutospacing="0"/>
                    <w:ind w:left="0" w:leftChars="0" w:right="0" w:rightChars="0"/>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西南</w:t>
                  </w:r>
                </w:p>
              </w:tc>
              <w:tc>
                <w:tcPr>
                  <w:tcW w:w="565" w:type="pct"/>
                  <w:tcBorders>
                    <w:tl2br w:val="nil"/>
                    <w:tr2bl w:val="nil"/>
                  </w:tcBorders>
                  <w:shd w:val="clear" w:color="auto" w:fill="auto"/>
                  <w:noWrap w:val="0"/>
                  <w:vAlign w:val="center"/>
                </w:tcPr>
                <w:p w14:paraId="6D1B4BF8">
                  <w:pPr>
                    <w:keepNext w:val="0"/>
                    <w:keepLines w:val="0"/>
                    <w:suppressLineNumbers w:val="0"/>
                    <w:overflowPunct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484</w:t>
                  </w:r>
                  <w:r>
                    <w:rPr>
                      <w:rFonts w:hint="eastAsia" w:eastAsia="仿宋" w:cs="Times New Roman"/>
                      <w:color w:val="auto"/>
                      <w:sz w:val="21"/>
                      <w:szCs w:val="21"/>
                      <w:lang w:val="en-US" w:eastAsia="zh-CN"/>
                    </w:rPr>
                    <w:t>m</w:t>
                  </w:r>
                </w:p>
              </w:tc>
            </w:tr>
            <w:tr w14:paraId="4590F41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2" w:type="pct"/>
                  <w:vMerge w:val="continue"/>
                  <w:tcBorders>
                    <w:tl2br w:val="nil"/>
                    <w:tr2bl w:val="nil"/>
                  </w:tcBorders>
                  <w:noWrap w:val="0"/>
                  <w:vAlign w:val="center"/>
                </w:tcPr>
                <w:p w14:paraId="70CC0A08">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386" w:type="pct"/>
                  <w:tcBorders>
                    <w:tl2br w:val="nil"/>
                    <w:tr2bl w:val="nil"/>
                  </w:tcBorders>
                  <w:noWrap w:val="0"/>
                  <w:vAlign w:val="center"/>
                </w:tcPr>
                <w:p w14:paraId="068D1629">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-397</w:t>
                  </w:r>
                </w:p>
              </w:tc>
              <w:tc>
                <w:tcPr>
                  <w:tcW w:w="472" w:type="pct"/>
                  <w:tcBorders>
                    <w:tl2br w:val="nil"/>
                    <w:tr2bl w:val="nil"/>
                  </w:tcBorders>
                  <w:noWrap w:val="0"/>
                  <w:vAlign w:val="center"/>
                </w:tcPr>
                <w:p w14:paraId="7DDCA5E2">
                  <w:pPr>
                    <w:keepNext w:val="0"/>
                    <w:keepLines w:val="0"/>
                    <w:widowControl/>
                    <w:suppressLineNumbers w:val="0"/>
                    <w:adjustRightInd w:val="0"/>
                    <w:snapToGrid w:val="0"/>
                    <w:spacing w:before="48" w:beforeLines="20" w:beforeAutospacing="0" w:after="48" w:afterLines="20" w:afterAutospacing="0"/>
                    <w:ind w:left="0" w:right="2" w:rightChars="1"/>
                    <w:jc w:val="center"/>
                    <w:rPr>
                      <w:rFonts w:hint="default" w:ascii="Times New Roman" w:hAnsi="Times New Roman" w:eastAsia="仿宋" w:cs="Times New Roman"/>
                      <w:bCs/>
                      <w:color w:val="auto"/>
                      <w:kern w:val="0"/>
                      <w:sz w:val="21"/>
                      <w:szCs w:val="21"/>
                      <w:lang w:val="en-US" w:eastAsia="zh-CN"/>
                    </w:rPr>
                  </w:pPr>
                  <w:r>
                    <w:rPr>
                      <w:rFonts w:hint="eastAsia" w:eastAsia="仿宋" w:cs="Times New Roman"/>
                      <w:bCs/>
                      <w:color w:val="auto"/>
                      <w:kern w:val="0"/>
                      <w:sz w:val="21"/>
                      <w:szCs w:val="21"/>
                      <w:lang w:val="en-US" w:eastAsia="zh-CN"/>
                    </w:rPr>
                    <w:t>298</w:t>
                  </w:r>
                </w:p>
              </w:tc>
              <w:tc>
                <w:tcPr>
                  <w:tcW w:w="806" w:type="pct"/>
                  <w:tcBorders>
                    <w:tl2br w:val="nil"/>
                    <w:tr2bl w:val="nil"/>
                  </w:tcBorders>
                  <w:noWrap w:val="0"/>
                  <w:vAlign w:val="center"/>
                </w:tcPr>
                <w:p w14:paraId="50A8B99F">
                  <w:pPr>
                    <w:keepNext w:val="0"/>
                    <w:keepLines w:val="0"/>
                    <w:suppressLineNumbers w:val="0"/>
                    <w:spacing w:before="0" w:beforeAutospacing="0" w:after="0" w:afterAutospacing="0" w:line="320" w:lineRule="exact"/>
                    <w:ind w:left="0" w:right="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苏州市相城区社会福利中心</w:t>
                  </w:r>
                </w:p>
              </w:tc>
              <w:tc>
                <w:tcPr>
                  <w:tcW w:w="606" w:type="pct"/>
                  <w:tcBorders>
                    <w:tl2br w:val="nil"/>
                    <w:tr2bl w:val="nil"/>
                  </w:tcBorders>
                  <w:shd w:val="clear" w:color="auto" w:fill="auto"/>
                  <w:noWrap w:val="0"/>
                  <w:vAlign w:val="center"/>
                </w:tcPr>
                <w:p w14:paraId="671DDE5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社会福利机构</w:t>
                  </w:r>
                </w:p>
              </w:tc>
              <w:tc>
                <w:tcPr>
                  <w:tcW w:w="588" w:type="pct"/>
                  <w:tcBorders>
                    <w:tl2br w:val="nil"/>
                    <w:tr2bl w:val="nil"/>
                  </w:tcBorders>
                  <w:shd w:val="clear" w:color="auto" w:fill="auto"/>
                  <w:noWrap w:val="0"/>
                  <w:vAlign w:val="center"/>
                </w:tcPr>
                <w:p w14:paraId="5EC3AC4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福利院</w:t>
                  </w:r>
                </w:p>
              </w:tc>
              <w:tc>
                <w:tcPr>
                  <w:tcW w:w="565" w:type="pct"/>
                  <w:tcBorders>
                    <w:tl2br w:val="nil"/>
                    <w:tr2bl w:val="nil"/>
                  </w:tcBorders>
                  <w:shd w:val="clear" w:color="auto" w:fill="auto"/>
                  <w:noWrap w:val="0"/>
                  <w:vAlign w:val="center"/>
                </w:tcPr>
                <w:p w14:paraId="4532BC01">
                  <w:pPr>
                    <w:keepNext w:val="0"/>
                    <w:keepLines w:val="0"/>
                    <w:suppressLineNumbers w:val="0"/>
                    <w:overflowPunct w:val="0"/>
                    <w:adjustRightInd w:val="0"/>
                    <w:snapToGri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二类区</w:t>
                  </w:r>
                </w:p>
              </w:tc>
              <w:tc>
                <w:tcPr>
                  <w:tcW w:w="516" w:type="pct"/>
                  <w:tcBorders>
                    <w:tl2br w:val="nil"/>
                    <w:tr2bl w:val="nil"/>
                  </w:tcBorders>
                  <w:noWrap w:val="0"/>
                  <w:vAlign w:val="center"/>
                </w:tcPr>
                <w:p w14:paraId="77D10C7B">
                  <w:pPr>
                    <w:keepNext w:val="0"/>
                    <w:keepLines w:val="0"/>
                    <w:suppressLineNumbers w:val="0"/>
                    <w:overflowPunct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西北</w:t>
                  </w:r>
                </w:p>
              </w:tc>
              <w:tc>
                <w:tcPr>
                  <w:tcW w:w="565" w:type="pct"/>
                  <w:tcBorders>
                    <w:tl2br w:val="nil"/>
                    <w:tr2bl w:val="nil"/>
                  </w:tcBorders>
                  <w:noWrap w:val="0"/>
                  <w:vAlign w:val="center"/>
                </w:tcPr>
                <w:p w14:paraId="4D0C1966">
                  <w:pPr>
                    <w:keepNext w:val="0"/>
                    <w:keepLines w:val="0"/>
                    <w:suppressLineNumbers w:val="0"/>
                    <w:overflowPunct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479m</w:t>
                  </w:r>
                </w:p>
              </w:tc>
            </w:tr>
            <w:tr w14:paraId="5164B60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9"/>
                  <w:tcBorders>
                    <w:tl2br w:val="nil"/>
                    <w:tr2bl w:val="nil"/>
                  </w:tcBorders>
                  <w:noWrap w:val="0"/>
                  <w:vAlign w:val="center"/>
                </w:tcPr>
                <w:p w14:paraId="209E04D9">
                  <w:pPr>
                    <w:keepNext w:val="0"/>
                    <w:keepLines w:val="0"/>
                    <w:suppressLineNumbers w:val="0"/>
                    <w:overflowPunct w:val="0"/>
                    <w:adjustRightInd w:val="0"/>
                    <w:snapToGrid w:val="0"/>
                    <w:spacing w:before="0" w:beforeAutospacing="0" w:after="0" w:afterAutospacing="0"/>
                    <w:ind w:left="0" w:right="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以企业</w:t>
                  </w:r>
                  <w:r>
                    <w:rPr>
                      <w:rFonts w:hint="eastAsia" w:eastAsia="仿宋" w:cs="Times New Roman"/>
                      <w:color w:val="auto"/>
                      <w:sz w:val="21"/>
                      <w:szCs w:val="21"/>
                      <w:lang w:val="en-US" w:eastAsia="zh-CN"/>
                    </w:rPr>
                    <w:t>西南点</w:t>
                  </w:r>
                  <w:r>
                    <w:rPr>
                      <w:rFonts w:hint="default" w:ascii="Times New Roman" w:hAnsi="Times New Roman" w:eastAsia="仿宋" w:cs="Times New Roman"/>
                      <w:color w:val="auto"/>
                      <w:sz w:val="21"/>
                      <w:szCs w:val="21"/>
                      <w:lang w:val="en-US" w:eastAsia="zh-CN"/>
                    </w:rPr>
                    <w:t>为坐标原点（0，0）</w:t>
                  </w:r>
                </w:p>
              </w:tc>
            </w:tr>
          </w:tbl>
          <w:p w14:paraId="21D41B10">
            <w:pPr>
              <w:spacing w:line="360" w:lineRule="auto"/>
              <w:rPr>
                <w:b/>
                <w:bCs/>
                <w:color w:val="auto"/>
                <w:kern w:val="21"/>
                <w:sz w:val="24"/>
                <w:szCs w:val="24"/>
                <w:highlight w:val="none"/>
              </w:rPr>
            </w:pPr>
            <w:r>
              <w:rPr>
                <w:rFonts w:hint="eastAsia"/>
                <w:b/>
                <w:bCs/>
                <w:color w:val="auto"/>
                <w:kern w:val="21"/>
                <w:sz w:val="24"/>
                <w:szCs w:val="24"/>
                <w:highlight w:val="none"/>
                <w:lang w:val="en-US" w:eastAsia="zh-CN"/>
              </w:rPr>
              <w:t>2、</w:t>
            </w:r>
            <w:r>
              <w:rPr>
                <w:b/>
                <w:bCs/>
                <w:color w:val="auto"/>
                <w:kern w:val="21"/>
                <w:sz w:val="24"/>
                <w:szCs w:val="24"/>
                <w:highlight w:val="none"/>
              </w:rPr>
              <w:t>声环境</w:t>
            </w:r>
            <w:r>
              <w:rPr>
                <w:rFonts w:hint="eastAsia"/>
                <w:b/>
                <w:bCs/>
                <w:color w:val="auto"/>
                <w:kern w:val="21"/>
                <w:sz w:val="24"/>
                <w:szCs w:val="24"/>
                <w:highlight w:val="none"/>
              </w:rPr>
              <w:t>保护目标</w:t>
            </w:r>
          </w:p>
          <w:p w14:paraId="611EF6E6">
            <w:pPr>
              <w:spacing w:line="360" w:lineRule="auto"/>
              <w:ind w:firstLine="480" w:firstLineChars="200"/>
              <w:jc w:val="left"/>
              <w:rPr>
                <w:color w:val="auto"/>
                <w:kern w:val="21"/>
                <w:sz w:val="24"/>
                <w:szCs w:val="24"/>
                <w:highlight w:val="none"/>
              </w:rPr>
            </w:pPr>
            <w:r>
              <w:rPr>
                <w:rFonts w:hint="eastAsia"/>
                <w:color w:val="auto"/>
                <w:kern w:val="21"/>
                <w:sz w:val="24"/>
                <w:szCs w:val="24"/>
                <w:highlight w:val="none"/>
              </w:rPr>
              <w:t>本项目厂界外50米范围内无声环境保护目标。</w:t>
            </w:r>
          </w:p>
          <w:p w14:paraId="7BF2B755">
            <w:pPr>
              <w:spacing w:line="360" w:lineRule="auto"/>
              <w:rPr>
                <w:b/>
                <w:bCs/>
                <w:color w:val="auto"/>
                <w:kern w:val="21"/>
                <w:sz w:val="24"/>
                <w:szCs w:val="24"/>
                <w:highlight w:val="none"/>
              </w:rPr>
            </w:pPr>
            <w:r>
              <w:rPr>
                <w:rFonts w:hint="eastAsia"/>
                <w:b/>
                <w:bCs/>
                <w:color w:val="auto"/>
                <w:kern w:val="21"/>
                <w:sz w:val="24"/>
                <w:szCs w:val="24"/>
                <w:highlight w:val="none"/>
                <w:lang w:val="en-US" w:eastAsia="zh-CN"/>
              </w:rPr>
              <w:t>3、</w:t>
            </w:r>
            <w:r>
              <w:rPr>
                <w:b/>
                <w:bCs/>
                <w:color w:val="auto"/>
                <w:kern w:val="21"/>
                <w:sz w:val="24"/>
                <w:szCs w:val="24"/>
                <w:highlight w:val="none"/>
              </w:rPr>
              <w:t>地下水环境</w:t>
            </w:r>
            <w:r>
              <w:rPr>
                <w:rFonts w:hint="eastAsia"/>
                <w:b/>
                <w:bCs/>
                <w:color w:val="auto"/>
                <w:kern w:val="21"/>
                <w:sz w:val="24"/>
                <w:szCs w:val="24"/>
                <w:highlight w:val="none"/>
              </w:rPr>
              <w:t>保护目标</w:t>
            </w:r>
          </w:p>
          <w:p w14:paraId="297039A8">
            <w:pPr>
              <w:spacing w:line="360" w:lineRule="auto"/>
              <w:ind w:firstLine="480" w:firstLineChars="200"/>
              <w:rPr>
                <w:color w:val="auto"/>
                <w:kern w:val="21"/>
                <w:sz w:val="24"/>
                <w:szCs w:val="24"/>
                <w:highlight w:val="none"/>
              </w:rPr>
            </w:pPr>
            <w:r>
              <w:rPr>
                <w:color w:val="auto"/>
                <w:kern w:val="21"/>
                <w:sz w:val="24"/>
                <w:szCs w:val="24"/>
                <w:highlight w:val="none"/>
              </w:rPr>
              <w:t>本项目厂界外500米范围内没有地下水集中式饮用水水源和热水、矿泉水、温泉等特殊地下水资源。</w:t>
            </w:r>
          </w:p>
          <w:p w14:paraId="5160AC96">
            <w:pPr>
              <w:spacing w:line="360" w:lineRule="auto"/>
              <w:rPr>
                <w:b/>
                <w:bCs/>
                <w:color w:val="auto"/>
                <w:kern w:val="21"/>
                <w:sz w:val="24"/>
                <w:szCs w:val="24"/>
                <w:highlight w:val="none"/>
              </w:rPr>
            </w:pPr>
            <w:r>
              <w:rPr>
                <w:rFonts w:hint="eastAsia"/>
                <w:b/>
                <w:bCs/>
                <w:color w:val="auto"/>
                <w:kern w:val="21"/>
                <w:sz w:val="24"/>
                <w:szCs w:val="24"/>
                <w:highlight w:val="none"/>
                <w:lang w:val="en-US" w:eastAsia="zh-CN"/>
              </w:rPr>
              <w:t>4、</w:t>
            </w:r>
            <w:r>
              <w:rPr>
                <w:rFonts w:hint="eastAsia"/>
                <w:b/>
                <w:bCs/>
                <w:color w:val="auto"/>
                <w:kern w:val="21"/>
                <w:sz w:val="24"/>
                <w:szCs w:val="24"/>
                <w:highlight w:val="none"/>
              </w:rPr>
              <w:t>生态环境保护目标</w:t>
            </w:r>
          </w:p>
          <w:p w14:paraId="0BA9E70B">
            <w:pPr>
              <w:adjustRightInd w:val="0"/>
              <w:snapToGrid w:val="0"/>
              <w:spacing w:line="360" w:lineRule="auto"/>
              <w:ind w:firstLine="480" w:firstLineChars="200"/>
              <w:rPr>
                <w:rFonts w:hint="eastAsia"/>
                <w:color w:val="auto"/>
                <w:kern w:val="21"/>
                <w:sz w:val="24"/>
                <w:szCs w:val="24"/>
                <w:highlight w:val="none"/>
              </w:rPr>
            </w:pPr>
            <w:r>
              <w:rPr>
                <w:rFonts w:hint="eastAsia"/>
                <w:color w:val="auto"/>
                <w:kern w:val="21"/>
                <w:sz w:val="24"/>
                <w:szCs w:val="24"/>
                <w:highlight w:val="none"/>
              </w:rPr>
              <w:t>本项目用地范围内无生态环境保护目标。</w:t>
            </w:r>
          </w:p>
        </w:tc>
      </w:tr>
      <w:tr w14:paraId="6EE02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63" w:type="pct"/>
            <w:tcMar>
              <w:left w:w="28" w:type="dxa"/>
              <w:right w:w="28" w:type="dxa"/>
            </w:tcMar>
            <w:vAlign w:val="center"/>
          </w:tcPr>
          <w:p w14:paraId="36DB9B63">
            <w:pPr>
              <w:adjustRightInd w:val="0"/>
              <w:snapToGrid w:val="0"/>
              <w:jc w:val="center"/>
              <w:rPr>
                <w:color w:val="auto"/>
                <w:kern w:val="0"/>
                <w:szCs w:val="21"/>
                <w:highlight w:val="none"/>
              </w:rPr>
            </w:pPr>
            <w:r>
              <w:rPr>
                <w:color w:val="auto"/>
                <w:kern w:val="0"/>
                <w:sz w:val="24"/>
                <w:szCs w:val="24"/>
                <w:highlight w:val="none"/>
              </w:rPr>
              <w:t>污染物排放控制标准</w:t>
            </w:r>
          </w:p>
        </w:tc>
        <w:tc>
          <w:tcPr>
            <w:tcW w:w="4736" w:type="pct"/>
          </w:tcPr>
          <w:p w14:paraId="21E4F4EA">
            <w:pPr>
              <w:adjustRightInd w:val="0"/>
              <w:snapToGrid w:val="0"/>
              <w:spacing w:line="360" w:lineRule="auto"/>
              <w:rPr>
                <w:b/>
                <w:bCs/>
                <w:color w:val="auto"/>
                <w:kern w:val="0"/>
                <w:sz w:val="24"/>
                <w:szCs w:val="24"/>
                <w:highlight w:val="none"/>
              </w:rPr>
            </w:pPr>
            <w:r>
              <w:rPr>
                <w:rFonts w:hint="eastAsia"/>
                <w:b/>
                <w:bCs/>
                <w:color w:val="auto"/>
                <w:kern w:val="0"/>
                <w:sz w:val="24"/>
                <w:szCs w:val="24"/>
                <w:highlight w:val="none"/>
                <w:lang w:val="en-US" w:eastAsia="zh-CN"/>
              </w:rPr>
              <w:t>1、</w:t>
            </w:r>
            <w:r>
              <w:rPr>
                <w:b/>
                <w:bCs/>
                <w:color w:val="auto"/>
                <w:kern w:val="0"/>
                <w:sz w:val="24"/>
                <w:szCs w:val="24"/>
                <w:highlight w:val="none"/>
              </w:rPr>
              <w:t>废水排放标准</w:t>
            </w:r>
          </w:p>
          <w:p w14:paraId="67948794">
            <w:pPr>
              <w:adjustRightInd w:val="0"/>
              <w:snapToGrid w:val="0"/>
              <w:spacing w:line="360" w:lineRule="auto"/>
              <w:ind w:firstLine="480" w:firstLineChars="200"/>
              <w:rPr>
                <w:color w:val="auto"/>
                <w:kern w:val="0"/>
                <w:sz w:val="24"/>
                <w:szCs w:val="24"/>
                <w:highlight w:val="none"/>
              </w:rPr>
            </w:pPr>
            <w:r>
              <w:rPr>
                <w:rFonts w:hint="eastAsia"/>
                <w:color w:val="auto"/>
                <w:kern w:val="0"/>
                <w:sz w:val="24"/>
                <w:szCs w:val="24"/>
                <w:highlight w:val="none"/>
              </w:rPr>
              <w:t>本项目</w:t>
            </w:r>
            <w:r>
              <w:rPr>
                <w:rFonts w:hint="eastAsia"/>
                <w:color w:val="auto"/>
                <w:kern w:val="0"/>
                <w:sz w:val="24"/>
                <w:szCs w:val="24"/>
                <w:highlight w:val="none"/>
                <w:lang w:val="en-US" w:eastAsia="zh-CN"/>
              </w:rPr>
              <w:t>生产废水经厂区污水处理站处理后由DW002排放口单独接管苏州市高铁新城污水厂，</w:t>
            </w:r>
            <w:r>
              <w:rPr>
                <w:rFonts w:hint="eastAsia"/>
                <w:color w:val="auto"/>
                <w:kern w:val="0"/>
                <w:sz w:val="24"/>
                <w:szCs w:val="24"/>
                <w:highlight w:val="none"/>
              </w:rPr>
              <w:t>生活污水</w:t>
            </w:r>
            <w:r>
              <w:rPr>
                <w:rFonts w:hint="eastAsia"/>
                <w:color w:val="auto"/>
                <w:kern w:val="0"/>
                <w:sz w:val="24"/>
                <w:szCs w:val="24"/>
                <w:highlight w:val="none"/>
                <w:lang w:val="en-US" w:eastAsia="zh-CN"/>
              </w:rPr>
              <w:t>和纯水制备浓水由DW001排放口经市政污水管网</w:t>
            </w:r>
            <w:r>
              <w:rPr>
                <w:rFonts w:hint="eastAsia"/>
                <w:color w:val="auto"/>
                <w:kern w:val="0"/>
                <w:sz w:val="24"/>
                <w:szCs w:val="24"/>
                <w:highlight w:val="none"/>
              </w:rPr>
              <w:t>进入苏州</w:t>
            </w:r>
            <w:r>
              <w:rPr>
                <w:rFonts w:hint="eastAsia"/>
                <w:color w:val="auto"/>
                <w:kern w:val="0"/>
                <w:sz w:val="24"/>
                <w:szCs w:val="24"/>
                <w:highlight w:val="none"/>
                <w:lang w:val="en-US" w:eastAsia="zh-CN"/>
              </w:rPr>
              <w:t>市高铁新城污水厂</w:t>
            </w:r>
            <w:r>
              <w:rPr>
                <w:rFonts w:hint="eastAsia"/>
                <w:color w:val="auto"/>
                <w:kern w:val="0"/>
                <w:sz w:val="24"/>
                <w:szCs w:val="24"/>
                <w:highlight w:val="none"/>
                <w:lang w:eastAsia="zh-CN"/>
              </w:rPr>
              <w:t>，</w:t>
            </w:r>
            <w:r>
              <w:rPr>
                <w:rFonts w:hint="eastAsia"/>
                <w:color w:val="auto"/>
                <w:kern w:val="0"/>
                <w:sz w:val="24"/>
                <w:szCs w:val="24"/>
                <w:highlight w:val="none"/>
              </w:rPr>
              <w:t>尾水排入</w:t>
            </w:r>
            <w:r>
              <w:rPr>
                <w:rFonts w:hint="eastAsia" w:cs="Times New Roman"/>
                <w:b w:val="0"/>
                <w:bCs w:val="0"/>
                <w:color w:val="auto"/>
                <w:spacing w:val="-6"/>
                <w:sz w:val="24"/>
                <w:highlight w:val="none"/>
                <w:u w:val="none"/>
                <w:lang w:val="en-US" w:eastAsia="zh-CN"/>
              </w:rPr>
              <w:t>元和塘</w:t>
            </w:r>
            <w:r>
              <w:rPr>
                <w:rFonts w:hint="eastAsia"/>
                <w:color w:val="auto"/>
                <w:kern w:val="0"/>
                <w:sz w:val="24"/>
                <w:szCs w:val="24"/>
                <w:highlight w:val="none"/>
              </w:rPr>
              <w:t>。本项目</w:t>
            </w:r>
            <w:r>
              <w:rPr>
                <w:rFonts w:hint="eastAsia"/>
                <w:color w:val="auto"/>
                <w:kern w:val="0"/>
                <w:sz w:val="24"/>
                <w:szCs w:val="24"/>
                <w:highlight w:val="none"/>
                <w:lang w:val="en-US" w:eastAsia="zh-CN"/>
              </w:rPr>
              <w:t>生产废水和生活污水</w:t>
            </w:r>
            <w:r>
              <w:rPr>
                <w:rFonts w:hint="eastAsia"/>
                <w:color w:val="auto"/>
                <w:kern w:val="0"/>
                <w:sz w:val="24"/>
                <w:szCs w:val="24"/>
                <w:highlight w:val="none"/>
              </w:rPr>
              <w:t>执行苏州</w:t>
            </w:r>
            <w:r>
              <w:rPr>
                <w:rFonts w:hint="eastAsia"/>
                <w:color w:val="auto"/>
                <w:kern w:val="0"/>
                <w:sz w:val="24"/>
                <w:szCs w:val="24"/>
                <w:highlight w:val="none"/>
                <w:lang w:val="en-US" w:eastAsia="zh-CN"/>
              </w:rPr>
              <w:t>市高铁新城污水厂</w:t>
            </w:r>
            <w:r>
              <w:rPr>
                <w:rFonts w:hint="eastAsia"/>
                <w:color w:val="auto"/>
                <w:kern w:val="0"/>
                <w:sz w:val="24"/>
                <w:szCs w:val="24"/>
                <w:highlight w:val="none"/>
              </w:rPr>
              <w:t>接管标准</w:t>
            </w:r>
            <w:r>
              <w:rPr>
                <w:rFonts w:hint="eastAsia"/>
                <w:color w:val="auto"/>
                <w:kern w:val="0"/>
                <w:sz w:val="24"/>
                <w:szCs w:val="24"/>
                <w:highlight w:val="none"/>
                <w:lang w:eastAsia="zh-CN"/>
              </w:rPr>
              <w:t>，</w:t>
            </w:r>
            <w:r>
              <w:rPr>
                <w:rFonts w:hint="eastAsia"/>
                <w:color w:val="auto"/>
                <w:kern w:val="0"/>
                <w:sz w:val="24"/>
                <w:szCs w:val="24"/>
                <w:highlight w:val="none"/>
                <w:lang w:val="en-US" w:eastAsia="zh-CN"/>
              </w:rPr>
              <w:t>石油类执行《污水排入城镇下水道水质标准》（GB/T 31962-2015）表1B级标准</w:t>
            </w:r>
            <w:r>
              <w:rPr>
                <w:rFonts w:hint="eastAsia"/>
                <w:color w:val="auto"/>
                <w:kern w:val="0"/>
                <w:sz w:val="24"/>
                <w:szCs w:val="24"/>
                <w:highlight w:val="none"/>
              </w:rPr>
              <w:t>；苏州</w:t>
            </w:r>
            <w:r>
              <w:rPr>
                <w:rFonts w:hint="eastAsia"/>
                <w:color w:val="auto"/>
                <w:kern w:val="0"/>
                <w:sz w:val="24"/>
                <w:szCs w:val="24"/>
                <w:highlight w:val="none"/>
                <w:lang w:val="en-US" w:eastAsia="zh-CN"/>
              </w:rPr>
              <w:t>市高铁新城污水厂</w:t>
            </w:r>
            <w:r>
              <w:rPr>
                <w:rFonts w:hint="eastAsia"/>
                <w:color w:val="auto"/>
                <w:sz w:val="24"/>
                <w:highlight w:val="none"/>
              </w:rPr>
              <w:t>尾水排放执行《太湖地区城镇污水处理厂及重点工业行业主要水污染物排放限值》（DB 32/1072-2018）表2标准，未作规定的项目，执行《城镇污水处理厂污染物排放标准》（DB</w:t>
            </w:r>
            <w:r>
              <w:rPr>
                <w:rFonts w:hint="eastAsia"/>
                <w:color w:val="auto"/>
                <w:sz w:val="24"/>
                <w:highlight w:val="none"/>
                <w:lang w:val="en-US" w:eastAsia="zh-CN"/>
              </w:rPr>
              <w:t xml:space="preserve"> </w:t>
            </w:r>
            <w:r>
              <w:rPr>
                <w:rFonts w:hint="eastAsia"/>
                <w:color w:val="auto"/>
                <w:sz w:val="24"/>
                <w:highlight w:val="none"/>
              </w:rPr>
              <w:t>32/4440-2022）中表1B标准。项目污水排放标准具体见下表。</w:t>
            </w:r>
          </w:p>
          <w:p w14:paraId="4822190C">
            <w:pPr>
              <w:numPr>
                <w:ilvl w:val="0"/>
                <w:numId w:val="4"/>
              </w:numPr>
              <w:adjustRightInd w:val="0"/>
              <w:snapToGrid w:val="0"/>
              <w:jc w:val="center"/>
              <w:rPr>
                <w:rFonts w:hint="eastAsia" w:eastAsia="宋体"/>
                <w:b/>
                <w:color w:val="auto"/>
                <w:kern w:val="0"/>
                <w:sz w:val="24"/>
                <w:szCs w:val="24"/>
                <w:highlight w:val="none"/>
                <w:lang w:eastAsia="zh-CN"/>
              </w:rPr>
            </w:pPr>
            <w:r>
              <w:rPr>
                <w:rFonts w:hint="default"/>
                <w:b/>
                <w:color w:val="auto"/>
                <w:sz w:val="24"/>
                <w:szCs w:val="24"/>
                <w:highlight w:val="none"/>
              </w:rPr>
              <w:t>污水排放标准</w:t>
            </w:r>
          </w:p>
          <w:tbl>
            <w:tblPr>
              <w:tblStyle w:val="20"/>
              <w:tblW w:w="9189" w:type="dxa"/>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820"/>
              <w:gridCol w:w="1740"/>
              <w:gridCol w:w="1275"/>
              <w:gridCol w:w="1095"/>
              <w:gridCol w:w="921"/>
            </w:tblGrid>
            <w:tr w14:paraId="60C9DAB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tcBorders>
                    <w:tl2br w:val="nil"/>
                    <w:tr2bl w:val="nil"/>
                  </w:tcBorders>
                  <w:vAlign w:val="center"/>
                </w:tcPr>
                <w:p w14:paraId="0ABE5DF4">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排放口名称</w:t>
                  </w:r>
                </w:p>
              </w:tc>
              <w:tc>
                <w:tcPr>
                  <w:tcW w:w="1534" w:type="pct"/>
                  <w:tcBorders>
                    <w:tl2br w:val="nil"/>
                    <w:tr2bl w:val="nil"/>
                  </w:tcBorders>
                  <w:vAlign w:val="center"/>
                </w:tcPr>
                <w:p w14:paraId="435092AC">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执行标准</w:t>
                  </w:r>
                </w:p>
              </w:tc>
              <w:tc>
                <w:tcPr>
                  <w:tcW w:w="946" w:type="pct"/>
                  <w:tcBorders>
                    <w:tl2br w:val="nil"/>
                    <w:tr2bl w:val="nil"/>
                  </w:tcBorders>
                  <w:vAlign w:val="center"/>
                </w:tcPr>
                <w:p w14:paraId="4C1C1C85">
                  <w:pPr>
                    <w:pStyle w:val="31"/>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取值表号及级别</w:t>
                  </w:r>
                </w:p>
              </w:tc>
              <w:tc>
                <w:tcPr>
                  <w:tcW w:w="693" w:type="pct"/>
                  <w:tcBorders>
                    <w:tl2br w:val="nil"/>
                    <w:tr2bl w:val="nil"/>
                  </w:tcBorders>
                  <w:vAlign w:val="center"/>
                </w:tcPr>
                <w:p w14:paraId="5BE37D8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污染物名称</w:t>
                  </w:r>
                </w:p>
              </w:tc>
              <w:tc>
                <w:tcPr>
                  <w:tcW w:w="595" w:type="pct"/>
                  <w:tcBorders>
                    <w:tl2br w:val="nil"/>
                    <w:tr2bl w:val="nil"/>
                  </w:tcBorders>
                  <w:vAlign w:val="center"/>
                </w:tcPr>
                <w:p w14:paraId="67468EAA">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标准限值</w:t>
                  </w:r>
                </w:p>
              </w:tc>
              <w:tc>
                <w:tcPr>
                  <w:tcW w:w="501" w:type="pct"/>
                  <w:tcBorders>
                    <w:tl2br w:val="nil"/>
                    <w:tr2bl w:val="nil"/>
                  </w:tcBorders>
                  <w:vAlign w:val="center"/>
                </w:tcPr>
                <w:p w14:paraId="14ADC81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单位</w:t>
                  </w:r>
                </w:p>
              </w:tc>
            </w:tr>
            <w:tr w14:paraId="4C49EA0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restart"/>
                  <w:tcBorders>
                    <w:tl2br w:val="nil"/>
                    <w:tr2bl w:val="nil"/>
                  </w:tcBorders>
                  <w:vAlign w:val="center"/>
                </w:tcPr>
                <w:p w14:paraId="16F26BA9">
                  <w:pPr>
                    <w:pStyle w:val="31"/>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项目排放口</w:t>
                  </w:r>
                </w:p>
              </w:tc>
              <w:tc>
                <w:tcPr>
                  <w:tcW w:w="1534" w:type="pct"/>
                  <w:vMerge w:val="restart"/>
                  <w:tcBorders>
                    <w:tl2br w:val="nil"/>
                    <w:tr2bl w:val="nil"/>
                  </w:tcBorders>
                  <w:vAlign w:val="center"/>
                </w:tcPr>
                <w:p w14:paraId="1E88726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苏州市高铁新城污水厂接管标准</w:t>
                  </w:r>
                </w:p>
              </w:tc>
              <w:tc>
                <w:tcPr>
                  <w:tcW w:w="946" w:type="pct"/>
                  <w:vMerge w:val="restart"/>
                  <w:tcBorders>
                    <w:tl2br w:val="nil"/>
                    <w:tr2bl w:val="nil"/>
                  </w:tcBorders>
                  <w:vAlign w:val="center"/>
                </w:tcPr>
                <w:p w14:paraId="28F70F6A">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693" w:type="pct"/>
                  <w:tcBorders>
                    <w:tl2br w:val="nil"/>
                    <w:tr2bl w:val="nil"/>
                  </w:tcBorders>
                  <w:vAlign w:val="center"/>
                </w:tcPr>
                <w:p w14:paraId="236FABF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w:t>
                  </w:r>
                </w:p>
              </w:tc>
              <w:tc>
                <w:tcPr>
                  <w:tcW w:w="595" w:type="pct"/>
                  <w:tcBorders>
                    <w:tl2br w:val="nil"/>
                    <w:tr2bl w:val="nil"/>
                  </w:tcBorders>
                  <w:vAlign w:val="center"/>
                </w:tcPr>
                <w:p w14:paraId="1061D5E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tc>
              <w:tc>
                <w:tcPr>
                  <w:tcW w:w="501" w:type="pct"/>
                  <w:tcBorders>
                    <w:tl2br w:val="nil"/>
                    <w:tr2bl w:val="nil"/>
                  </w:tcBorders>
                  <w:vAlign w:val="center"/>
                </w:tcPr>
                <w:p w14:paraId="33340E7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无量纲</w:t>
                  </w:r>
                </w:p>
              </w:tc>
            </w:tr>
            <w:tr w14:paraId="7A26DDD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505FF5F9">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28B98619">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001ECBEC">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659BA43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595" w:type="pct"/>
                  <w:tcBorders>
                    <w:tl2br w:val="nil"/>
                    <w:tr2bl w:val="nil"/>
                  </w:tcBorders>
                  <w:vAlign w:val="center"/>
                </w:tcPr>
                <w:p w14:paraId="523AE9FF">
                  <w:pPr>
                    <w:pStyle w:val="31"/>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400</w:t>
                  </w:r>
                </w:p>
              </w:tc>
              <w:tc>
                <w:tcPr>
                  <w:tcW w:w="501" w:type="pct"/>
                  <w:tcBorders>
                    <w:tl2br w:val="nil"/>
                    <w:tr2bl w:val="nil"/>
                  </w:tcBorders>
                  <w:vAlign w:val="center"/>
                </w:tcPr>
                <w:p w14:paraId="215DBFC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3DF837D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40D1889B">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53209C84">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5BA05664">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1FECB1E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595" w:type="pct"/>
                  <w:tcBorders>
                    <w:tl2br w:val="nil"/>
                    <w:tr2bl w:val="nil"/>
                  </w:tcBorders>
                  <w:vAlign w:val="center"/>
                </w:tcPr>
                <w:p w14:paraId="71528133">
                  <w:pPr>
                    <w:pStyle w:val="31"/>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250</w:t>
                  </w:r>
                </w:p>
              </w:tc>
              <w:tc>
                <w:tcPr>
                  <w:tcW w:w="501" w:type="pct"/>
                  <w:tcBorders>
                    <w:tl2br w:val="nil"/>
                    <w:tr2bl w:val="nil"/>
                  </w:tcBorders>
                  <w:vAlign w:val="center"/>
                </w:tcPr>
                <w:p w14:paraId="1F31EEB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006CE6D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7C9E628C">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7246B2F1">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55973A50">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025181E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595" w:type="pct"/>
                  <w:tcBorders>
                    <w:tl2br w:val="nil"/>
                    <w:tr2bl w:val="nil"/>
                  </w:tcBorders>
                  <w:vAlign w:val="center"/>
                </w:tcPr>
                <w:p w14:paraId="34688A5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35</w:t>
                  </w:r>
                </w:p>
              </w:tc>
              <w:tc>
                <w:tcPr>
                  <w:tcW w:w="501" w:type="pct"/>
                  <w:tcBorders>
                    <w:tl2br w:val="nil"/>
                    <w:tr2bl w:val="nil"/>
                  </w:tcBorders>
                  <w:vAlign w:val="center"/>
                </w:tcPr>
                <w:p w14:paraId="1141B63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6A71DB8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7496C3DD">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3C78EAFD">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24647875">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7229AC6C">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595" w:type="pct"/>
                  <w:tcBorders>
                    <w:tl2br w:val="nil"/>
                    <w:tr2bl w:val="nil"/>
                  </w:tcBorders>
                  <w:vAlign w:val="center"/>
                </w:tcPr>
                <w:p w14:paraId="06D5003C">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w:t>
                  </w:r>
                </w:p>
              </w:tc>
              <w:tc>
                <w:tcPr>
                  <w:tcW w:w="501" w:type="pct"/>
                  <w:tcBorders>
                    <w:tl2br w:val="nil"/>
                    <w:tr2bl w:val="nil"/>
                  </w:tcBorders>
                  <w:vAlign w:val="center"/>
                </w:tcPr>
                <w:p w14:paraId="2002A21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60BEC51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75731C65">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55917853">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62CBECCB">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7A4D28C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595" w:type="pct"/>
                  <w:tcBorders>
                    <w:tl2br w:val="nil"/>
                    <w:tr2bl w:val="nil"/>
                  </w:tcBorders>
                  <w:vAlign w:val="center"/>
                </w:tcPr>
                <w:p w14:paraId="79CA80A7">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45</w:t>
                  </w:r>
                </w:p>
              </w:tc>
              <w:tc>
                <w:tcPr>
                  <w:tcW w:w="501" w:type="pct"/>
                  <w:tcBorders>
                    <w:tl2br w:val="nil"/>
                    <w:tr2bl w:val="nil"/>
                  </w:tcBorders>
                  <w:vAlign w:val="center"/>
                </w:tcPr>
                <w:p w14:paraId="4C52E81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7CD59EA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4E1CE80E">
                  <w:pPr>
                    <w:pStyle w:val="31"/>
                    <w:rPr>
                      <w:rFonts w:hint="default" w:ascii="Times New Roman" w:hAnsi="Times New Roman" w:eastAsia="仿宋" w:cs="Times New Roman"/>
                      <w:color w:val="auto"/>
                      <w:sz w:val="21"/>
                      <w:szCs w:val="21"/>
                      <w:highlight w:val="none"/>
                    </w:rPr>
                  </w:pPr>
                </w:p>
              </w:tc>
              <w:tc>
                <w:tcPr>
                  <w:tcW w:w="1534" w:type="pct"/>
                  <w:vMerge w:val="restart"/>
                  <w:tcBorders>
                    <w:tl2br w:val="nil"/>
                    <w:tr2bl w:val="nil"/>
                  </w:tcBorders>
                  <w:shd w:val="clear" w:color="auto" w:fill="auto"/>
                  <w:vAlign w:val="center"/>
                </w:tcPr>
                <w:p w14:paraId="0573D418">
                  <w:pPr>
                    <w:pStyle w:val="31"/>
                    <w:rPr>
                      <w:rFonts w:hint="eastAsia" w:ascii="Times New Roman" w:hAnsi="Times New Roman" w:eastAsia="仿宋" w:cs="Times New Roman"/>
                      <w:color w:val="auto"/>
                      <w:kern w:val="0"/>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《污水排入城镇下水道水质标准》（</w:t>
                  </w:r>
                  <w:r>
                    <w:rPr>
                      <w:rFonts w:hint="default" w:ascii="Times New Roman" w:hAnsi="Times New Roman" w:eastAsia="仿宋" w:cs="Times New Roman"/>
                      <w:color w:val="auto"/>
                      <w:sz w:val="21"/>
                      <w:szCs w:val="21"/>
                      <w:highlight w:val="none"/>
                      <w:lang w:val="en-US" w:eastAsia="zh-CN"/>
                    </w:rPr>
                    <w:t>GB/T</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31962-2015</w:t>
                  </w:r>
                  <w:r>
                    <w:rPr>
                      <w:rFonts w:hint="eastAsia" w:ascii="Times New Roman" w:hAnsi="Times New Roman" w:eastAsia="仿宋" w:cs="Times New Roman"/>
                      <w:color w:val="auto"/>
                      <w:sz w:val="21"/>
                      <w:szCs w:val="21"/>
                      <w:highlight w:val="none"/>
                      <w:lang w:val="en-US" w:eastAsia="zh-CN"/>
                    </w:rPr>
                    <w:t>）</w:t>
                  </w:r>
                </w:p>
              </w:tc>
              <w:tc>
                <w:tcPr>
                  <w:tcW w:w="946" w:type="pct"/>
                  <w:vMerge w:val="restart"/>
                  <w:tcBorders>
                    <w:tl2br w:val="nil"/>
                    <w:tr2bl w:val="nil"/>
                  </w:tcBorders>
                  <w:shd w:val="clear" w:color="auto" w:fill="auto"/>
                  <w:vAlign w:val="center"/>
                </w:tcPr>
                <w:p w14:paraId="225B0B49">
                  <w:pPr>
                    <w:pStyle w:val="31"/>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表</w:t>
                  </w:r>
                  <w:r>
                    <w:rPr>
                      <w:rFonts w:hint="default" w:ascii="Times New Roman" w:hAnsi="Times New Roman" w:eastAsia="仿宋" w:cs="Times New Roman"/>
                      <w:color w:val="auto"/>
                      <w:sz w:val="21"/>
                      <w:szCs w:val="21"/>
                      <w:highlight w:val="none"/>
                      <w:lang w:val="en-US" w:eastAsia="zh-CN"/>
                    </w:rPr>
                    <w:t>1B</w:t>
                  </w:r>
                  <w:r>
                    <w:rPr>
                      <w:rFonts w:hint="eastAsia" w:ascii="Times New Roman" w:hAnsi="Times New Roman" w:eastAsia="仿宋" w:cs="Times New Roman"/>
                      <w:color w:val="auto"/>
                      <w:sz w:val="21"/>
                      <w:szCs w:val="21"/>
                      <w:highlight w:val="none"/>
                      <w:lang w:val="en-US" w:eastAsia="zh-CN"/>
                    </w:rPr>
                    <w:t>级标准</w:t>
                  </w:r>
                </w:p>
              </w:tc>
              <w:tc>
                <w:tcPr>
                  <w:tcW w:w="693" w:type="pct"/>
                  <w:tcBorders>
                    <w:tl2br w:val="nil"/>
                    <w:tr2bl w:val="nil"/>
                  </w:tcBorders>
                  <w:shd w:val="clear" w:color="auto" w:fill="auto"/>
                  <w:vAlign w:val="center"/>
                </w:tcPr>
                <w:p w14:paraId="5EC85E54">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石油类</w:t>
                  </w:r>
                </w:p>
              </w:tc>
              <w:tc>
                <w:tcPr>
                  <w:tcW w:w="595" w:type="pct"/>
                  <w:tcBorders>
                    <w:tl2br w:val="nil"/>
                    <w:tr2bl w:val="nil"/>
                  </w:tcBorders>
                  <w:shd w:val="clear" w:color="auto" w:fill="auto"/>
                  <w:vAlign w:val="center"/>
                </w:tcPr>
                <w:p w14:paraId="27DAD6AE">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15</w:t>
                  </w:r>
                </w:p>
              </w:tc>
              <w:tc>
                <w:tcPr>
                  <w:tcW w:w="501" w:type="pct"/>
                  <w:tcBorders>
                    <w:tl2br w:val="nil"/>
                    <w:tr2bl w:val="nil"/>
                  </w:tcBorders>
                  <w:shd w:val="clear" w:color="auto" w:fill="auto"/>
                  <w:vAlign w:val="center"/>
                </w:tcPr>
                <w:p w14:paraId="39E6B167">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mg/L</w:t>
                  </w:r>
                </w:p>
              </w:tc>
            </w:tr>
            <w:tr w14:paraId="799F880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4B12858E">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417AB8FE">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03131D45">
                  <w:pPr>
                    <w:pStyle w:val="31"/>
                    <w:rPr>
                      <w:rFonts w:hint="eastAsia" w:ascii="Times New Roman" w:hAnsi="Times New Roman" w:eastAsia="仿宋" w:cs="Times New Roman"/>
                      <w:color w:val="auto"/>
                      <w:sz w:val="21"/>
                      <w:szCs w:val="21"/>
                      <w:highlight w:val="none"/>
                      <w:lang w:val="en-US" w:eastAsia="zh-CN"/>
                    </w:rPr>
                  </w:pPr>
                </w:p>
              </w:tc>
              <w:tc>
                <w:tcPr>
                  <w:tcW w:w="693" w:type="pct"/>
                  <w:tcBorders>
                    <w:tl2br w:val="nil"/>
                    <w:tr2bl w:val="nil"/>
                  </w:tcBorders>
                  <w:vAlign w:val="center"/>
                </w:tcPr>
                <w:p w14:paraId="17C8D471">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LAS</w:t>
                  </w:r>
                </w:p>
              </w:tc>
              <w:tc>
                <w:tcPr>
                  <w:tcW w:w="595" w:type="pct"/>
                  <w:tcBorders>
                    <w:tl2br w:val="nil"/>
                    <w:tr2bl w:val="nil"/>
                  </w:tcBorders>
                  <w:vAlign w:val="center"/>
                </w:tcPr>
                <w:p w14:paraId="30783992">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501" w:type="pct"/>
                  <w:tcBorders>
                    <w:tl2br w:val="nil"/>
                    <w:tr2bl w:val="nil"/>
                  </w:tcBorders>
                  <w:vAlign w:val="center"/>
                </w:tcPr>
                <w:p w14:paraId="268F8746">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mg/L</w:t>
                  </w:r>
                </w:p>
              </w:tc>
            </w:tr>
            <w:tr w14:paraId="18793A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restart"/>
                  <w:tcBorders>
                    <w:tl2br w:val="nil"/>
                    <w:tr2bl w:val="nil"/>
                  </w:tcBorders>
                  <w:vAlign w:val="center"/>
                </w:tcPr>
                <w:p w14:paraId="7458E730">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污水处理厂</w:t>
                  </w:r>
                  <w:r>
                    <w:rPr>
                      <w:rFonts w:hint="default" w:ascii="Times New Roman" w:hAnsi="Times New Roman" w:eastAsia="仿宋" w:cs="Times New Roman"/>
                      <w:color w:val="auto"/>
                      <w:sz w:val="21"/>
                      <w:szCs w:val="21"/>
                      <w:highlight w:val="none"/>
                    </w:rPr>
                    <w:t>排放口</w:t>
                  </w:r>
                </w:p>
              </w:tc>
              <w:tc>
                <w:tcPr>
                  <w:tcW w:w="1534" w:type="pct"/>
                  <w:vMerge w:val="restart"/>
                  <w:tcBorders>
                    <w:tl2br w:val="nil"/>
                    <w:tr2bl w:val="nil"/>
                  </w:tcBorders>
                  <w:vAlign w:val="center"/>
                </w:tcPr>
                <w:p w14:paraId="7E690E12">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太湖地区城镇污水处理厂及重点工业行业主要水污染物排放限值》（DB 32/1072-2018）表2标准</w:t>
                  </w:r>
                </w:p>
              </w:tc>
              <w:tc>
                <w:tcPr>
                  <w:tcW w:w="946" w:type="pct"/>
                  <w:vMerge w:val="restart"/>
                  <w:tcBorders>
                    <w:tl2br w:val="nil"/>
                    <w:tr2bl w:val="nil"/>
                  </w:tcBorders>
                  <w:vAlign w:val="center"/>
                </w:tcPr>
                <w:p w14:paraId="0B7FC4BE">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693" w:type="pct"/>
                  <w:tcBorders>
                    <w:tl2br w:val="nil"/>
                    <w:tr2bl w:val="nil"/>
                  </w:tcBorders>
                  <w:vAlign w:val="center"/>
                </w:tcPr>
                <w:p w14:paraId="60D8FC10">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595" w:type="pct"/>
                  <w:tcBorders>
                    <w:tl2br w:val="nil"/>
                    <w:tr2bl w:val="nil"/>
                  </w:tcBorders>
                  <w:vAlign w:val="center"/>
                </w:tcPr>
                <w:p w14:paraId="23F470BE">
                  <w:pPr>
                    <w:pStyle w:val="31"/>
                    <w:rPr>
                      <w:rFonts w:hint="default" w:ascii="Times New Roman" w:hAnsi="Times New Roman" w:eastAsia="仿宋" w:cs="Times New Roman"/>
                      <w:color w:val="auto"/>
                      <w:sz w:val="21"/>
                      <w:szCs w:val="21"/>
                      <w:highlight w:val="none"/>
                    </w:rPr>
                  </w:pPr>
                  <w:r>
                    <w:rPr>
                      <w:rFonts w:hint="eastAsia" w:cs="Times New Roman"/>
                      <w:color w:val="auto"/>
                      <w:sz w:val="21"/>
                      <w:szCs w:val="21"/>
                      <w:lang w:val="en-US" w:eastAsia="zh-CN"/>
                    </w:rPr>
                    <w:t>50</w:t>
                  </w:r>
                </w:p>
              </w:tc>
              <w:tc>
                <w:tcPr>
                  <w:tcW w:w="501" w:type="pct"/>
                  <w:tcBorders>
                    <w:tl2br w:val="nil"/>
                    <w:tr2bl w:val="nil"/>
                  </w:tcBorders>
                  <w:vAlign w:val="center"/>
                </w:tcPr>
                <w:p w14:paraId="16870E4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1E682AB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3C9A95F6">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25EFD1CE">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00308678">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7F48931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595" w:type="pct"/>
                  <w:tcBorders>
                    <w:tl2br w:val="nil"/>
                    <w:tr2bl w:val="nil"/>
                  </w:tcBorders>
                  <w:vAlign w:val="center"/>
                </w:tcPr>
                <w:p w14:paraId="76F285AC">
                  <w:pPr>
                    <w:pStyle w:val="31"/>
                    <w:rPr>
                      <w:rFonts w:hint="default" w:ascii="Times New Roman" w:hAnsi="Times New Roman" w:eastAsia="仿宋" w:cs="Times New Roman"/>
                      <w:color w:val="auto"/>
                      <w:sz w:val="21"/>
                      <w:szCs w:val="21"/>
                      <w:highlight w:val="none"/>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rPr>
                    <w:t>）*</w:t>
                  </w:r>
                </w:p>
              </w:tc>
              <w:tc>
                <w:tcPr>
                  <w:tcW w:w="501" w:type="pct"/>
                  <w:tcBorders>
                    <w:tl2br w:val="nil"/>
                    <w:tr2bl w:val="nil"/>
                  </w:tcBorders>
                  <w:vAlign w:val="center"/>
                </w:tcPr>
                <w:p w14:paraId="57DA3C20">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0A14BDF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65AD513E">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2B06213F">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2CC965DF">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4E6629B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595" w:type="pct"/>
                  <w:tcBorders>
                    <w:tl2br w:val="nil"/>
                    <w:tr2bl w:val="nil"/>
                  </w:tcBorders>
                  <w:vAlign w:val="center"/>
                </w:tcPr>
                <w:p w14:paraId="758366C3">
                  <w:pPr>
                    <w:pStyle w:val="31"/>
                    <w:rPr>
                      <w:rFonts w:hint="default" w:ascii="Times New Roman" w:hAnsi="Times New Roman" w:eastAsia="仿宋" w:cs="Times New Roman"/>
                      <w:color w:val="auto"/>
                      <w:sz w:val="21"/>
                      <w:szCs w:val="21"/>
                      <w:highlight w:val="none"/>
                    </w:rPr>
                  </w:pPr>
                  <w:r>
                    <w:rPr>
                      <w:rFonts w:hint="eastAsia" w:cs="Times New Roman"/>
                      <w:color w:val="auto"/>
                      <w:sz w:val="21"/>
                      <w:szCs w:val="21"/>
                      <w:lang w:val="en-US" w:eastAsia="zh-CN"/>
                    </w:rPr>
                    <w:t>0.5</w:t>
                  </w:r>
                </w:p>
              </w:tc>
              <w:tc>
                <w:tcPr>
                  <w:tcW w:w="501" w:type="pct"/>
                  <w:tcBorders>
                    <w:tl2br w:val="nil"/>
                    <w:tr2bl w:val="nil"/>
                  </w:tcBorders>
                  <w:vAlign w:val="center"/>
                </w:tcPr>
                <w:p w14:paraId="4196168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626C08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2E0CF41F">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5684CA7D">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1DC8C79F">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vAlign w:val="center"/>
                </w:tcPr>
                <w:p w14:paraId="733D431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595" w:type="pct"/>
                  <w:tcBorders>
                    <w:tl2br w:val="nil"/>
                    <w:tr2bl w:val="nil"/>
                  </w:tcBorders>
                  <w:vAlign w:val="center"/>
                </w:tcPr>
                <w:p w14:paraId="5459CA11">
                  <w:pPr>
                    <w:pStyle w:val="31"/>
                    <w:rPr>
                      <w:rFonts w:hint="default" w:ascii="Times New Roman" w:hAnsi="Times New Roman" w:eastAsia="仿宋" w:cs="Times New Roman"/>
                      <w:color w:val="auto"/>
                      <w:sz w:val="21"/>
                      <w:szCs w:val="21"/>
                      <w:highlight w:val="none"/>
                    </w:rPr>
                  </w:pPr>
                  <w:r>
                    <w:rPr>
                      <w:rFonts w:hint="eastAsia" w:cs="Times New Roman"/>
                      <w:color w:val="auto"/>
                      <w:sz w:val="21"/>
                      <w:szCs w:val="21"/>
                      <w:lang w:val="en-US" w:eastAsia="zh-CN"/>
                    </w:rPr>
                    <w:t>12（15）</w:t>
                  </w:r>
                  <w:r>
                    <w:rPr>
                      <w:rFonts w:hint="default" w:ascii="Times New Roman" w:hAnsi="Times New Roman" w:eastAsia="宋体" w:cs="Times New Roman"/>
                      <w:color w:val="auto"/>
                      <w:sz w:val="21"/>
                      <w:szCs w:val="21"/>
                    </w:rPr>
                    <w:t>*</w:t>
                  </w:r>
                </w:p>
              </w:tc>
              <w:tc>
                <w:tcPr>
                  <w:tcW w:w="501" w:type="pct"/>
                  <w:tcBorders>
                    <w:tl2br w:val="nil"/>
                    <w:tr2bl w:val="nil"/>
                  </w:tcBorders>
                  <w:vAlign w:val="center"/>
                </w:tcPr>
                <w:p w14:paraId="3607690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6A4182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6A52EA5F">
                  <w:pPr>
                    <w:pStyle w:val="31"/>
                    <w:rPr>
                      <w:rFonts w:hint="default" w:ascii="Times New Roman" w:hAnsi="Times New Roman" w:eastAsia="仿宋" w:cs="Times New Roman"/>
                      <w:color w:val="auto"/>
                      <w:sz w:val="21"/>
                      <w:szCs w:val="21"/>
                      <w:highlight w:val="none"/>
                    </w:rPr>
                  </w:pPr>
                </w:p>
              </w:tc>
              <w:tc>
                <w:tcPr>
                  <w:tcW w:w="1534" w:type="pct"/>
                  <w:vMerge w:val="restart"/>
                  <w:tcBorders>
                    <w:tl2br w:val="nil"/>
                    <w:tr2bl w:val="nil"/>
                  </w:tcBorders>
                  <w:vAlign w:val="center"/>
                </w:tcPr>
                <w:p w14:paraId="600D634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《城镇污水处理厂污染物排放标准》（</w:t>
                  </w:r>
                  <w:r>
                    <w:rPr>
                      <w:rFonts w:hint="default" w:ascii="Times New Roman" w:hAnsi="Times New Roman" w:eastAsia="仿宋" w:cs="Times New Roman"/>
                      <w:color w:val="auto"/>
                      <w:sz w:val="21"/>
                      <w:szCs w:val="21"/>
                      <w:highlight w:val="none"/>
                      <w:lang w:val="en-US" w:eastAsia="zh-CN"/>
                    </w:rPr>
                    <w:t>DB</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32/4440</w:t>
                  </w:r>
                  <w:r>
                    <w:rPr>
                      <w:rFonts w:hint="default" w:ascii="Times New Roman" w:hAnsi="Times New Roman" w:eastAsia="仿宋" w:cs="Times New Roman"/>
                      <w:color w:val="auto"/>
                      <w:sz w:val="21"/>
                      <w:szCs w:val="21"/>
                      <w:highlight w:val="none"/>
                    </w:rPr>
                    <w:t>-20</w:t>
                  </w:r>
                  <w:r>
                    <w:rPr>
                      <w:rFonts w:hint="default"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2）</w:t>
                  </w:r>
                </w:p>
              </w:tc>
              <w:tc>
                <w:tcPr>
                  <w:tcW w:w="946" w:type="pct"/>
                  <w:vMerge w:val="restart"/>
                  <w:tcBorders>
                    <w:tl2br w:val="nil"/>
                    <w:tr2bl w:val="nil"/>
                  </w:tcBorders>
                  <w:vAlign w:val="center"/>
                </w:tcPr>
                <w:p w14:paraId="65492F48">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表1</w:t>
                  </w:r>
                  <w:r>
                    <w:rPr>
                      <w:rFonts w:hint="default" w:ascii="Times New Roman" w:hAnsi="Times New Roman" w:eastAsia="仿宋" w:cs="Times New Roman"/>
                      <w:color w:val="auto"/>
                      <w:sz w:val="21"/>
                      <w:szCs w:val="21"/>
                      <w:highlight w:val="none"/>
                      <w:lang w:val="en-US" w:eastAsia="zh-CN"/>
                    </w:rPr>
                    <w:t>B</w:t>
                  </w:r>
                  <w:r>
                    <w:rPr>
                      <w:rFonts w:hint="default" w:ascii="Times New Roman" w:hAnsi="Times New Roman" w:eastAsia="仿宋" w:cs="Times New Roman"/>
                      <w:color w:val="auto"/>
                      <w:sz w:val="21"/>
                      <w:szCs w:val="21"/>
                      <w:highlight w:val="none"/>
                    </w:rPr>
                    <w:t>标准</w:t>
                  </w:r>
                </w:p>
              </w:tc>
              <w:tc>
                <w:tcPr>
                  <w:tcW w:w="693" w:type="pct"/>
                  <w:tcBorders>
                    <w:tl2br w:val="nil"/>
                    <w:tr2bl w:val="nil"/>
                  </w:tcBorders>
                  <w:shd w:val="clear" w:color="auto" w:fill="auto"/>
                  <w:vAlign w:val="center"/>
                </w:tcPr>
                <w:p w14:paraId="69B15E90">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pH</w:t>
                  </w:r>
                </w:p>
              </w:tc>
              <w:tc>
                <w:tcPr>
                  <w:tcW w:w="595" w:type="pct"/>
                  <w:tcBorders>
                    <w:tl2br w:val="nil"/>
                    <w:tr2bl w:val="nil"/>
                  </w:tcBorders>
                  <w:shd w:val="clear" w:color="auto" w:fill="auto"/>
                  <w:vAlign w:val="center"/>
                </w:tcPr>
                <w:p w14:paraId="11B33B6C">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6</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9</w:t>
                  </w:r>
                </w:p>
              </w:tc>
              <w:tc>
                <w:tcPr>
                  <w:tcW w:w="501" w:type="pct"/>
                  <w:tcBorders>
                    <w:tl2br w:val="nil"/>
                    <w:tr2bl w:val="nil"/>
                  </w:tcBorders>
                  <w:shd w:val="clear" w:color="auto" w:fill="auto"/>
                  <w:vAlign w:val="center"/>
                </w:tcPr>
                <w:p w14:paraId="515551E5">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无量纲</w:t>
                  </w:r>
                </w:p>
              </w:tc>
            </w:tr>
            <w:tr w14:paraId="33B0F77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5B45CEA0">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3C75A6FB">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569208D3">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shd w:val="clear" w:color="auto" w:fill="auto"/>
                  <w:vAlign w:val="center"/>
                </w:tcPr>
                <w:p w14:paraId="0352C911">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SS</w:t>
                  </w:r>
                </w:p>
              </w:tc>
              <w:tc>
                <w:tcPr>
                  <w:tcW w:w="595" w:type="pct"/>
                  <w:tcBorders>
                    <w:tl2br w:val="nil"/>
                    <w:tr2bl w:val="nil"/>
                  </w:tcBorders>
                  <w:shd w:val="clear" w:color="auto" w:fill="auto"/>
                  <w:vAlign w:val="center"/>
                </w:tcPr>
                <w:p w14:paraId="61F7EFD2">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10</w:t>
                  </w:r>
                </w:p>
              </w:tc>
              <w:tc>
                <w:tcPr>
                  <w:tcW w:w="501" w:type="pct"/>
                  <w:tcBorders>
                    <w:tl2br w:val="nil"/>
                    <w:tr2bl w:val="nil"/>
                  </w:tcBorders>
                  <w:shd w:val="clear" w:color="auto" w:fill="auto"/>
                  <w:vAlign w:val="center"/>
                </w:tcPr>
                <w:p w14:paraId="38777CC9">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mg/L</w:t>
                  </w:r>
                </w:p>
              </w:tc>
            </w:tr>
            <w:tr w14:paraId="7A931C2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28" w:type="pct"/>
                  <w:vMerge w:val="continue"/>
                  <w:tcBorders>
                    <w:tl2br w:val="nil"/>
                    <w:tr2bl w:val="nil"/>
                  </w:tcBorders>
                  <w:vAlign w:val="center"/>
                </w:tcPr>
                <w:p w14:paraId="5535BBE6">
                  <w:pPr>
                    <w:pStyle w:val="31"/>
                    <w:rPr>
                      <w:rFonts w:hint="default" w:ascii="Times New Roman" w:hAnsi="Times New Roman" w:eastAsia="仿宋" w:cs="Times New Roman"/>
                      <w:color w:val="auto"/>
                      <w:sz w:val="21"/>
                      <w:szCs w:val="21"/>
                      <w:highlight w:val="none"/>
                    </w:rPr>
                  </w:pPr>
                </w:p>
              </w:tc>
              <w:tc>
                <w:tcPr>
                  <w:tcW w:w="1534" w:type="pct"/>
                  <w:vMerge w:val="continue"/>
                  <w:tcBorders>
                    <w:tl2br w:val="nil"/>
                    <w:tr2bl w:val="nil"/>
                  </w:tcBorders>
                  <w:vAlign w:val="center"/>
                </w:tcPr>
                <w:p w14:paraId="2FC303FA">
                  <w:pPr>
                    <w:pStyle w:val="31"/>
                    <w:rPr>
                      <w:rFonts w:hint="default" w:ascii="Times New Roman" w:hAnsi="Times New Roman" w:eastAsia="仿宋" w:cs="Times New Roman"/>
                      <w:color w:val="auto"/>
                      <w:sz w:val="21"/>
                      <w:szCs w:val="21"/>
                      <w:highlight w:val="none"/>
                    </w:rPr>
                  </w:pPr>
                </w:p>
              </w:tc>
              <w:tc>
                <w:tcPr>
                  <w:tcW w:w="946" w:type="pct"/>
                  <w:vMerge w:val="continue"/>
                  <w:tcBorders>
                    <w:tl2br w:val="nil"/>
                    <w:tr2bl w:val="nil"/>
                  </w:tcBorders>
                  <w:vAlign w:val="center"/>
                </w:tcPr>
                <w:p w14:paraId="210E5C2A">
                  <w:pPr>
                    <w:pStyle w:val="31"/>
                    <w:rPr>
                      <w:rFonts w:hint="default" w:ascii="Times New Roman" w:hAnsi="Times New Roman" w:eastAsia="仿宋" w:cs="Times New Roman"/>
                      <w:color w:val="auto"/>
                      <w:sz w:val="21"/>
                      <w:szCs w:val="21"/>
                      <w:highlight w:val="none"/>
                    </w:rPr>
                  </w:pPr>
                </w:p>
              </w:tc>
              <w:tc>
                <w:tcPr>
                  <w:tcW w:w="693" w:type="pct"/>
                  <w:tcBorders>
                    <w:tl2br w:val="nil"/>
                    <w:tr2bl w:val="nil"/>
                  </w:tcBorders>
                  <w:shd w:val="clear" w:color="auto" w:fill="auto"/>
                  <w:vAlign w:val="center"/>
                </w:tcPr>
                <w:p w14:paraId="41EAFB91">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石油类</w:t>
                  </w:r>
                </w:p>
              </w:tc>
              <w:tc>
                <w:tcPr>
                  <w:tcW w:w="595" w:type="pct"/>
                  <w:tcBorders>
                    <w:tl2br w:val="nil"/>
                    <w:tr2bl w:val="nil"/>
                  </w:tcBorders>
                  <w:shd w:val="clear" w:color="auto" w:fill="auto"/>
                  <w:vAlign w:val="center"/>
                </w:tcPr>
                <w:p w14:paraId="1AA7CB00">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w:t>
                  </w:r>
                </w:p>
              </w:tc>
              <w:tc>
                <w:tcPr>
                  <w:tcW w:w="501" w:type="pct"/>
                  <w:tcBorders>
                    <w:tl2br w:val="nil"/>
                    <w:tr2bl w:val="nil"/>
                  </w:tcBorders>
                  <w:shd w:val="clear" w:color="auto" w:fill="auto"/>
                  <w:vAlign w:val="center"/>
                </w:tcPr>
                <w:p w14:paraId="32649750">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mg/L</w:t>
                  </w:r>
                </w:p>
              </w:tc>
            </w:tr>
            <w:tr w14:paraId="3C3C4B7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6"/>
                  <w:tcBorders>
                    <w:tl2br w:val="nil"/>
                    <w:tr2bl w:val="nil"/>
                  </w:tcBorders>
                  <w:vAlign w:val="center"/>
                </w:tcPr>
                <w:p w14:paraId="4FC2A550">
                  <w:pPr>
                    <w:adjustRightInd w:val="0"/>
                    <w:snapToGrid w:val="0"/>
                    <w:spacing w:line="240" w:lineRule="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注：*括号外数值为水温＞12℃时的控制指标，括号内数值为水温≤12℃时的控制指标。</w:t>
                  </w:r>
                </w:p>
              </w:tc>
            </w:tr>
          </w:tbl>
          <w:p w14:paraId="2A23309E">
            <w:pPr>
              <w:adjustRightInd w:val="0"/>
              <w:snapToGrid w:val="0"/>
              <w:spacing w:line="360" w:lineRule="auto"/>
              <w:rPr>
                <w:rFonts w:hint="default" w:ascii="Times New Roman" w:hAnsi="Times New Roman" w:eastAsia="宋体" w:cs="Times New Roman"/>
                <w:color w:val="auto"/>
                <w:kern w:val="0"/>
                <w:sz w:val="24"/>
                <w:szCs w:val="24"/>
                <w:highlight w:val="none"/>
              </w:rPr>
            </w:pPr>
            <w:r>
              <w:rPr>
                <w:rFonts w:hint="eastAsia"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rPr>
              <w:t>废气排放标准</w:t>
            </w:r>
          </w:p>
          <w:p w14:paraId="081BE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4"/>
                <w:highlight w:val="none"/>
                <w:lang w:val="en-US" w:eastAsia="zh-CN"/>
              </w:rPr>
            </w:pPr>
            <w:bookmarkStart w:id="16" w:name="_Hlk58232679"/>
            <w:r>
              <w:rPr>
                <w:rFonts w:hint="default" w:ascii="Times New Roman" w:hAnsi="Times New Roman" w:eastAsia="宋体" w:cs="Times New Roman"/>
                <w:color w:val="auto"/>
                <w:kern w:val="0"/>
                <w:sz w:val="24"/>
                <w:szCs w:val="24"/>
                <w:highlight w:val="none"/>
                <w:lang w:val="en-US" w:eastAsia="zh-CN"/>
              </w:rPr>
              <w:t>本项目运营期</w:t>
            </w:r>
            <w:r>
              <w:rPr>
                <w:rFonts w:hint="eastAsia" w:cs="Times New Roman"/>
                <w:color w:val="auto"/>
                <w:kern w:val="0"/>
                <w:sz w:val="24"/>
                <w:szCs w:val="24"/>
                <w:highlight w:val="none"/>
                <w:lang w:val="en-US" w:eastAsia="zh-CN"/>
              </w:rPr>
              <w:t>电泳前处理酸性废气、电泳固化废气</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喷粉前处理酸性废气、喷粉固化废气经“碱性喷淋塔+干式过滤器+二级活性炭装置”处理后经DA001排气筒排放，喷粉废气经“滤芯回收装置”处理后经DA001排气筒排放，污水处理站废气、危废仓库废气在厂区无组织排放。</w:t>
            </w:r>
          </w:p>
          <w:p w14:paraId="757E74A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有组织废气：</w:t>
            </w:r>
          </w:p>
          <w:p w14:paraId="2CA9A4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DA001排气筒：</w:t>
            </w:r>
            <w:r>
              <w:rPr>
                <w:rFonts w:hint="default" w:ascii="Times New Roman" w:hAnsi="Times New Roman" w:eastAsia="宋体" w:cs="Times New Roman"/>
                <w:color w:val="auto"/>
                <w:kern w:val="0"/>
                <w:sz w:val="24"/>
                <w:szCs w:val="24"/>
                <w:highlight w:val="none"/>
                <w:lang w:val="en-US" w:eastAsia="zh-CN"/>
              </w:rPr>
              <w:t>有组织排放的非甲烷总烃、</w:t>
            </w:r>
            <w:r>
              <w:rPr>
                <w:rFonts w:hint="eastAsia" w:cs="Times New Roman"/>
                <w:color w:val="auto"/>
                <w:kern w:val="0"/>
                <w:sz w:val="24"/>
                <w:szCs w:val="24"/>
                <w:highlight w:val="none"/>
                <w:lang w:val="en-US" w:eastAsia="zh-CN"/>
              </w:rPr>
              <w:t>TVOC、</w:t>
            </w:r>
            <w:r>
              <w:rPr>
                <w:rFonts w:hint="default" w:ascii="Times New Roman" w:hAnsi="Times New Roman" w:eastAsia="宋体" w:cs="Times New Roman"/>
                <w:color w:val="auto"/>
                <w:kern w:val="0"/>
                <w:sz w:val="24"/>
                <w:szCs w:val="24"/>
                <w:highlight w:val="none"/>
                <w:lang w:val="en-US" w:eastAsia="zh-CN"/>
              </w:rPr>
              <w:t>颗粒物执行《</w:t>
            </w:r>
            <w:r>
              <w:rPr>
                <w:rFonts w:hint="eastAsia" w:cs="Times New Roman"/>
                <w:color w:val="auto"/>
                <w:kern w:val="0"/>
                <w:sz w:val="24"/>
                <w:szCs w:val="24"/>
                <w:highlight w:val="none"/>
                <w:lang w:val="en-US" w:eastAsia="zh-CN"/>
              </w:rPr>
              <w:t>表面涂装（汽车零部件）大气污染物排放标准</w:t>
            </w:r>
            <w:r>
              <w:rPr>
                <w:rFonts w:hint="default" w:ascii="Times New Roman" w:hAnsi="Times New Roman" w:eastAsia="宋体" w:cs="Times New Roman"/>
                <w:color w:val="auto"/>
                <w:kern w:val="0"/>
                <w:sz w:val="24"/>
                <w:szCs w:val="24"/>
                <w:highlight w:val="none"/>
                <w:lang w:val="en-US" w:eastAsia="zh-CN"/>
              </w:rPr>
              <w:t>》（DB</w:t>
            </w:r>
            <w:r>
              <w:rPr>
                <w:rFonts w:hint="eastAsia"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32/</w:t>
            </w:r>
            <w:r>
              <w:rPr>
                <w:rFonts w:hint="eastAsia" w:cs="Times New Roman"/>
                <w:color w:val="auto"/>
                <w:kern w:val="0"/>
                <w:sz w:val="24"/>
                <w:szCs w:val="24"/>
                <w:highlight w:val="none"/>
                <w:lang w:val="en-US" w:eastAsia="zh-CN"/>
              </w:rPr>
              <w:t>3966</w:t>
            </w:r>
            <w:r>
              <w:rPr>
                <w:rFonts w:hint="default" w:ascii="Times New Roman" w:hAnsi="Times New Roman" w:eastAsia="宋体" w:cs="Times New Roman"/>
                <w:color w:val="auto"/>
                <w:kern w:val="0"/>
                <w:sz w:val="24"/>
                <w:szCs w:val="24"/>
                <w:highlight w:val="none"/>
                <w:lang w:val="en-US" w:eastAsia="zh-CN"/>
              </w:rPr>
              <w:t>-2021）表1限值</w:t>
            </w:r>
            <w:r>
              <w:rPr>
                <w:rFonts w:hint="eastAsia" w:cs="Times New Roman"/>
                <w:color w:val="auto"/>
                <w:kern w:val="0"/>
                <w:sz w:val="24"/>
                <w:szCs w:val="24"/>
                <w:highlight w:val="none"/>
                <w:lang w:val="en-US" w:eastAsia="zh-CN"/>
              </w:rPr>
              <w:t>，硫酸雾、氯化氢执行《大气污染物综合排放标准》（DB 32/4041-2021）表1限值，二氧化硫、氮氧化物、烟气黑度执行《工业炉窑大气污染物排放标准》（DB 32/3728-2020）表1限值。</w:t>
            </w:r>
          </w:p>
          <w:p w14:paraId="498F9C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无组织</w:t>
            </w:r>
            <w:r>
              <w:rPr>
                <w:rFonts w:hint="eastAsia" w:cs="Times New Roman"/>
                <w:b/>
                <w:bCs/>
                <w:color w:val="auto"/>
                <w:kern w:val="0"/>
                <w:sz w:val="24"/>
                <w:szCs w:val="24"/>
                <w:highlight w:val="none"/>
                <w:lang w:val="en-US" w:eastAsia="zh-CN"/>
              </w:rPr>
              <w:t>废气：</w:t>
            </w:r>
          </w:p>
          <w:p w14:paraId="482530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rPr>
            </w:pPr>
            <w:r>
              <w:rPr>
                <w:rFonts w:hint="eastAsia" w:cs="Times New Roman"/>
                <w:color w:val="auto"/>
                <w:kern w:val="0"/>
                <w:sz w:val="24"/>
                <w:szCs w:val="24"/>
                <w:highlight w:val="none"/>
                <w:lang w:val="en-US" w:eastAsia="zh-CN"/>
              </w:rPr>
              <w:t>厂界</w:t>
            </w:r>
            <w:r>
              <w:rPr>
                <w:rFonts w:hint="default" w:ascii="Times New Roman" w:hAnsi="Times New Roman" w:eastAsia="宋体" w:cs="Times New Roman"/>
                <w:color w:val="auto"/>
                <w:kern w:val="0"/>
                <w:sz w:val="24"/>
                <w:szCs w:val="24"/>
                <w:highlight w:val="none"/>
                <w:lang w:val="en-US" w:eastAsia="zh-CN"/>
              </w:rPr>
              <w:t>颗粒物</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非甲烷总烃、SO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lang w:val="en-US" w:eastAsia="zh-CN"/>
              </w:rPr>
              <w:t>、NO</w:t>
            </w:r>
            <w:r>
              <w:rPr>
                <w:rFonts w:hint="default" w:ascii="Times New Roman" w:hAnsi="Times New Roman" w:eastAsia="宋体" w:cs="Times New Roman"/>
                <w:color w:val="auto"/>
                <w:kern w:val="0"/>
                <w:sz w:val="24"/>
                <w:szCs w:val="24"/>
                <w:highlight w:val="none"/>
                <w:vertAlign w:val="subscript"/>
                <w:lang w:val="en-US" w:eastAsia="zh-CN"/>
              </w:rPr>
              <w:t>X</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氯化氢</w:t>
            </w:r>
            <w:r>
              <w:rPr>
                <w:rFonts w:hint="default" w:ascii="Times New Roman" w:hAnsi="Times New Roman" w:eastAsia="宋体" w:cs="Times New Roman"/>
                <w:color w:val="auto"/>
                <w:kern w:val="0"/>
                <w:sz w:val="24"/>
                <w:szCs w:val="24"/>
                <w:highlight w:val="none"/>
                <w:lang w:val="en-US" w:eastAsia="zh-CN"/>
              </w:rPr>
              <w:t>、硫酸雾执行《大气污染物综合排放标准》（DB</w:t>
            </w:r>
            <w:r>
              <w:rPr>
                <w:rFonts w:hint="eastAsia"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32/4041-2021）表3无组织监控浓度限值</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厂界氨、硫化氢、臭气浓度执行《恶臭污染物排放标准》（GB</w:t>
            </w:r>
            <w:r>
              <w:rPr>
                <w:rFonts w:hint="eastAsia"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14554-93）表1二级标准；厂区内非甲烷总烃执行《表面涂装（汽车零部件）大气污染物排放标准》（DB</w:t>
            </w:r>
            <w:r>
              <w:rPr>
                <w:rFonts w:hint="eastAsia"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lang w:val="en-US" w:eastAsia="zh-CN"/>
              </w:rPr>
              <w:t>32/3966-2021）表2厂区内VOCs无组织排放限值；具体见下表</w:t>
            </w:r>
            <w:r>
              <w:rPr>
                <w:rFonts w:hint="default" w:ascii="Times New Roman" w:hAnsi="Times New Roman" w:eastAsia="宋体" w:cs="Times New Roman"/>
                <w:color w:val="auto"/>
                <w:kern w:val="0"/>
                <w:sz w:val="24"/>
                <w:szCs w:val="24"/>
                <w:highlight w:val="none"/>
              </w:rPr>
              <w:t>。</w:t>
            </w:r>
          </w:p>
          <w:p w14:paraId="72725F91">
            <w:pPr>
              <w:numPr>
                <w:ilvl w:val="0"/>
                <w:numId w:val="4"/>
              </w:numPr>
              <w:adjustRightInd w:val="0"/>
              <w:snapToGrid w:val="0"/>
              <w:jc w:val="center"/>
              <w:rPr>
                <w:rFonts w:hint="default"/>
                <w:b/>
                <w:color w:val="auto"/>
                <w:sz w:val="24"/>
                <w:szCs w:val="24"/>
                <w:highlight w:val="none"/>
                <w:lang w:val="en-US" w:eastAsia="zh-CN"/>
              </w:rPr>
            </w:pPr>
            <w:r>
              <w:rPr>
                <w:rFonts w:hint="eastAsia"/>
                <w:b/>
                <w:color w:val="auto"/>
                <w:sz w:val="24"/>
                <w:szCs w:val="24"/>
                <w:highlight w:val="none"/>
                <w:lang w:val="en-US" w:eastAsia="zh-CN"/>
              </w:rPr>
              <w:t>有组织废气污染物</w:t>
            </w:r>
            <w:r>
              <w:rPr>
                <w:rFonts w:hint="default"/>
                <w:b/>
                <w:color w:val="auto"/>
                <w:sz w:val="24"/>
                <w:szCs w:val="24"/>
                <w:highlight w:val="none"/>
              </w:rPr>
              <w:t>排放标准</w:t>
            </w:r>
            <w:r>
              <w:rPr>
                <w:rFonts w:hint="eastAsia"/>
                <w:b/>
                <w:color w:val="auto"/>
                <w:sz w:val="24"/>
                <w:szCs w:val="24"/>
                <w:highlight w:val="none"/>
                <w:lang w:val="en-US" w:eastAsia="zh-CN"/>
              </w:rPr>
              <w:t>一览表</w:t>
            </w:r>
          </w:p>
          <w:bookmarkEnd w:id="16"/>
          <w:tbl>
            <w:tblPr>
              <w:tblStyle w:val="20"/>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410"/>
              <w:gridCol w:w="1969"/>
              <w:gridCol w:w="1919"/>
              <w:gridCol w:w="2950"/>
            </w:tblGrid>
            <w:tr w14:paraId="7AED5EC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restart"/>
                  <w:tcBorders>
                    <w:tl2br w:val="nil"/>
                    <w:tr2bl w:val="nil"/>
                  </w:tcBorders>
                  <w:shd w:val="clear" w:color="auto" w:fill="auto"/>
                  <w:vAlign w:val="center"/>
                </w:tcPr>
                <w:p w14:paraId="79D788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color w:val="auto"/>
                      <w:kern w:val="2"/>
                      <w:sz w:val="21"/>
                      <w:szCs w:val="21"/>
                      <w:highlight w:val="none"/>
                      <w:lang w:val="en-US" w:eastAsia="zh-CN" w:bidi="ar-SA"/>
                    </w:rPr>
                  </w:pPr>
                  <w:r>
                    <w:rPr>
                      <w:rFonts w:hint="default" w:ascii="Times New Roman" w:hAnsi="Times New Roman" w:eastAsia="仿宋" w:cs="Times New Roman"/>
                      <w:b/>
                      <w:color w:val="auto"/>
                      <w:sz w:val="21"/>
                      <w:szCs w:val="21"/>
                      <w:highlight w:val="none"/>
                      <w:lang w:val="en-US" w:eastAsia="zh-CN"/>
                    </w:rPr>
                    <w:t>污染源</w:t>
                  </w:r>
                </w:p>
              </w:tc>
              <w:tc>
                <w:tcPr>
                  <w:tcW w:w="767" w:type="pct"/>
                  <w:vMerge w:val="restart"/>
                  <w:tcBorders>
                    <w:tl2br w:val="nil"/>
                    <w:tr2bl w:val="nil"/>
                  </w:tcBorders>
                  <w:vAlign w:val="center"/>
                </w:tcPr>
                <w:p w14:paraId="76F342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污染物</w:t>
                  </w:r>
                </w:p>
              </w:tc>
              <w:tc>
                <w:tcPr>
                  <w:tcW w:w="2117" w:type="pct"/>
                  <w:gridSpan w:val="2"/>
                  <w:tcBorders>
                    <w:tl2br w:val="nil"/>
                    <w:tr2bl w:val="nil"/>
                  </w:tcBorders>
                  <w:vAlign w:val="center"/>
                </w:tcPr>
                <w:p w14:paraId="500DDCC9">
                  <w:pPr>
                    <w:adjustRightInd w:val="0"/>
                    <w:snapToGrid w:val="0"/>
                    <w:jc w:val="center"/>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有组织排放</w:t>
                  </w:r>
                </w:p>
              </w:tc>
              <w:tc>
                <w:tcPr>
                  <w:tcW w:w="1606" w:type="pct"/>
                  <w:vMerge w:val="restart"/>
                  <w:tcBorders>
                    <w:tl2br w:val="nil"/>
                    <w:tr2bl w:val="nil"/>
                  </w:tcBorders>
                  <w:vAlign w:val="center"/>
                </w:tcPr>
                <w:p w14:paraId="7160C2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标准来源</w:t>
                  </w:r>
                </w:p>
              </w:tc>
            </w:tr>
            <w:tr w14:paraId="79F37B3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280DE4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color w:val="auto"/>
                      <w:kern w:val="2"/>
                      <w:sz w:val="21"/>
                      <w:szCs w:val="21"/>
                      <w:highlight w:val="none"/>
                      <w:lang w:val="en-US" w:eastAsia="zh-CN" w:bidi="ar-SA"/>
                    </w:rPr>
                  </w:pPr>
                </w:p>
              </w:tc>
              <w:tc>
                <w:tcPr>
                  <w:tcW w:w="767" w:type="pct"/>
                  <w:vMerge w:val="continue"/>
                  <w:tcBorders>
                    <w:tl2br w:val="nil"/>
                    <w:tr2bl w:val="nil"/>
                  </w:tcBorders>
                  <w:vAlign w:val="center"/>
                </w:tcPr>
                <w:p w14:paraId="7C264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p>
              </w:tc>
              <w:tc>
                <w:tcPr>
                  <w:tcW w:w="1072" w:type="pct"/>
                  <w:tcBorders>
                    <w:tl2br w:val="nil"/>
                    <w:tr2bl w:val="nil"/>
                  </w:tcBorders>
                  <w:vAlign w:val="center"/>
                </w:tcPr>
                <w:p w14:paraId="5E7DBD32">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rPr>
                    <w:t>最高允许排放浓度mg/m</w:t>
                  </w:r>
                  <w:r>
                    <w:rPr>
                      <w:rFonts w:hint="default" w:ascii="Times New Roman" w:hAnsi="Times New Roman" w:eastAsia="仿宋" w:cs="Times New Roman"/>
                      <w:b/>
                      <w:color w:val="auto"/>
                      <w:sz w:val="21"/>
                      <w:szCs w:val="21"/>
                      <w:vertAlign w:val="superscript"/>
                    </w:rPr>
                    <w:t>3</w:t>
                  </w:r>
                </w:p>
              </w:tc>
              <w:tc>
                <w:tcPr>
                  <w:tcW w:w="1045" w:type="pct"/>
                  <w:tcBorders>
                    <w:tl2br w:val="nil"/>
                    <w:tr2bl w:val="nil"/>
                  </w:tcBorders>
                  <w:vAlign w:val="center"/>
                </w:tcPr>
                <w:p w14:paraId="257A3B11">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rPr>
                    <w:t>最高允许排放速率kg/h</w:t>
                  </w:r>
                </w:p>
              </w:tc>
              <w:tc>
                <w:tcPr>
                  <w:tcW w:w="1606" w:type="pct"/>
                  <w:vMerge w:val="continue"/>
                  <w:tcBorders>
                    <w:tl2br w:val="nil"/>
                    <w:tr2bl w:val="nil"/>
                  </w:tcBorders>
                  <w:vAlign w:val="center"/>
                </w:tcPr>
                <w:p w14:paraId="77DBDF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p>
              </w:tc>
            </w:tr>
            <w:tr w14:paraId="1C55BA1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restart"/>
                  <w:tcBorders>
                    <w:tl2br w:val="nil"/>
                    <w:tr2bl w:val="nil"/>
                  </w:tcBorders>
                  <w:shd w:val="clear" w:color="auto" w:fill="auto"/>
                  <w:vAlign w:val="center"/>
                </w:tcPr>
                <w:p w14:paraId="3A774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kern w:val="2"/>
                      <w:sz w:val="21"/>
                      <w:szCs w:val="21"/>
                      <w:highlight w:val="none"/>
                      <w:lang w:val="en-US" w:eastAsia="zh-CN" w:bidi="ar-SA"/>
                    </w:rPr>
                  </w:pPr>
                  <w:r>
                    <w:rPr>
                      <w:rFonts w:hint="default" w:ascii="Times New Roman" w:hAnsi="Times New Roman" w:eastAsia="仿宋" w:cs="Times New Roman"/>
                      <w:b w:val="0"/>
                      <w:bCs/>
                      <w:color w:val="auto"/>
                      <w:sz w:val="21"/>
                      <w:szCs w:val="21"/>
                      <w:highlight w:val="none"/>
                      <w:lang w:val="en-US" w:eastAsia="zh-CN"/>
                    </w:rPr>
                    <w:t>DA001</w:t>
                  </w:r>
                </w:p>
              </w:tc>
              <w:tc>
                <w:tcPr>
                  <w:tcW w:w="767" w:type="pct"/>
                  <w:tcBorders>
                    <w:tl2br w:val="nil"/>
                    <w:tr2bl w:val="nil"/>
                  </w:tcBorders>
                  <w:vAlign w:val="center"/>
                </w:tcPr>
                <w:p w14:paraId="63E078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非甲烷总烃</w:t>
                  </w:r>
                </w:p>
              </w:tc>
              <w:tc>
                <w:tcPr>
                  <w:tcW w:w="1072" w:type="pct"/>
                  <w:tcBorders>
                    <w:tl2br w:val="nil"/>
                    <w:tr2bl w:val="nil"/>
                  </w:tcBorders>
                  <w:vAlign w:val="center"/>
                </w:tcPr>
                <w:p w14:paraId="4CD273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40</w:t>
                  </w:r>
                </w:p>
              </w:tc>
              <w:tc>
                <w:tcPr>
                  <w:tcW w:w="1045" w:type="pct"/>
                  <w:tcBorders>
                    <w:tl2br w:val="nil"/>
                    <w:tr2bl w:val="nil"/>
                  </w:tcBorders>
                  <w:vAlign w:val="center"/>
                </w:tcPr>
                <w:p w14:paraId="51F64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1.8</w:t>
                  </w:r>
                </w:p>
              </w:tc>
              <w:tc>
                <w:tcPr>
                  <w:tcW w:w="1606" w:type="pct"/>
                  <w:vMerge w:val="restart"/>
                  <w:tcBorders>
                    <w:tl2br w:val="nil"/>
                    <w:tr2bl w:val="nil"/>
                  </w:tcBorders>
                  <w:vAlign w:val="center"/>
                </w:tcPr>
                <w:p w14:paraId="5CA783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《表面涂装（汽车零部件）大气污染物排放标准》（DB</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32/3966-2021）</w:t>
                  </w:r>
                </w:p>
              </w:tc>
            </w:tr>
            <w:tr w14:paraId="2839B6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50F58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5C4947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TVOC</w:t>
                  </w:r>
                </w:p>
              </w:tc>
              <w:tc>
                <w:tcPr>
                  <w:tcW w:w="1072" w:type="pct"/>
                  <w:tcBorders>
                    <w:tl2br w:val="nil"/>
                    <w:tr2bl w:val="nil"/>
                  </w:tcBorders>
                  <w:vAlign w:val="center"/>
                </w:tcPr>
                <w:p w14:paraId="79E10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60</w:t>
                  </w:r>
                </w:p>
              </w:tc>
              <w:tc>
                <w:tcPr>
                  <w:tcW w:w="1045" w:type="pct"/>
                  <w:tcBorders>
                    <w:tl2br w:val="nil"/>
                    <w:tr2bl w:val="nil"/>
                  </w:tcBorders>
                  <w:vAlign w:val="center"/>
                </w:tcPr>
                <w:p w14:paraId="7F1D64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2</w:t>
                  </w:r>
                </w:p>
              </w:tc>
              <w:tc>
                <w:tcPr>
                  <w:tcW w:w="1606" w:type="pct"/>
                  <w:vMerge w:val="continue"/>
                  <w:tcBorders>
                    <w:tl2br w:val="nil"/>
                    <w:tr2bl w:val="nil"/>
                  </w:tcBorders>
                  <w:vAlign w:val="center"/>
                </w:tcPr>
                <w:p w14:paraId="3A8C3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7D477BE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6E189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49B5B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default" w:ascii="Times New Roman" w:hAnsi="Times New Roman" w:eastAsia="仿宋" w:cs="Times New Roman"/>
                      <w:b w:val="0"/>
                      <w:bCs/>
                      <w:color w:val="auto"/>
                      <w:sz w:val="21"/>
                      <w:szCs w:val="21"/>
                      <w:highlight w:val="none"/>
                      <w:lang w:val="en-US" w:eastAsia="zh-CN"/>
                    </w:rPr>
                    <w:t>颗粒物</w:t>
                  </w:r>
                </w:p>
              </w:tc>
              <w:tc>
                <w:tcPr>
                  <w:tcW w:w="1072" w:type="pct"/>
                  <w:tcBorders>
                    <w:tl2br w:val="nil"/>
                    <w:tr2bl w:val="nil"/>
                  </w:tcBorders>
                  <w:vAlign w:val="center"/>
                </w:tcPr>
                <w:p w14:paraId="3DB251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10</w:t>
                  </w:r>
                </w:p>
              </w:tc>
              <w:tc>
                <w:tcPr>
                  <w:tcW w:w="1045" w:type="pct"/>
                  <w:tcBorders>
                    <w:tl2br w:val="nil"/>
                    <w:tr2bl w:val="nil"/>
                  </w:tcBorders>
                  <w:vAlign w:val="center"/>
                </w:tcPr>
                <w:p w14:paraId="35A26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0.6</w:t>
                  </w:r>
                </w:p>
              </w:tc>
              <w:tc>
                <w:tcPr>
                  <w:tcW w:w="1606" w:type="pct"/>
                  <w:vMerge w:val="continue"/>
                  <w:tcBorders>
                    <w:tl2br w:val="nil"/>
                    <w:tr2bl w:val="nil"/>
                  </w:tcBorders>
                  <w:vAlign w:val="center"/>
                </w:tcPr>
                <w:p w14:paraId="45E27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1237866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1A60DB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69053A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二氧化硫</w:t>
                  </w:r>
                </w:p>
              </w:tc>
              <w:tc>
                <w:tcPr>
                  <w:tcW w:w="1072" w:type="pct"/>
                  <w:tcBorders>
                    <w:tl2br w:val="nil"/>
                    <w:tr2bl w:val="nil"/>
                  </w:tcBorders>
                  <w:vAlign w:val="center"/>
                </w:tcPr>
                <w:p w14:paraId="65267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80</w:t>
                  </w:r>
                </w:p>
              </w:tc>
              <w:tc>
                <w:tcPr>
                  <w:tcW w:w="1045" w:type="pct"/>
                  <w:tcBorders>
                    <w:tl2br w:val="nil"/>
                    <w:tr2bl w:val="nil"/>
                  </w:tcBorders>
                  <w:vAlign w:val="center"/>
                </w:tcPr>
                <w:p w14:paraId="39E40F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w:t>
                  </w:r>
                </w:p>
              </w:tc>
              <w:tc>
                <w:tcPr>
                  <w:tcW w:w="1606" w:type="pct"/>
                  <w:vMerge w:val="restart"/>
                  <w:tcBorders>
                    <w:tl2br w:val="nil"/>
                    <w:tr2bl w:val="nil"/>
                  </w:tcBorders>
                  <w:vAlign w:val="center"/>
                </w:tcPr>
                <w:p w14:paraId="477BB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《工业炉窑大气污染物排放标准》（DB 32/3728-2020</w:t>
                  </w:r>
                  <w:r>
                    <w:rPr>
                      <w:rFonts w:hint="eastAsia" w:eastAsia="仿宋" w:cs="Times New Roman"/>
                      <w:color w:val="auto"/>
                      <w:sz w:val="21"/>
                      <w:szCs w:val="21"/>
                      <w:highlight w:val="none"/>
                      <w:lang w:val="en-US" w:eastAsia="zh-CN"/>
                    </w:rPr>
                    <w:t>）</w:t>
                  </w:r>
                </w:p>
              </w:tc>
            </w:tr>
            <w:tr w14:paraId="271C3E9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69A188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shd w:val="clear" w:color="auto" w:fill="auto"/>
                  <w:vAlign w:val="center"/>
                </w:tcPr>
                <w:p w14:paraId="24296E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color w:val="auto"/>
                      <w:kern w:val="2"/>
                      <w:sz w:val="21"/>
                      <w:szCs w:val="21"/>
                      <w:highlight w:val="none"/>
                      <w:lang w:val="en-US" w:eastAsia="zh-CN" w:bidi="ar-SA"/>
                    </w:rPr>
                  </w:pPr>
                  <w:r>
                    <w:rPr>
                      <w:rFonts w:hint="eastAsia" w:eastAsia="仿宋" w:cs="Times New Roman"/>
                      <w:b w:val="0"/>
                      <w:bCs/>
                      <w:color w:val="auto"/>
                      <w:sz w:val="21"/>
                      <w:szCs w:val="21"/>
                      <w:highlight w:val="none"/>
                      <w:lang w:val="en-US" w:eastAsia="zh-CN"/>
                    </w:rPr>
                    <w:t>氮氧化物</w:t>
                  </w:r>
                </w:p>
              </w:tc>
              <w:tc>
                <w:tcPr>
                  <w:tcW w:w="1072" w:type="pct"/>
                  <w:tcBorders>
                    <w:tl2br w:val="nil"/>
                    <w:tr2bl w:val="nil"/>
                  </w:tcBorders>
                  <w:shd w:val="clear" w:color="auto" w:fill="auto"/>
                  <w:vAlign w:val="center"/>
                </w:tcPr>
                <w:p w14:paraId="35A8C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color w:val="auto"/>
                      <w:kern w:val="2"/>
                      <w:sz w:val="21"/>
                      <w:szCs w:val="21"/>
                      <w:highlight w:val="none"/>
                      <w:lang w:val="en-US" w:eastAsia="zh-CN" w:bidi="ar-SA"/>
                    </w:rPr>
                  </w:pPr>
                  <w:r>
                    <w:rPr>
                      <w:rFonts w:hint="eastAsia" w:eastAsia="仿宋" w:cs="Times New Roman"/>
                      <w:b w:val="0"/>
                      <w:bCs/>
                      <w:color w:val="auto"/>
                      <w:sz w:val="21"/>
                      <w:szCs w:val="21"/>
                      <w:highlight w:val="none"/>
                      <w:lang w:val="en-US" w:eastAsia="zh-CN"/>
                    </w:rPr>
                    <w:t>180</w:t>
                  </w:r>
                </w:p>
              </w:tc>
              <w:tc>
                <w:tcPr>
                  <w:tcW w:w="1045" w:type="pct"/>
                  <w:tcBorders>
                    <w:tl2br w:val="nil"/>
                    <w:tr2bl w:val="nil"/>
                  </w:tcBorders>
                  <w:shd w:val="clear" w:color="auto" w:fill="auto"/>
                  <w:vAlign w:val="center"/>
                </w:tcPr>
                <w:p w14:paraId="779FB9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color w:val="auto"/>
                      <w:kern w:val="2"/>
                      <w:sz w:val="21"/>
                      <w:szCs w:val="21"/>
                      <w:highlight w:val="none"/>
                      <w:lang w:val="en-US" w:eastAsia="zh-CN" w:bidi="ar-SA"/>
                    </w:rPr>
                  </w:pPr>
                  <w:r>
                    <w:rPr>
                      <w:rFonts w:hint="eastAsia" w:eastAsia="仿宋" w:cs="Times New Roman"/>
                      <w:b w:val="0"/>
                      <w:bCs/>
                      <w:color w:val="auto"/>
                      <w:sz w:val="21"/>
                      <w:szCs w:val="21"/>
                      <w:highlight w:val="none"/>
                      <w:lang w:val="en-US" w:eastAsia="zh-CN"/>
                    </w:rPr>
                    <w:t>/</w:t>
                  </w:r>
                </w:p>
              </w:tc>
              <w:tc>
                <w:tcPr>
                  <w:tcW w:w="1606" w:type="pct"/>
                  <w:vMerge w:val="continue"/>
                  <w:tcBorders>
                    <w:tl2br w:val="nil"/>
                    <w:tr2bl w:val="nil"/>
                  </w:tcBorders>
                  <w:vAlign w:val="center"/>
                </w:tcPr>
                <w:p w14:paraId="3D9226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27A27ED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20B89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5EB75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烟气黑度</w:t>
                  </w:r>
                </w:p>
              </w:tc>
              <w:tc>
                <w:tcPr>
                  <w:tcW w:w="2117" w:type="pct"/>
                  <w:gridSpan w:val="2"/>
                  <w:tcBorders>
                    <w:tl2br w:val="nil"/>
                    <w:tr2bl w:val="nil"/>
                  </w:tcBorders>
                  <w:vAlign w:val="center"/>
                </w:tcPr>
                <w:p w14:paraId="2B9D1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林格曼黑度1级</w:t>
                  </w:r>
                </w:p>
              </w:tc>
              <w:tc>
                <w:tcPr>
                  <w:tcW w:w="1606" w:type="pct"/>
                  <w:vMerge w:val="continue"/>
                  <w:tcBorders>
                    <w:tl2br w:val="nil"/>
                    <w:tr2bl w:val="nil"/>
                  </w:tcBorders>
                  <w:vAlign w:val="center"/>
                </w:tcPr>
                <w:p w14:paraId="5168BE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2A5FBB2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3FC0C7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20D8A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硫酸雾</w:t>
                  </w:r>
                </w:p>
              </w:tc>
              <w:tc>
                <w:tcPr>
                  <w:tcW w:w="1072" w:type="pct"/>
                  <w:tcBorders>
                    <w:tl2br w:val="nil"/>
                    <w:tr2bl w:val="nil"/>
                  </w:tcBorders>
                  <w:vAlign w:val="center"/>
                </w:tcPr>
                <w:p w14:paraId="454CB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5</w:t>
                  </w:r>
                </w:p>
              </w:tc>
              <w:tc>
                <w:tcPr>
                  <w:tcW w:w="1045" w:type="pct"/>
                  <w:tcBorders>
                    <w:tl2br w:val="nil"/>
                    <w:tr2bl w:val="nil"/>
                  </w:tcBorders>
                  <w:vAlign w:val="center"/>
                </w:tcPr>
                <w:p w14:paraId="3B897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1.1</w:t>
                  </w:r>
                </w:p>
              </w:tc>
              <w:tc>
                <w:tcPr>
                  <w:tcW w:w="1606" w:type="pct"/>
                  <w:vMerge w:val="restart"/>
                  <w:tcBorders>
                    <w:tl2br w:val="nil"/>
                    <w:tr2bl w:val="nil"/>
                  </w:tcBorders>
                  <w:vAlign w:val="center"/>
                </w:tcPr>
                <w:p w14:paraId="16DA8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《大气污染物综合排放标准》（DB 32/4041-2021）表1</w:t>
                  </w:r>
                </w:p>
              </w:tc>
            </w:tr>
            <w:tr w14:paraId="3EDD4D7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8" w:type="pct"/>
                  <w:vMerge w:val="continue"/>
                  <w:tcBorders>
                    <w:tl2br w:val="nil"/>
                    <w:tr2bl w:val="nil"/>
                  </w:tcBorders>
                  <w:shd w:val="clear" w:color="auto" w:fill="auto"/>
                  <w:vAlign w:val="center"/>
                </w:tcPr>
                <w:p w14:paraId="624AC2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767" w:type="pct"/>
                  <w:tcBorders>
                    <w:tl2br w:val="nil"/>
                    <w:tr2bl w:val="nil"/>
                  </w:tcBorders>
                  <w:vAlign w:val="center"/>
                </w:tcPr>
                <w:p w14:paraId="75FE16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氯化氢</w:t>
                  </w:r>
                </w:p>
              </w:tc>
              <w:tc>
                <w:tcPr>
                  <w:tcW w:w="1072" w:type="pct"/>
                  <w:tcBorders>
                    <w:tl2br w:val="nil"/>
                    <w:tr2bl w:val="nil"/>
                  </w:tcBorders>
                  <w:vAlign w:val="center"/>
                </w:tcPr>
                <w:p w14:paraId="6E0EC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10</w:t>
                  </w:r>
                </w:p>
              </w:tc>
              <w:tc>
                <w:tcPr>
                  <w:tcW w:w="1045" w:type="pct"/>
                  <w:tcBorders>
                    <w:tl2br w:val="nil"/>
                    <w:tr2bl w:val="nil"/>
                  </w:tcBorders>
                  <w:vAlign w:val="center"/>
                </w:tcPr>
                <w:p w14:paraId="01CE7B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0.18</w:t>
                  </w:r>
                </w:p>
              </w:tc>
              <w:tc>
                <w:tcPr>
                  <w:tcW w:w="1606" w:type="pct"/>
                  <w:vMerge w:val="continue"/>
                  <w:tcBorders>
                    <w:tl2br w:val="nil"/>
                    <w:tr2bl w:val="nil"/>
                  </w:tcBorders>
                  <w:vAlign w:val="center"/>
                </w:tcPr>
                <w:p w14:paraId="4E754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bl>
          <w:p w14:paraId="5288E7C0">
            <w:pPr>
              <w:numPr>
                <w:ilvl w:val="0"/>
                <w:numId w:val="4"/>
              </w:numPr>
              <w:adjustRightInd w:val="0"/>
              <w:snapToGrid w:val="0"/>
              <w:jc w:val="center"/>
              <w:rPr>
                <w:rFonts w:hint="default"/>
                <w:b/>
                <w:color w:val="auto"/>
                <w:sz w:val="24"/>
                <w:szCs w:val="24"/>
                <w:highlight w:val="none"/>
                <w:lang w:val="en-US" w:eastAsia="zh-CN"/>
              </w:rPr>
            </w:pPr>
            <w:r>
              <w:rPr>
                <w:rFonts w:hint="eastAsia"/>
                <w:b/>
                <w:color w:val="auto"/>
                <w:sz w:val="24"/>
                <w:szCs w:val="24"/>
                <w:highlight w:val="none"/>
                <w:lang w:val="en-US" w:eastAsia="zh-CN"/>
              </w:rPr>
              <w:t>无组织废气污染物</w:t>
            </w:r>
            <w:r>
              <w:rPr>
                <w:rFonts w:hint="default"/>
                <w:b/>
                <w:color w:val="auto"/>
                <w:sz w:val="24"/>
                <w:szCs w:val="24"/>
                <w:highlight w:val="none"/>
                <w:lang w:val="en-US" w:eastAsia="zh-CN"/>
              </w:rPr>
              <w:t>排放标准</w:t>
            </w:r>
            <w:r>
              <w:rPr>
                <w:rFonts w:hint="eastAsia"/>
                <w:b/>
                <w:color w:val="auto"/>
                <w:sz w:val="24"/>
                <w:szCs w:val="24"/>
                <w:highlight w:val="none"/>
                <w:lang w:val="en-US" w:eastAsia="zh-CN"/>
              </w:rPr>
              <w:t>一览</w:t>
            </w:r>
            <w:r>
              <w:rPr>
                <w:rFonts w:hint="default"/>
                <w:b/>
                <w:color w:val="auto"/>
                <w:sz w:val="24"/>
                <w:szCs w:val="24"/>
                <w:highlight w:val="none"/>
                <w:lang w:val="en-US" w:eastAsia="zh-CN"/>
              </w:rPr>
              <w:t>表</w:t>
            </w:r>
          </w:p>
          <w:tbl>
            <w:tblPr>
              <w:tblStyle w:val="20"/>
              <w:tblW w:w="4996"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61"/>
              <w:gridCol w:w="2100"/>
              <w:gridCol w:w="1560"/>
              <w:gridCol w:w="3103"/>
            </w:tblGrid>
            <w:tr w14:paraId="486F71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restart"/>
                  <w:tcBorders>
                    <w:tl2br w:val="nil"/>
                    <w:tr2bl w:val="nil"/>
                  </w:tcBorders>
                  <w:vAlign w:val="center"/>
                </w:tcPr>
                <w:p w14:paraId="70045A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w:t>
                  </w:r>
                </w:p>
              </w:tc>
              <w:tc>
                <w:tcPr>
                  <w:tcW w:w="795" w:type="pct"/>
                  <w:vMerge w:val="restart"/>
                  <w:tcBorders>
                    <w:tl2br w:val="nil"/>
                    <w:tr2bl w:val="nil"/>
                  </w:tcBorders>
                  <w:vAlign w:val="center"/>
                </w:tcPr>
                <w:p w14:paraId="58C61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污染物</w:t>
                  </w:r>
                </w:p>
              </w:tc>
              <w:tc>
                <w:tcPr>
                  <w:tcW w:w="1993" w:type="pct"/>
                  <w:gridSpan w:val="2"/>
                  <w:tcBorders>
                    <w:tl2br w:val="nil"/>
                    <w:tr2bl w:val="nil"/>
                  </w:tcBorders>
                  <w:vAlign w:val="center"/>
                </w:tcPr>
                <w:p w14:paraId="15D3CD1F">
                  <w:pPr>
                    <w:adjustRightInd w:val="0"/>
                    <w:snapToGrid w:val="0"/>
                    <w:jc w:val="center"/>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无组织排放</w:t>
                  </w:r>
                </w:p>
              </w:tc>
              <w:tc>
                <w:tcPr>
                  <w:tcW w:w="1689" w:type="pct"/>
                  <w:vMerge w:val="restart"/>
                  <w:tcBorders>
                    <w:tl2br w:val="nil"/>
                    <w:tr2bl w:val="nil"/>
                  </w:tcBorders>
                  <w:vAlign w:val="center"/>
                </w:tcPr>
                <w:p w14:paraId="7F87C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标准来源</w:t>
                  </w:r>
                </w:p>
              </w:tc>
            </w:tr>
            <w:tr w14:paraId="359DBF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7A69F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p>
              </w:tc>
              <w:tc>
                <w:tcPr>
                  <w:tcW w:w="795" w:type="pct"/>
                  <w:vMerge w:val="continue"/>
                  <w:tcBorders>
                    <w:tl2br w:val="nil"/>
                    <w:tr2bl w:val="nil"/>
                  </w:tcBorders>
                  <w:vAlign w:val="center"/>
                </w:tcPr>
                <w:p w14:paraId="222500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p>
              </w:tc>
              <w:tc>
                <w:tcPr>
                  <w:tcW w:w="1143" w:type="pct"/>
                  <w:tcBorders>
                    <w:tl2br w:val="nil"/>
                    <w:tr2bl w:val="nil"/>
                  </w:tcBorders>
                  <w:vAlign w:val="center"/>
                </w:tcPr>
                <w:p w14:paraId="50A81F9A">
                  <w:pPr>
                    <w:adjustRightInd w:val="0"/>
                    <w:snapToGrid w:val="0"/>
                    <w:jc w:val="center"/>
                    <w:rPr>
                      <w:rFonts w:hint="eastAsia" w:ascii="Times New Roman" w:hAnsi="Times New Roman" w:eastAsia="仿宋" w:cs="Times New Roman"/>
                      <w:b/>
                      <w:color w:val="auto"/>
                      <w:sz w:val="21"/>
                      <w:szCs w:val="21"/>
                      <w:highlight w:val="none"/>
                      <w:lang w:val="en-US" w:eastAsia="zh-CN"/>
                    </w:rPr>
                  </w:pPr>
                  <w:r>
                    <w:rPr>
                      <w:rFonts w:hint="eastAsia" w:ascii="Times New Roman" w:hAnsi="Times New Roman" w:eastAsia="仿宋" w:cs="Times New Roman"/>
                      <w:b/>
                      <w:color w:val="auto"/>
                      <w:sz w:val="21"/>
                      <w:szCs w:val="21"/>
                      <w:highlight w:val="none"/>
                      <w:lang w:val="en-US" w:eastAsia="zh-CN"/>
                    </w:rPr>
                    <w:t>监控点</w:t>
                  </w:r>
                </w:p>
              </w:tc>
              <w:tc>
                <w:tcPr>
                  <w:tcW w:w="849" w:type="pct"/>
                  <w:tcBorders>
                    <w:tl2br w:val="nil"/>
                    <w:tr2bl w:val="nil"/>
                  </w:tcBorders>
                  <w:vAlign w:val="center"/>
                </w:tcPr>
                <w:p w14:paraId="2F95150E">
                  <w:pPr>
                    <w:adjustRightInd w:val="0"/>
                    <w:snapToGrid w:val="0"/>
                    <w:jc w:val="center"/>
                    <w:rPr>
                      <w:rFonts w:hint="default" w:ascii="Times New Roman" w:hAnsi="Times New Roman" w:eastAsia="仿宋" w:cs="Times New Roman"/>
                      <w:b/>
                      <w:color w:val="auto"/>
                      <w:sz w:val="21"/>
                      <w:szCs w:val="21"/>
                      <w:highlight w:val="none"/>
                    </w:rPr>
                  </w:pPr>
                  <w:r>
                    <w:rPr>
                      <w:rFonts w:hint="eastAsia" w:ascii="Times New Roman" w:hAnsi="Times New Roman" w:eastAsia="仿宋" w:cs="Times New Roman"/>
                      <w:b/>
                      <w:color w:val="auto"/>
                      <w:sz w:val="21"/>
                      <w:szCs w:val="21"/>
                      <w:lang w:val="en-US" w:eastAsia="zh-CN"/>
                    </w:rPr>
                    <w:t>标准值</w:t>
                  </w:r>
                  <w:r>
                    <w:rPr>
                      <w:rFonts w:hint="default" w:ascii="Times New Roman" w:hAnsi="Times New Roman" w:eastAsia="仿宋" w:cs="Times New Roman"/>
                      <w:b/>
                      <w:color w:val="auto"/>
                      <w:sz w:val="21"/>
                      <w:szCs w:val="21"/>
                    </w:rPr>
                    <w:t>mg/m</w:t>
                  </w:r>
                  <w:r>
                    <w:rPr>
                      <w:rFonts w:hint="default" w:ascii="Times New Roman" w:hAnsi="Times New Roman" w:eastAsia="仿宋" w:cs="Times New Roman"/>
                      <w:b/>
                      <w:color w:val="auto"/>
                      <w:sz w:val="21"/>
                      <w:szCs w:val="21"/>
                      <w:vertAlign w:val="superscript"/>
                    </w:rPr>
                    <w:t>3</w:t>
                  </w:r>
                </w:p>
              </w:tc>
              <w:tc>
                <w:tcPr>
                  <w:tcW w:w="1689" w:type="pct"/>
                  <w:vMerge w:val="continue"/>
                  <w:tcBorders>
                    <w:tl2br w:val="nil"/>
                    <w:tr2bl w:val="nil"/>
                  </w:tcBorders>
                  <w:vAlign w:val="center"/>
                </w:tcPr>
                <w:p w14:paraId="3CBDA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p>
              </w:tc>
            </w:tr>
            <w:tr w14:paraId="7240BB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12" w:hRule="atLeast"/>
              </w:trPr>
              <w:tc>
                <w:tcPr>
                  <w:tcW w:w="521" w:type="pct"/>
                  <w:vMerge w:val="restart"/>
                  <w:tcBorders>
                    <w:tl2br w:val="nil"/>
                    <w:tr2bl w:val="nil"/>
                  </w:tcBorders>
                  <w:vAlign w:val="center"/>
                </w:tcPr>
                <w:p w14:paraId="1A6E9A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企业边界无组织</w:t>
                  </w:r>
                </w:p>
              </w:tc>
              <w:tc>
                <w:tcPr>
                  <w:tcW w:w="795" w:type="pct"/>
                  <w:tcBorders>
                    <w:tl2br w:val="nil"/>
                    <w:tr2bl w:val="nil"/>
                  </w:tcBorders>
                  <w:vAlign w:val="center"/>
                </w:tcPr>
                <w:p w14:paraId="52D5A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非甲烷总烃</w:t>
                  </w:r>
                </w:p>
              </w:tc>
              <w:tc>
                <w:tcPr>
                  <w:tcW w:w="1143" w:type="pct"/>
                  <w:vMerge w:val="restart"/>
                  <w:tcBorders>
                    <w:tl2br w:val="nil"/>
                    <w:tr2bl w:val="nil"/>
                  </w:tcBorders>
                  <w:vAlign w:val="center"/>
                </w:tcPr>
                <w:p w14:paraId="50ED2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ascii="Times New Roman" w:hAnsi="Times New Roman" w:eastAsia="仿宋" w:cs="Times New Roman"/>
                      <w:b w:val="0"/>
                      <w:bCs/>
                      <w:color w:val="auto"/>
                      <w:sz w:val="21"/>
                      <w:szCs w:val="21"/>
                      <w:highlight w:val="none"/>
                      <w:lang w:val="en-US" w:eastAsia="zh-CN"/>
                    </w:rPr>
                    <w:t>单位边界</w:t>
                  </w:r>
                </w:p>
              </w:tc>
              <w:tc>
                <w:tcPr>
                  <w:tcW w:w="849" w:type="pct"/>
                  <w:tcBorders>
                    <w:tl2br w:val="nil"/>
                    <w:tr2bl w:val="nil"/>
                  </w:tcBorders>
                  <w:vAlign w:val="center"/>
                </w:tcPr>
                <w:p w14:paraId="32491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4.0</w:t>
                  </w:r>
                </w:p>
              </w:tc>
              <w:tc>
                <w:tcPr>
                  <w:tcW w:w="1689" w:type="pct"/>
                  <w:vMerge w:val="restart"/>
                  <w:tcBorders>
                    <w:tl2br w:val="nil"/>
                    <w:tr2bl w:val="nil"/>
                  </w:tcBorders>
                  <w:vAlign w:val="center"/>
                </w:tcPr>
                <w:p w14:paraId="20253D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《大气污染物综合排放标准》（DB 32/4041-2021）表</w:t>
                  </w:r>
                  <w:r>
                    <w:rPr>
                      <w:rFonts w:hint="eastAsia" w:ascii="Times New Roman" w:hAnsi="Times New Roman" w:eastAsia="仿宋" w:cs="Times New Roman"/>
                      <w:color w:val="auto"/>
                      <w:sz w:val="21"/>
                      <w:szCs w:val="21"/>
                      <w:highlight w:val="none"/>
                      <w:lang w:val="en-US" w:eastAsia="zh-CN"/>
                    </w:rPr>
                    <w:t>3排放限值</w:t>
                  </w:r>
                </w:p>
              </w:tc>
            </w:tr>
            <w:tr w14:paraId="5E05E6A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797BF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312884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仿宋" w:cs="Times New Roman"/>
                      <w:b w:val="0"/>
                      <w:bCs/>
                      <w:color w:val="auto"/>
                      <w:sz w:val="21"/>
                      <w:szCs w:val="21"/>
                      <w:highlight w:val="none"/>
                      <w:lang w:val="en-US" w:eastAsia="zh-CN"/>
                    </w:rPr>
                  </w:pPr>
                  <w:r>
                    <w:rPr>
                      <w:rFonts w:hint="default" w:ascii="Times New Roman" w:hAnsi="Times New Roman" w:eastAsia="仿宋" w:cs="Times New Roman"/>
                      <w:b w:val="0"/>
                      <w:bCs/>
                      <w:color w:val="auto"/>
                      <w:sz w:val="21"/>
                      <w:szCs w:val="21"/>
                      <w:highlight w:val="none"/>
                      <w:lang w:val="en-US" w:eastAsia="zh-CN"/>
                    </w:rPr>
                    <w:t>颗粒物</w:t>
                  </w:r>
                </w:p>
              </w:tc>
              <w:tc>
                <w:tcPr>
                  <w:tcW w:w="1143" w:type="pct"/>
                  <w:vMerge w:val="continue"/>
                  <w:tcBorders>
                    <w:tl2br w:val="nil"/>
                    <w:tr2bl w:val="nil"/>
                  </w:tcBorders>
                  <w:vAlign w:val="center"/>
                </w:tcPr>
                <w:p w14:paraId="4F8D0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093AAB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0.5</w:t>
                  </w:r>
                </w:p>
              </w:tc>
              <w:tc>
                <w:tcPr>
                  <w:tcW w:w="1689" w:type="pct"/>
                  <w:vMerge w:val="continue"/>
                  <w:tcBorders>
                    <w:tl2br w:val="nil"/>
                    <w:tr2bl w:val="nil"/>
                  </w:tcBorders>
                  <w:vAlign w:val="center"/>
                </w:tcPr>
                <w:p w14:paraId="13F603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5AB7D6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1833A4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0B9E0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二氧化硫</w:t>
                  </w:r>
                </w:p>
              </w:tc>
              <w:tc>
                <w:tcPr>
                  <w:tcW w:w="1143" w:type="pct"/>
                  <w:vMerge w:val="continue"/>
                  <w:tcBorders>
                    <w:tl2br w:val="nil"/>
                    <w:tr2bl w:val="nil"/>
                  </w:tcBorders>
                  <w:vAlign w:val="center"/>
                </w:tcPr>
                <w:p w14:paraId="11BDC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00AEE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0.4</w:t>
                  </w:r>
                </w:p>
              </w:tc>
              <w:tc>
                <w:tcPr>
                  <w:tcW w:w="1689" w:type="pct"/>
                  <w:vMerge w:val="continue"/>
                  <w:tcBorders>
                    <w:tl2br w:val="nil"/>
                    <w:tr2bl w:val="nil"/>
                  </w:tcBorders>
                  <w:vAlign w:val="center"/>
                </w:tcPr>
                <w:p w14:paraId="14D7D3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6B67E11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622E1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32948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氮氧化物</w:t>
                  </w:r>
                </w:p>
              </w:tc>
              <w:tc>
                <w:tcPr>
                  <w:tcW w:w="1143" w:type="pct"/>
                  <w:vMerge w:val="continue"/>
                  <w:tcBorders>
                    <w:tl2br w:val="nil"/>
                    <w:tr2bl w:val="nil"/>
                  </w:tcBorders>
                  <w:vAlign w:val="center"/>
                </w:tcPr>
                <w:p w14:paraId="657BB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4EE18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0.12</w:t>
                  </w:r>
                </w:p>
              </w:tc>
              <w:tc>
                <w:tcPr>
                  <w:tcW w:w="1689" w:type="pct"/>
                  <w:vMerge w:val="continue"/>
                  <w:tcBorders>
                    <w:tl2br w:val="nil"/>
                    <w:tr2bl w:val="nil"/>
                  </w:tcBorders>
                  <w:vAlign w:val="center"/>
                </w:tcPr>
                <w:p w14:paraId="13E3E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594677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6FAA2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2F8268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硫酸雾</w:t>
                  </w:r>
                </w:p>
              </w:tc>
              <w:tc>
                <w:tcPr>
                  <w:tcW w:w="1143" w:type="pct"/>
                  <w:vMerge w:val="continue"/>
                  <w:tcBorders>
                    <w:tl2br w:val="nil"/>
                    <w:tr2bl w:val="nil"/>
                  </w:tcBorders>
                  <w:vAlign w:val="center"/>
                </w:tcPr>
                <w:p w14:paraId="76822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3BFFB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0.3</w:t>
                  </w:r>
                </w:p>
              </w:tc>
              <w:tc>
                <w:tcPr>
                  <w:tcW w:w="1689" w:type="pct"/>
                  <w:vMerge w:val="continue"/>
                  <w:tcBorders>
                    <w:tl2br w:val="nil"/>
                    <w:tr2bl w:val="nil"/>
                  </w:tcBorders>
                  <w:vAlign w:val="center"/>
                </w:tcPr>
                <w:p w14:paraId="24761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6F8D310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57152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59891F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氯化氢</w:t>
                  </w:r>
                </w:p>
              </w:tc>
              <w:tc>
                <w:tcPr>
                  <w:tcW w:w="1143" w:type="pct"/>
                  <w:vMerge w:val="continue"/>
                  <w:tcBorders>
                    <w:tl2br w:val="nil"/>
                    <w:tr2bl w:val="nil"/>
                  </w:tcBorders>
                  <w:vAlign w:val="center"/>
                </w:tcPr>
                <w:p w14:paraId="197E5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7863A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0.05</w:t>
                  </w:r>
                </w:p>
              </w:tc>
              <w:tc>
                <w:tcPr>
                  <w:tcW w:w="1689" w:type="pct"/>
                  <w:vMerge w:val="continue"/>
                  <w:tcBorders>
                    <w:tl2br w:val="nil"/>
                    <w:tr2bl w:val="nil"/>
                  </w:tcBorders>
                  <w:vAlign w:val="center"/>
                </w:tcPr>
                <w:p w14:paraId="50325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1F58564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3C3B0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4271A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氨</w:t>
                  </w:r>
                </w:p>
              </w:tc>
              <w:tc>
                <w:tcPr>
                  <w:tcW w:w="1143" w:type="pct"/>
                  <w:vMerge w:val="continue"/>
                  <w:tcBorders>
                    <w:tl2br w:val="nil"/>
                    <w:tr2bl w:val="nil"/>
                  </w:tcBorders>
                  <w:vAlign w:val="center"/>
                </w:tcPr>
                <w:p w14:paraId="63FBA0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2D80E5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1.5</w:t>
                  </w:r>
                </w:p>
              </w:tc>
              <w:tc>
                <w:tcPr>
                  <w:tcW w:w="1689" w:type="pct"/>
                  <w:vMerge w:val="restart"/>
                  <w:tcBorders>
                    <w:tl2br w:val="nil"/>
                    <w:tr2bl w:val="nil"/>
                  </w:tcBorders>
                  <w:vAlign w:val="center"/>
                </w:tcPr>
                <w:p w14:paraId="21D198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《恶臭污染物排放标准》（GB</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14554-93）表</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lang w:val="en-US" w:eastAsia="zh-CN"/>
                    </w:rPr>
                    <w:t>二级</w:t>
                  </w:r>
                </w:p>
              </w:tc>
            </w:tr>
            <w:tr w14:paraId="250E55E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177F4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422CD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硫化氢</w:t>
                  </w:r>
                </w:p>
              </w:tc>
              <w:tc>
                <w:tcPr>
                  <w:tcW w:w="1143" w:type="pct"/>
                  <w:vMerge w:val="continue"/>
                  <w:tcBorders>
                    <w:tl2br w:val="nil"/>
                    <w:tr2bl w:val="nil"/>
                  </w:tcBorders>
                  <w:vAlign w:val="center"/>
                </w:tcPr>
                <w:p w14:paraId="5D681F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1E0DF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0.06</w:t>
                  </w:r>
                </w:p>
              </w:tc>
              <w:tc>
                <w:tcPr>
                  <w:tcW w:w="1689" w:type="pct"/>
                  <w:vMerge w:val="continue"/>
                  <w:tcBorders>
                    <w:tl2br w:val="nil"/>
                    <w:tr2bl w:val="nil"/>
                  </w:tcBorders>
                  <w:vAlign w:val="center"/>
                </w:tcPr>
                <w:p w14:paraId="2E864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1786240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7E824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tcBorders>
                    <w:tl2br w:val="nil"/>
                    <w:tr2bl w:val="nil"/>
                  </w:tcBorders>
                  <w:vAlign w:val="center"/>
                </w:tcPr>
                <w:p w14:paraId="227691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臭气浓度</w:t>
                  </w:r>
                </w:p>
              </w:tc>
              <w:tc>
                <w:tcPr>
                  <w:tcW w:w="1143" w:type="pct"/>
                  <w:vMerge w:val="continue"/>
                  <w:tcBorders>
                    <w:tl2br w:val="nil"/>
                    <w:tr2bl w:val="nil"/>
                  </w:tcBorders>
                  <w:vAlign w:val="center"/>
                </w:tcPr>
                <w:p w14:paraId="540A3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p>
              </w:tc>
              <w:tc>
                <w:tcPr>
                  <w:tcW w:w="849" w:type="pct"/>
                  <w:tcBorders>
                    <w:tl2br w:val="nil"/>
                    <w:tr2bl w:val="nil"/>
                  </w:tcBorders>
                  <w:vAlign w:val="center"/>
                </w:tcPr>
                <w:p w14:paraId="30483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20</w:t>
                  </w:r>
                </w:p>
              </w:tc>
              <w:tc>
                <w:tcPr>
                  <w:tcW w:w="1689" w:type="pct"/>
                  <w:vMerge w:val="continue"/>
                  <w:tcBorders>
                    <w:tl2br w:val="nil"/>
                    <w:tr2bl w:val="nil"/>
                  </w:tcBorders>
                  <w:vAlign w:val="center"/>
                </w:tcPr>
                <w:p w14:paraId="5A99F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3B3D88F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restart"/>
                  <w:tcBorders>
                    <w:tl2br w:val="nil"/>
                    <w:tr2bl w:val="nil"/>
                  </w:tcBorders>
                  <w:vAlign w:val="center"/>
                </w:tcPr>
                <w:p w14:paraId="5B2F4B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厂区内无组织</w:t>
                  </w:r>
                </w:p>
              </w:tc>
              <w:tc>
                <w:tcPr>
                  <w:tcW w:w="795" w:type="pct"/>
                  <w:vMerge w:val="restart"/>
                  <w:tcBorders>
                    <w:tl2br w:val="nil"/>
                    <w:tr2bl w:val="nil"/>
                  </w:tcBorders>
                  <w:vAlign w:val="center"/>
                </w:tcPr>
                <w:p w14:paraId="02805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非甲烷总烃</w:t>
                  </w:r>
                </w:p>
              </w:tc>
              <w:tc>
                <w:tcPr>
                  <w:tcW w:w="1143" w:type="pct"/>
                  <w:tcBorders>
                    <w:tl2br w:val="nil"/>
                    <w:tr2bl w:val="nil"/>
                  </w:tcBorders>
                  <w:shd w:val="clear" w:color="auto" w:fill="auto"/>
                  <w:vAlign w:val="center"/>
                </w:tcPr>
                <w:p w14:paraId="1F4A6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监控点处1h平均浓度值</w:t>
                  </w:r>
                </w:p>
              </w:tc>
              <w:tc>
                <w:tcPr>
                  <w:tcW w:w="849" w:type="pct"/>
                  <w:tcBorders>
                    <w:tl2br w:val="nil"/>
                    <w:tr2bl w:val="nil"/>
                  </w:tcBorders>
                  <w:vAlign w:val="center"/>
                </w:tcPr>
                <w:p w14:paraId="580B0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6</w:t>
                  </w:r>
                </w:p>
              </w:tc>
              <w:tc>
                <w:tcPr>
                  <w:tcW w:w="1689" w:type="pct"/>
                  <w:vMerge w:val="restart"/>
                  <w:tcBorders>
                    <w:tl2br w:val="nil"/>
                    <w:tr2bl w:val="nil"/>
                  </w:tcBorders>
                  <w:vAlign w:val="center"/>
                </w:tcPr>
                <w:p w14:paraId="610F8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《表面涂装（汽车零部件）大气污染物排放标准》（DB</w:t>
                  </w:r>
                  <w:r>
                    <w:rPr>
                      <w:rFonts w:hint="eastAsia" w:eastAsia="仿宋" w:cs="Times New Roman"/>
                      <w:color w:val="auto"/>
                      <w:sz w:val="21"/>
                      <w:szCs w:val="21"/>
                      <w:highlight w:val="none"/>
                      <w:lang w:val="en-US" w:eastAsia="zh-CN"/>
                    </w:rPr>
                    <w:t xml:space="preserve"> </w:t>
                  </w:r>
                  <w:r>
                    <w:rPr>
                      <w:rFonts w:hint="default" w:ascii="Times New Roman" w:hAnsi="Times New Roman" w:eastAsia="仿宋" w:cs="Times New Roman"/>
                      <w:color w:val="auto"/>
                      <w:sz w:val="21"/>
                      <w:szCs w:val="21"/>
                      <w:highlight w:val="none"/>
                      <w:lang w:val="en-US" w:eastAsia="zh-CN"/>
                    </w:rPr>
                    <w:t>32/3966-2021）表2厂区内VOCs无组织排放限值</w:t>
                  </w:r>
                </w:p>
              </w:tc>
            </w:tr>
            <w:tr w14:paraId="3D6C8E0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1" w:type="pct"/>
                  <w:vMerge w:val="continue"/>
                  <w:tcBorders>
                    <w:tl2br w:val="nil"/>
                    <w:tr2bl w:val="nil"/>
                  </w:tcBorders>
                  <w:vAlign w:val="center"/>
                </w:tcPr>
                <w:p w14:paraId="4D74BF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b w:val="0"/>
                      <w:bCs/>
                      <w:color w:val="auto"/>
                      <w:sz w:val="21"/>
                      <w:szCs w:val="21"/>
                      <w:highlight w:val="none"/>
                      <w:lang w:val="en-US" w:eastAsia="zh-CN"/>
                    </w:rPr>
                  </w:pPr>
                </w:p>
              </w:tc>
              <w:tc>
                <w:tcPr>
                  <w:tcW w:w="795" w:type="pct"/>
                  <w:vMerge w:val="continue"/>
                  <w:tcBorders>
                    <w:tl2br w:val="nil"/>
                    <w:tr2bl w:val="nil"/>
                  </w:tcBorders>
                  <w:vAlign w:val="center"/>
                </w:tcPr>
                <w:p w14:paraId="4226F6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仿宋" w:cs="Times New Roman"/>
                      <w:b w:val="0"/>
                      <w:bCs/>
                      <w:color w:val="auto"/>
                      <w:sz w:val="21"/>
                      <w:szCs w:val="21"/>
                      <w:highlight w:val="none"/>
                      <w:lang w:val="en-US" w:eastAsia="zh-CN"/>
                    </w:rPr>
                  </w:pPr>
                </w:p>
              </w:tc>
              <w:tc>
                <w:tcPr>
                  <w:tcW w:w="1143" w:type="pct"/>
                  <w:tcBorders>
                    <w:tl2br w:val="nil"/>
                    <w:tr2bl w:val="nil"/>
                  </w:tcBorders>
                  <w:shd w:val="clear" w:color="auto" w:fill="auto"/>
                  <w:vAlign w:val="center"/>
                </w:tcPr>
                <w:p w14:paraId="2AB2E1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监控点处任意一次浓度值</w:t>
                  </w:r>
                </w:p>
              </w:tc>
              <w:tc>
                <w:tcPr>
                  <w:tcW w:w="849" w:type="pct"/>
                  <w:tcBorders>
                    <w:tl2br w:val="nil"/>
                    <w:tr2bl w:val="nil"/>
                  </w:tcBorders>
                  <w:vAlign w:val="center"/>
                </w:tcPr>
                <w:p w14:paraId="163D0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20（无量纲）</w:t>
                  </w:r>
                </w:p>
              </w:tc>
              <w:tc>
                <w:tcPr>
                  <w:tcW w:w="1689" w:type="pct"/>
                  <w:vMerge w:val="continue"/>
                  <w:tcBorders>
                    <w:tl2br w:val="nil"/>
                    <w:tr2bl w:val="nil"/>
                  </w:tcBorders>
                  <w:vAlign w:val="center"/>
                </w:tcPr>
                <w:p w14:paraId="6E5890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bl>
          <w:p w14:paraId="35F7F5A6">
            <w:pPr>
              <w:adjustRightInd w:val="0"/>
              <w:snapToGrid w:val="0"/>
              <w:spacing w:line="360" w:lineRule="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噪声排放标准</w:t>
            </w:r>
          </w:p>
          <w:p w14:paraId="3CD13985">
            <w:pPr>
              <w:adjustRightInd w:val="0"/>
              <w:snapToGrid w:val="0"/>
              <w:spacing w:line="360" w:lineRule="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3.1施工期</w:t>
            </w:r>
          </w:p>
          <w:p w14:paraId="06E8A72E">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项目施工期噪声执行《建筑施工噪声排放标准》（GB</w:t>
            </w:r>
            <w:r>
              <w:rPr>
                <w:rFonts w:hint="eastAsia"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12523-20</w:t>
            </w:r>
            <w:r>
              <w:rPr>
                <w:rFonts w:hint="eastAsia" w:cs="Times New Roman"/>
                <w:color w:val="auto"/>
                <w:kern w:val="0"/>
                <w:sz w:val="24"/>
                <w:szCs w:val="24"/>
                <w:highlight w:val="none"/>
                <w:lang w:val="en-US" w:eastAsia="zh-CN"/>
              </w:rPr>
              <w:t>25</w:t>
            </w:r>
            <w:r>
              <w:rPr>
                <w:rFonts w:hint="default" w:ascii="Times New Roman" w:hAnsi="Times New Roman" w:eastAsia="宋体" w:cs="Times New Roman"/>
                <w:color w:val="auto"/>
                <w:kern w:val="0"/>
                <w:sz w:val="24"/>
                <w:szCs w:val="24"/>
                <w:highlight w:val="none"/>
              </w:rPr>
              <w:t>）表1标准限值。具体标准值见下表。</w:t>
            </w:r>
          </w:p>
          <w:p w14:paraId="53E9F3AD">
            <w:pPr>
              <w:numPr>
                <w:ilvl w:val="0"/>
                <w:numId w:val="4"/>
              </w:numPr>
              <w:adjustRightInd w:val="0"/>
              <w:snapToGrid w:val="0"/>
              <w:jc w:val="center"/>
              <w:rPr>
                <w:rFonts w:hint="default"/>
                <w:b/>
                <w:color w:val="auto"/>
                <w:sz w:val="24"/>
                <w:szCs w:val="24"/>
                <w:highlight w:val="none"/>
                <w:lang w:val="en-US" w:eastAsia="zh-CN"/>
              </w:rPr>
            </w:pPr>
            <w:r>
              <w:rPr>
                <w:rFonts w:hint="default"/>
                <w:b/>
                <w:color w:val="auto"/>
                <w:sz w:val="24"/>
                <w:szCs w:val="24"/>
                <w:highlight w:val="none"/>
                <w:lang w:val="en-US" w:eastAsia="zh-CN"/>
              </w:rPr>
              <w:t>施工期噪声排放标准限值  单位：dB（A）</w:t>
            </w:r>
          </w:p>
          <w:tbl>
            <w:tblPr>
              <w:tblStyle w:val="20"/>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65"/>
              <w:gridCol w:w="1779"/>
              <w:gridCol w:w="5741"/>
            </w:tblGrid>
            <w:tr w14:paraId="43829F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874" w:type="pct"/>
                  <w:gridSpan w:val="2"/>
                  <w:tcBorders>
                    <w:tl2br w:val="nil"/>
                    <w:tr2bl w:val="nil"/>
                  </w:tcBorders>
                  <w:noWrap w:val="0"/>
                  <w:vAlign w:val="center"/>
                </w:tcPr>
                <w:p w14:paraId="601B79C9">
                  <w:pPr>
                    <w:pStyle w:val="5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b/>
                      <w:bCs/>
                      <w:color w:val="auto"/>
                      <w:spacing w:val="0"/>
                      <w:sz w:val="21"/>
                      <w:szCs w:val="21"/>
                      <w:highlight w:val="none"/>
                    </w:rPr>
                  </w:pPr>
                  <w:r>
                    <w:rPr>
                      <w:rFonts w:hint="default" w:ascii="Times New Roman" w:hAnsi="Times New Roman" w:eastAsia="仿宋" w:cs="Times New Roman"/>
                      <w:b/>
                      <w:bCs/>
                      <w:color w:val="auto"/>
                      <w:spacing w:val="0"/>
                      <w:sz w:val="21"/>
                      <w:szCs w:val="21"/>
                      <w:highlight w:val="none"/>
                    </w:rPr>
                    <w:t>标准限值</w:t>
                  </w:r>
                </w:p>
              </w:tc>
              <w:tc>
                <w:tcPr>
                  <w:tcW w:w="3125" w:type="pct"/>
                  <w:vMerge w:val="restart"/>
                  <w:tcBorders>
                    <w:tl2br w:val="nil"/>
                    <w:tr2bl w:val="nil"/>
                  </w:tcBorders>
                  <w:noWrap w:val="0"/>
                  <w:vAlign w:val="center"/>
                </w:tcPr>
                <w:p w14:paraId="672094DD">
                  <w:pPr>
                    <w:pStyle w:val="5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b/>
                      <w:bCs/>
                      <w:color w:val="auto"/>
                      <w:spacing w:val="0"/>
                      <w:sz w:val="21"/>
                      <w:szCs w:val="21"/>
                      <w:highlight w:val="none"/>
                    </w:rPr>
                  </w:pPr>
                  <w:r>
                    <w:rPr>
                      <w:rFonts w:hint="default" w:ascii="Times New Roman" w:hAnsi="Times New Roman" w:eastAsia="仿宋" w:cs="Times New Roman"/>
                      <w:b/>
                      <w:bCs/>
                      <w:color w:val="auto"/>
                      <w:spacing w:val="0"/>
                      <w:sz w:val="21"/>
                      <w:szCs w:val="21"/>
                      <w:highlight w:val="none"/>
                    </w:rPr>
                    <w:t>执行标准</w:t>
                  </w:r>
                </w:p>
              </w:tc>
            </w:tr>
            <w:tr w14:paraId="6C77F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6" w:type="pct"/>
                  <w:tcBorders>
                    <w:tl2br w:val="nil"/>
                    <w:tr2bl w:val="nil"/>
                  </w:tcBorders>
                  <w:noWrap w:val="0"/>
                  <w:vAlign w:val="center"/>
                </w:tcPr>
                <w:p w14:paraId="75DE45BC">
                  <w:pPr>
                    <w:pStyle w:val="5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b/>
                      <w:bCs/>
                      <w:color w:val="auto"/>
                      <w:spacing w:val="0"/>
                      <w:sz w:val="21"/>
                      <w:szCs w:val="21"/>
                      <w:highlight w:val="none"/>
                    </w:rPr>
                  </w:pPr>
                  <w:r>
                    <w:rPr>
                      <w:rFonts w:hint="default" w:ascii="Times New Roman" w:hAnsi="Times New Roman" w:eastAsia="仿宋" w:cs="Times New Roman"/>
                      <w:b/>
                      <w:bCs/>
                      <w:color w:val="auto"/>
                      <w:spacing w:val="0"/>
                      <w:sz w:val="21"/>
                      <w:szCs w:val="21"/>
                      <w:highlight w:val="none"/>
                    </w:rPr>
                    <w:t>昼间</w:t>
                  </w:r>
                </w:p>
              </w:tc>
              <w:tc>
                <w:tcPr>
                  <w:tcW w:w="967" w:type="pct"/>
                  <w:tcBorders>
                    <w:tl2br w:val="nil"/>
                    <w:tr2bl w:val="nil"/>
                  </w:tcBorders>
                  <w:noWrap w:val="0"/>
                  <w:vAlign w:val="center"/>
                </w:tcPr>
                <w:p w14:paraId="161BAFBD">
                  <w:pPr>
                    <w:pStyle w:val="5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b/>
                      <w:bCs/>
                      <w:color w:val="auto"/>
                      <w:spacing w:val="0"/>
                      <w:sz w:val="21"/>
                      <w:szCs w:val="21"/>
                      <w:highlight w:val="none"/>
                    </w:rPr>
                  </w:pPr>
                  <w:r>
                    <w:rPr>
                      <w:rFonts w:hint="default" w:ascii="Times New Roman" w:hAnsi="Times New Roman" w:eastAsia="仿宋" w:cs="Times New Roman"/>
                      <w:b/>
                      <w:bCs/>
                      <w:color w:val="auto"/>
                      <w:spacing w:val="0"/>
                      <w:sz w:val="21"/>
                      <w:szCs w:val="21"/>
                      <w:highlight w:val="none"/>
                    </w:rPr>
                    <w:t>夜间</w:t>
                  </w:r>
                </w:p>
              </w:tc>
              <w:tc>
                <w:tcPr>
                  <w:tcW w:w="3125" w:type="pct"/>
                  <w:vMerge w:val="continue"/>
                  <w:tcBorders>
                    <w:tl2br w:val="nil"/>
                    <w:tr2bl w:val="nil"/>
                  </w:tcBorders>
                  <w:noWrap w:val="0"/>
                  <w:vAlign w:val="center"/>
                </w:tcPr>
                <w:p w14:paraId="45ABCC85">
                  <w:pPr>
                    <w:pStyle w:val="5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b/>
                      <w:bCs/>
                      <w:color w:val="auto"/>
                      <w:spacing w:val="0"/>
                      <w:sz w:val="21"/>
                      <w:szCs w:val="21"/>
                      <w:highlight w:val="none"/>
                    </w:rPr>
                  </w:pPr>
                </w:p>
              </w:tc>
            </w:tr>
            <w:tr w14:paraId="57502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6" w:type="pct"/>
                  <w:tcBorders>
                    <w:tl2br w:val="nil"/>
                    <w:tr2bl w:val="nil"/>
                  </w:tcBorders>
                  <w:noWrap w:val="0"/>
                  <w:vAlign w:val="center"/>
                </w:tcPr>
                <w:p w14:paraId="0340C9D4">
                  <w:pPr>
                    <w:pStyle w:val="5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spacing w:val="0"/>
                      <w:sz w:val="21"/>
                      <w:szCs w:val="21"/>
                      <w:highlight w:val="none"/>
                    </w:rPr>
                  </w:pPr>
                  <w:r>
                    <w:rPr>
                      <w:rFonts w:hint="default" w:ascii="Times New Roman" w:hAnsi="Times New Roman" w:eastAsia="仿宋" w:cs="Times New Roman"/>
                      <w:color w:val="auto"/>
                      <w:spacing w:val="0"/>
                      <w:sz w:val="21"/>
                      <w:szCs w:val="21"/>
                      <w:highlight w:val="none"/>
                    </w:rPr>
                    <w:t>70</w:t>
                  </w:r>
                </w:p>
              </w:tc>
              <w:tc>
                <w:tcPr>
                  <w:tcW w:w="967" w:type="pct"/>
                  <w:tcBorders>
                    <w:tl2br w:val="nil"/>
                    <w:tr2bl w:val="nil"/>
                  </w:tcBorders>
                  <w:noWrap w:val="0"/>
                  <w:vAlign w:val="center"/>
                </w:tcPr>
                <w:p w14:paraId="15AA6F49">
                  <w:pPr>
                    <w:pStyle w:val="5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spacing w:val="0"/>
                      <w:sz w:val="21"/>
                      <w:szCs w:val="21"/>
                      <w:highlight w:val="none"/>
                    </w:rPr>
                  </w:pPr>
                  <w:r>
                    <w:rPr>
                      <w:rFonts w:hint="default" w:ascii="Times New Roman" w:hAnsi="Times New Roman" w:eastAsia="仿宋" w:cs="Times New Roman"/>
                      <w:color w:val="auto"/>
                      <w:spacing w:val="0"/>
                      <w:sz w:val="21"/>
                      <w:szCs w:val="21"/>
                      <w:highlight w:val="none"/>
                    </w:rPr>
                    <w:t>55</w:t>
                  </w:r>
                </w:p>
              </w:tc>
              <w:tc>
                <w:tcPr>
                  <w:tcW w:w="3125" w:type="pct"/>
                  <w:tcBorders>
                    <w:tl2br w:val="nil"/>
                    <w:tr2bl w:val="nil"/>
                  </w:tcBorders>
                  <w:noWrap w:val="0"/>
                  <w:vAlign w:val="center"/>
                </w:tcPr>
                <w:p w14:paraId="2D8E5A14">
                  <w:pPr>
                    <w:pStyle w:val="5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color w:val="auto"/>
                      <w:spacing w:val="0"/>
                      <w:sz w:val="21"/>
                      <w:szCs w:val="21"/>
                      <w:highlight w:val="none"/>
                    </w:rPr>
                  </w:pPr>
                  <w:r>
                    <w:rPr>
                      <w:rFonts w:hint="default" w:ascii="Times New Roman" w:hAnsi="Times New Roman" w:eastAsia="仿宋" w:cs="Times New Roman"/>
                      <w:color w:val="auto"/>
                      <w:spacing w:val="0"/>
                      <w:sz w:val="21"/>
                      <w:szCs w:val="21"/>
                      <w:highlight w:val="none"/>
                    </w:rPr>
                    <w:t>《</w:t>
                  </w:r>
                  <w:r>
                    <w:rPr>
                      <w:rFonts w:hint="eastAsia" w:eastAsia="仿宋" w:cs="Times New Roman"/>
                      <w:color w:val="auto"/>
                      <w:spacing w:val="0"/>
                      <w:sz w:val="21"/>
                      <w:szCs w:val="21"/>
                      <w:highlight w:val="none"/>
                      <w:lang w:eastAsia="zh-CN"/>
                    </w:rPr>
                    <w:t>建筑施工噪声排放标准</w:t>
                  </w:r>
                  <w:r>
                    <w:rPr>
                      <w:rFonts w:hint="default" w:ascii="Times New Roman" w:hAnsi="Times New Roman" w:eastAsia="仿宋" w:cs="Times New Roman"/>
                      <w:color w:val="auto"/>
                      <w:spacing w:val="0"/>
                      <w:sz w:val="21"/>
                      <w:szCs w:val="21"/>
                      <w:highlight w:val="none"/>
                    </w:rPr>
                    <w:t>》（GB</w:t>
                  </w:r>
                  <w:r>
                    <w:rPr>
                      <w:rFonts w:hint="eastAsia" w:ascii="Times New Roman" w:hAnsi="Times New Roman" w:eastAsia="仿宋" w:cs="Times New Roman"/>
                      <w:color w:val="auto"/>
                      <w:spacing w:val="0"/>
                      <w:sz w:val="21"/>
                      <w:szCs w:val="21"/>
                      <w:highlight w:val="none"/>
                      <w:lang w:val="en-US" w:eastAsia="zh-CN"/>
                    </w:rPr>
                    <w:t xml:space="preserve"> </w:t>
                  </w:r>
                  <w:r>
                    <w:rPr>
                      <w:rFonts w:hint="default" w:ascii="Times New Roman" w:hAnsi="Times New Roman" w:eastAsia="仿宋" w:cs="Times New Roman"/>
                      <w:color w:val="auto"/>
                      <w:spacing w:val="0"/>
                      <w:sz w:val="21"/>
                      <w:szCs w:val="21"/>
                      <w:highlight w:val="none"/>
                    </w:rPr>
                    <w:t>12523-20</w:t>
                  </w:r>
                  <w:r>
                    <w:rPr>
                      <w:rFonts w:hint="eastAsia" w:eastAsia="仿宋" w:cs="Times New Roman"/>
                      <w:color w:val="auto"/>
                      <w:spacing w:val="0"/>
                      <w:sz w:val="21"/>
                      <w:szCs w:val="21"/>
                      <w:highlight w:val="none"/>
                      <w:lang w:val="en-US" w:eastAsia="zh-CN"/>
                    </w:rPr>
                    <w:t>25</w:t>
                  </w:r>
                  <w:r>
                    <w:rPr>
                      <w:rFonts w:hint="default" w:ascii="Times New Roman" w:hAnsi="Times New Roman" w:eastAsia="仿宋" w:cs="Times New Roman"/>
                      <w:color w:val="auto"/>
                      <w:spacing w:val="0"/>
                      <w:sz w:val="21"/>
                      <w:szCs w:val="21"/>
                      <w:highlight w:val="none"/>
                    </w:rPr>
                    <w:t>）表1</w:t>
                  </w:r>
                </w:p>
              </w:tc>
            </w:tr>
          </w:tbl>
          <w:p w14:paraId="3EF48632">
            <w:pPr>
              <w:adjustRightInd w:val="0"/>
              <w:snapToGrid w:val="0"/>
              <w:spacing w:line="360" w:lineRule="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3.2营运期</w:t>
            </w:r>
          </w:p>
          <w:p w14:paraId="0497B6F4">
            <w:pPr>
              <w:adjustRightInd w:val="0"/>
              <w:snapToGrid w:val="0"/>
              <w:spacing w:line="360" w:lineRule="auto"/>
              <w:ind w:firstLine="480" w:firstLineChars="200"/>
              <w:rPr>
                <w:b/>
                <w:color w:val="auto"/>
                <w:kern w:val="0"/>
                <w:sz w:val="24"/>
                <w:szCs w:val="24"/>
                <w:highlight w:val="none"/>
              </w:rPr>
            </w:pPr>
            <w:r>
              <w:rPr>
                <w:rFonts w:ascii="Times New Roman" w:hAnsi="Times New Roman" w:eastAsia="宋体" w:cs="Times New Roman"/>
                <w:color w:val="auto"/>
                <w:kern w:val="0"/>
                <w:sz w:val="24"/>
                <w:szCs w:val="24"/>
                <w:highlight w:val="none"/>
              </w:rPr>
              <w:t>项目厂界噪声执</w:t>
            </w:r>
            <w:r>
              <w:rPr>
                <w:color w:val="auto"/>
                <w:kern w:val="0"/>
                <w:sz w:val="24"/>
                <w:szCs w:val="24"/>
                <w:highlight w:val="none"/>
              </w:rPr>
              <w:t>行《工业企业厂界环境噪声排放标准》（GB</w:t>
            </w:r>
            <w:r>
              <w:rPr>
                <w:rFonts w:hint="eastAsia"/>
                <w:color w:val="auto"/>
                <w:kern w:val="0"/>
                <w:sz w:val="24"/>
                <w:szCs w:val="24"/>
                <w:highlight w:val="none"/>
                <w:lang w:val="en-US" w:eastAsia="zh-CN"/>
              </w:rPr>
              <w:t xml:space="preserve"> </w:t>
            </w:r>
            <w:r>
              <w:rPr>
                <w:color w:val="auto"/>
                <w:kern w:val="0"/>
                <w:sz w:val="24"/>
                <w:szCs w:val="24"/>
                <w:highlight w:val="none"/>
              </w:rPr>
              <w:t>12348-2008）</w:t>
            </w:r>
            <w:r>
              <w:rPr>
                <w:rFonts w:hint="eastAsia"/>
                <w:color w:val="auto"/>
                <w:kern w:val="0"/>
                <w:sz w:val="24"/>
                <w:szCs w:val="24"/>
                <w:highlight w:val="none"/>
                <w:lang w:val="en-US" w:eastAsia="zh-CN"/>
              </w:rPr>
              <w:t>2</w:t>
            </w:r>
            <w:r>
              <w:rPr>
                <w:color w:val="auto"/>
                <w:kern w:val="0"/>
                <w:sz w:val="24"/>
                <w:szCs w:val="24"/>
                <w:highlight w:val="none"/>
              </w:rPr>
              <w:t>类标准，标准限值见</w:t>
            </w:r>
            <w:r>
              <w:rPr>
                <w:rFonts w:hint="eastAsia"/>
                <w:color w:val="auto"/>
                <w:kern w:val="0"/>
                <w:sz w:val="24"/>
                <w:szCs w:val="24"/>
                <w:highlight w:val="none"/>
                <w:lang w:val="en-US" w:eastAsia="zh-CN"/>
              </w:rPr>
              <w:t>下</w:t>
            </w:r>
            <w:r>
              <w:rPr>
                <w:color w:val="auto"/>
                <w:kern w:val="0"/>
                <w:sz w:val="24"/>
                <w:szCs w:val="24"/>
                <w:highlight w:val="none"/>
              </w:rPr>
              <w:t>表</w:t>
            </w:r>
            <w:r>
              <w:rPr>
                <w:rFonts w:hint="eastAsia"/>
                <w:color w:val="auto"/>
                <w:kern w:val="0"/>
                <w:sz w:val="24"/>
                <w:szCs w:val="24"/>
                <w:highlight w:val="none"/>
              </w:rPr>
              <w:t>。</w:t>
            </w:r>
          </w:p>
          <w:p w14:paraId="4B52535B">
            <w:pPr>
              <w:numPr>
                <w:ilvl w:val="0"/>
                <w:numId w:val="4"/>
              </w:numPr>
              <w:adjustRightInd w:val="0"/>
              <w:snapToGrid w:val="0"/>
              <w:jc w:val="center"/>
              <w:rPr>
                <w:rFonts w:hint="eastAsia"/>
                <w:b/>
                <w:color w:val="auto"/>
                <w:sz w:val="24"/>
                <w:szCs w:val="24"/>
                <w:highlight w:val="none"/>
                <w:lang w:val="en-US" w:eastAsia="zh-CN"/>
              </w:rPr>
            </w:pPr>
            <w:r>
              <w:rPr>
                <w:rFonts w:hint="eastAsia"/>
                <w:b/>
                <w:color w:val="auto"/>
                <w:sz w:val="24"/>
                <w:szCs w:val="24"/>
                <w:highlight w:val="none"/>
                <w:lang w:val="en-US" w:eastAsia="zh-CN"/>
              </w:rPr>
              <w:t>噪声污染物排放标准</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246"/>
              <w:gridCol w:w="2935"/>
              <w:gridCol w:w="2"/>
            </w:tblGrid>
            <w:tr w14:paraId="2F32270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00" w:type="pct"/>
                  <w:vMerge w:val="restart"/>
                  <w:tcBorders>
                    <w:tl2br w:val="nil"/>
                    <w:tr2bl w:val="nil"/>
                  </w:tcBorders>
                  <w:vAlign w:val="center"/>
                </w:tcPr>
                <w:p w14:paraId="3054A40C">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执行标准</w:t>
                  </w:r>
                </w:p>
              </w:tc>
              <w:tc>
                <w:tcPr>
                  <w:tcW w:w="1599" w:type="pct"/>
                  <w:gridSpan w:val="2"/>
                  <w:tcBorders>
                    <w:tl2br w:val="nil"/>
                    <w:tr2bl w:val="nil"/>
                  </w:tcBorders>
                  <w:vAlign w:val="center"/>
                </w:tcPr>
                <w:p w14:paraId="3A263FF8">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标准限值</w:t>
                  </w:r>
                </w:p>
              </w:tc>
            </w:tr>
            <w:tr w14:paraId="0DE96A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jc w:val="center"/>
              </w:trPr>
              <w:tc>
                <w:tcPr>
                  <w:tcW w:w="3400" w:type="pct"/>
                  <w:vMerge w:val="continue"/>
                  <w:tcBorders>
                    <w:tl2br w:val="nil"/>
                    <w:tr2bl w:val="nil"/>
                  </w:tcBorders>
                  <w:vAlign w:val="center"/>
                </w:tcPr>
                <w:p w14:paraId="4D0ABF7F">
                  <w:pPr>
                    <w:pStyle w:val="31"/>
                    <w:rPr>
                      <w:rFonts w:hint="default" w:ascii="Times New Roman" w:hAnsi="Times New Roman" w:eastAsia="仿宋" w:cs="Times New Roman"/>
                      <w:b/>
                      <w:color w:val="auto"/>
                      <w:sz w:val="21"/>
                      <w:szCs w:val="21"/>
                      <w:highlight w:val="none"/>
                    </w:rPr>
                  </w:pPr>
                </w:p>
              </w:tc>
              <w:tc>
                <w:tcPr>
                  <w:tcW w:w="1598" w:type="pct"/>
                  <w:tcBorders>
                    <w:tl2br w:val="nil"/>
                    <w:tr2bl w:val="nil"/>
                  </w:tcBorders>
                  <w:vAlign w:val="center"/>
                </w:tcPr>
                <w:p w14:paraId="3061563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昼间</w:t>
                  </w:r>
                </w:p>
              </w:tc>
            </w:tr>
            <w:tr w14:paraId="4D4958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jc w:val="center"/>
              </w:trPr>
              <w:tc>
                <w:tcPr>
                  <w:tcW w:w="3400" w:type="pct"/>
                  <w:tcBorders>
                    <w:tl2br w:val="nil"/>
                    <w:tr2bl w:val="nil"/>
                  </w:tcBorders>
                  <w:vAlign w:val="center"/>
                </w:tcPr>
                <w:p w14:paraId="433FB3A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《工业企业厂界环境噪声排放标准》（GB12348-2008）</w:t>
                  </w:r>
                  <w:r>
                    <w:rPr>
                      <w:rFonts w:hint="eastAsia"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类标准</w:t>
                  </w:r>
                </w:p>
              </w:tc>
              <w:tc>
                <w:tcPr>
                  <w:tcW w:w="1598" w:type="pct"/>
                  <w:tcBorders>
                    <w:tl2br w:val="nil"/>
                    <w:tr2bl w:val="nil"/>
                  </w:tcBorders>
                  <w:vAlign w:val="center"/>
                </w:tcPr>
                <w:p w14:paraId="7DDC84E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w:t>
                  </w:r>
                  <w:r>
                    <w:rPr>
                      <w:rFonts w:hint="eastAsia" w:eastAsia="仿宋" w:cs="Times New Roman"/>
                      <w:color w:val="auto"/>
                      <w:sz w:val="21"/>
                      <w:szCs w:val="21"/>
                      <w:highlight w:val="none"/>
                      <w:lang w:val="en-US" w:eastAsia="zh-CN"/>
                    </w:rPr>
                    <w:t>0</w:t>
                  </w:r>
                  <w:r>
                    <w:rPr>
                      <w:rFonts w:hint="default" w:ascii="Times New Roman" w:hAnsi="Times New Roman" w:eastAsia="仿宋" w:cs="Times New Roman"/>
                      <w:color w:val="auto"/>
                      <w:sz w:val="21"/>
                      <w:szCs w:val="21"/>
                      <w:highlight w:val="none"/>
                    </w:rPr>
                    <w:t>dB（A）</w:t>
                  </w:r>
                </w:p>
              </w:tc>
            </w:tr>
          </w:tbl>
          <w:p w14:paraId="11CD6B06">
            <w:pPr>
              <w:adjustRightInd w:val="0"/>
              <w:snapToGrid w:val="0"/>
              <w:spacing w:line="360" w:lineRule="auto"/>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4、</w:t>
            </w:r>
            <w:r>
              <w:rPr>
                <w:rFonts w:hint="default" w:ascii="Times New Roman" w:hAnsi="Times New Roman" w:eastAsia="宋体" w:cs="Times New Roman"/>
                <w:b/>
                <w:color w:val="auto"/>
                <w:kern w:val="0"/>
                <w:sz w:val="24"/>
                <w:szCs w:val="24"/>
                <w:highlight w:val="none"/>
              </w:rPr>
              <w:t>固体废弃物</w:t>
            </w:r>
          </w:p>
          <w:p w14:paraId="0D20DB9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本项目固体废物</w:t>
            </w:r>
            <w:r>
              <w:rPr>
                <w:rFonts w:hint="eastAsia"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rPr>
              <w:t>执行《中华人民共和国固体废物污染环境防治法》（2020年修订）和《江苏省固体废物污染环境防治条例》；一般工业固体废物贮存</w:t>
            </w:r>
            <w:r>
              <w:rPr>
                <w:rFonts w:hint="default" w:ascii="Times New Roman" w:hAnsi="Times New Roman" w:eastAsia="宋体"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rPr>
              <w:t>《一般工业固体废物贮存和填埋污染控制标准》（GB</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18599-2020）</w:t>
            </w:r>
            <w:r>
              <w:rPr>
                <w:rFonts w:hint="eastAsia" w:ascii="Times New Roman" w:hAnsi="Times New Roman" w:eastAsia="宋体" w:cs="Times New Roman"/>
                <w:color w:val="auto"/>
                <w:sz w:val="24"/>
                <w:szCs w:val="24"/>
                <w:highlight w:val="none"/>
                <w:lang w:val="en-US" w:eastAsia="zh-CN"/>
              </w:rPr>
              <w:t>进行设置</w:t>
            </w:r>
            <w:r>
              <w:rPr>
                <w:rFonts w:hint="default" w:ascii="Times New Roman" w:hAnsi="Times New Roman" w:eastAsia="宋体" w:cs="Times New Roman"/>
                <w:color w:val="auto"/>
                <w:sz w:val="24"/>
                <w:szCs w:val="24"/>
                <w:highlight w:val="none"/>
              </w:rPr>
              <w:t>；危险废物</w:t>
            </w:r>
            <w:r>
              <w:rPr>
                <w:rFonts w:hint="eastAsia"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rPr>
              <w:t>执行《危险废物收集</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贮存</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运输技术规范》（HJ</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2025-2012）、《危险废物贮存污染控制标准》（GB</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18597-2023）相关标准；生活垃圾</w:t>
            </w:r>
            <w:r>
              <w:rPr>
                <w:rFonts w:hint="eastAsia"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rPr>
              <w:t>执行《城市生活垃圾管理办法》（建设部令第157号）相关要求。</w:t>
            </w:r>
          </w:p>
        </w:tc>
      </w:tr>
    </w:tbl>
    <w:p w14:paraId="6620F1E9">
      <w:pPr>
        <w:rPr>
          <w:rFonts w:ascii="Times New Roman" w:hAnsi="Times New Roman"/>
          <w:snapToGrid w:val="0"/>
          <w:color w:val="auto"/>
          <w:sz w:val="36"/>
          <w:szCs w:val="36"/>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535"/>
      </w:tblGrid>
      <w:tr w14:paraId="066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1" w:type="dxa"/>
            <w:vAlign w:val="center"/>
          </w:tcPr>
          <w:p w14:paraId="598E5BA0">
            <w:pPr>
              <w:adjustRightInd w:val="0"/>
              <w:snapToGrid w:val="0"/>
              <w:jc w:val="center"/>
              <w:rPr>
                <w:color w:val="auto"/>
                <w:vertAlign w:val="baseline"/>
              </w:rPr>
            </w:pPr>
            <w:r>
              <w:rPr>
                <w:color w:val="auto"/>
                <w:kern w:val="0"/>
                <w:szCs w:val="21"/>
                <w:highlight w:val="none"/>
              </w:rPr>
              <w:t>总量控制指标</w:t>
            </w:r>
          </w:p>
        </w:tc>
        <w:tc>
          <w:tcPr>
            <w:tcW w:w="13535" w:type="dxa"/>
          </w:tcPr>
          <w:p w14:paraId="3E1FE24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b/>
                <w:bCs/>
                <w:color w:val="auto"/>
                <w:kern w:val="0"/>
                <w:sz w:val="24"/>
                <w:szCs w:val="24"/>
                <w:highlight w:val="none"/>
                <w:lang w:eastAsia="zh-CN"/>
              </w:rPr>
            </w:pPr>
            <w:r>
              <w:rPr>
                <w:b/>
                <w:bCs/>
                <w:color w:val="auto"/>
                <w:kern w:val="0"/>
                <w:sz w:val="24"/>
                <w:szCs w:val="24"/>
                <w:highlight w:val="none"/>
              </w:rPr>
              <w:t>总量控制因子</w:t>
            </w:r>
            <w:r>
              <w:rPr>
                <w:rFonts w:hint="eastAsia"/>
                <w:b/>
                <w:bCs/>
                <w:color w:val="auto"/>
                <w:kern w:val="0"/>
                <w:sz w:val="24"/>
                <w:szCs w:val="24"/>
                <w:highlight w:val="none"/>
                <w:lang w:val="en-US" w:eastAsia="zh-CN"/>
              </w:rPr>
              <w:t>和排放指标</w:t>
            </w:r>
            <w:r>
              <w:rPr>
                <w:rFonts w:hint="eastAsia"/>
                <w:b/>
                <w:bCs/>
                <w:color w:val="auto"/>
                <w:kern w:val="0"/>
                <w:sz w:val="24"/>
                <w:szCs w:val="24"/>
                <w:highlight w:val="none"/>
                <w:lang w:eastAsia="zh-CN"/>
              </w:rPr>
              <w:t>：</w:t>
            </w:r>
          </w:p>
          <w:p w14:paraId="0527DC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szCs w:val="24"/>
                <w:highlight w:val="none"/>
              </w:rPr>
            </w:pPr>
            <w:r>
              <w:rPr>
                <w:color w:val="auto"/>
                <w:kern w:val="0"/>
                <w:sz w:val="24"/>
                <w:szCs w:val="24"/>
                <w:highlight w:val="none"/>
              </w:rPr>
              <w:t>按照国家和省总量控制的规定，结合本项目排污特征，确定本项目的总量控制因子以及考核因子为：</w:t>
            </w:r>
          </w:p>
          <w:p w14:paraId="68D04D0F">
            <w:pPr>
              <w:numPr>
                <w:ilvl w:val="0"/>
                <w:numId w:val="4"/>
              </w:numPr>
              <w:adjustRightInd w:val="0"/>
              <w:snapToGrid w:val="0"/>
              <w:jc w:val="center"/>
              <w:rPr>
                <w:rFonts w:hint="eastAsia"/>
                <w:b/>
                <w:color w:val="auto"/>
                <w:sz w:val="24"/>
                <w:szCs w:val="24"/>
                <w:highlight w:val="none"/>
                <w:lang w:val="en-US" w:eastAsia="zh-CN"/>
              </w:rPr>
            </w:pPr>
            <w:r>
              <w:rPr>
                <w:rFonts w:hint="eastAsia"/>
                <w:b/>
                <w:color w:val="auto"/>
                <w:sz w:val="24"/>
                <w:szCs w:val="24"/>
                <w:highlight w:val="none"/>
                <w:lang w:val="en-US" w:eastAsia="zh-CN"/>
              </w:rPr>
              <w:t>建设项目污染物排放总量指标   （单位：t/a）</w:t>
            </w:r>
          </w:p>
          <w:tbl>
            <w:tblPr>
              <w:tblStyle w:val="20"/>
              <w:tblW w:w="5000"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481"/>
              <w:gridCol w:w="1335"/>
              <w:gridCol w:w="1718"/>
              <w:gridCol w:w="1332"/>
              <w:gridCol w:w="1362"/>
              <w:gridCol w:w="1287"/>
              <w:gridCol w:w="1266"/>
              <w:gridCol w:w="1266"/>
              <w:gridCol w:w="1604"/>
              <w:gridCol w:w="1186"/>
            </w:tblGrid>
            <w:tr w14:paraId="5170270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51" w:type="pct"/>
                  <w:gridSpan w:val="2"/>
                  <w:vMerge w:val="restart"/>
                  <w:tcBorders>
                    <w:tl2br w:val="nil"/>
                    <w:tr2bl w:val="nil"/>
                  </w:tcBorders>
                  <w:shd w:val="clear" w:color="auto" w:fill="auto"/>
                  <w:vAlign w:val="center"/>
                </w:tcPr>
                <w:p w14:paraId="01C94DEE">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种类</w:t>
                  </w:r>
                </w:p>
              </w:tc>
              <w:tc>
                <w:tcPr>
                  <w:tcW w:w="502" w:type="pct"/>
                  <w:vMerge w:val="restart"/>
                  <w:tcBorders>
                    <w:tl2br w:val="nil"/>
                    <w:tr2bl w:val="nil"/>
                  </w:tcBorders>
                  <w:shd w:val="clear" w:color="auto" w:fill="auto"/>
                  <w:vAlign w:val="center"/>
                </w:tcPr>
                <w:p w14:paraId="2585CEE6">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污染物名称</w:t>
                  </w:r>
                </w:p>
              </w:tc>
              <w:tc>
                <w:tcPr>
                  <w:tcW w:w="646" w:type="pct"/>
                  <w:vMerge w:val="restart"/>
                  <w:tcBorders>
                    <w:tl2br w:val="nil"/>
                    <w:tr2bl w:val="nil"/>
                  </w:tcBorders>
                  <w:shd w:val="clear" w:color="auto" w:fill="auto"/>
                  <w:vAlign w:val="center"/>
                </w:tcPr>
                <w:p w14:paraId="71909CC4">
                  <w:pPr>
                    <w:pStyle w:val="31"/>
                    <w:wordWrap/>
                    <w:jc w:val="center"/>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lang w:val="en-US" w:eastAsia="zh-CN"/>
                    </w:rPr>
                    <w:t>原有项目排放量</w:t>
                  </w:r>
                  <w:r>
                    <w:rPr>
                      <w:rFonts w:hint="eastAsia" w:eastAsia="仿宋" w:cs="Times New Roman"/>
                      <w:b/>
                      <w:color w:val="auto"/>
                      <w:sz w:val="21"/>
                      <w:szCs w:val="21"/>
                      <w:highlight w:val="none"/>
                      <w:lang w:val="en-US" w:eastAsia="zh-CN"/>
                    </w:rPr>
                    <w:t>/（固废产生量）</w:t>
                  </w:r>
                </w:p>
              </w:tc>
              <w:tc>
                <w:tcPr>
                  <w:tcW w:w="1497" w:type="pct"/>
                  <w:gridSpan w:val="3"/>
                  <w:tcBorders>
                    <w:tl2br w:val="nil"/>
                    <w:tr2bl w:val="nil"/>
                  </w:tcBorders>
                  <w:shd w:val="clear" w:color="auto" w:fill="auto"/>
                  <w:vAlign w:val="center"/>
                </w:tcPr>
                <w:p w14:paraId="676B9BD2">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本项目</w:t>
                  </w:r>
                </w:p>
              </w:tc>
              <w:tc>
                <w:tcPr>
                  <w:tcW w:w="476" w:type="pct"/>
                  <w:vMerge w:val="restart"/>
                  <w:tcBorders>
                    <w:tl2br w:val="nil"/>
                    <w:tr2bl w:val="nil"/>
                  </w:tcBorders>
                  <w:vAlign w:val="center"/>
                </w:tcPr>
                <w:p w14:paraId="1DE82610">
                  <w:pPr>
                    <w:pStyle w:val="31"/>
                    <w:wordWrap/>
                    <w:jc w:val="center"/>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以新带老</w:t>
                  </w:r>
                  <w:r>
                    <w:rPr>
                      <w:rFonts w:hint="eastAsia"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削减量</w:t>
                  </w:r>
                </w:p>
              </w:tc>
              <w:tc>
                <w:tcPr>
                  <w:tcW w:w="476" w:type="pct"/>
                  <w:vMerge w:val="restart"/>
                  <w:tcBorders>
                    <w:tl2br w:val="nil"/>
                    <w:tr2bl w:val="nil"/>
                  </w:tcBorders>
                  <w:vAlign w:val="center"/>
                </w:tcPr>
                <w:p w14:paraId="01AE888F">
                  <w:pPr>
                    <w:pStyle w:val="31"/>
                    <w:wordWrap/>
                    <w:jc w:val="center"/>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与现有项目相比增减量</w:t>
                  </w:r>
                </w:p>
              </w:tc>
              <w:tc>
                <w:tcPr>
                  <w:tcW w:w="603" w:type="pct"/>
                  <w:vMerge w:val="restart"/>
                  <w:tcBorders>
                    <w:tl2br w:val="nil"/>
                    <w:tr2bl w:val="nil"/>
                  </w:tcBorders>
                  <w:vAlign w:val="center"/>
                </w:tcPr>
                <w:p w14:paraId="32FDE4D4">
                  <w:pPr>
                    <w:pStyle w:val="31"/>
                    <w:wordWrap/>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val="en-US" w:eastAsia="zh-CN"/>
                    </w:rPr>
                    <w:t>全厂排放量</w:t>
                  </w:r>
                  <w:r>
                    <w:rPr>
                      <w:rFonts w:hint="eastAsia" w:eastAsia="仿宋" w:cs="Times New Roman"/>
                      <w:b/>
                      <w:color w:val="auto"/>
                      <w:sz w:val="21"/>
                      <w:szCs w:val="21"/>
                      <w:highlight w:val="none"/>
                      <w:lang w:val="en-US" w:eastAsia="zh-CN"/>
                    </w:rPr>
                    <w:t>/（固废产生量）</w:t>
                  </w:r>
                </w:p>
              </w:tc>
              <w:tc>
                <w:tcPr>
                  <w:tcW w:w="446" w:type="pct"/>
                  <w:vMerge w:val="restart"/>
                  <w:tcBorders>
                    <w:tl2br w:val="nil"/>
                    <w:tr2bl w:val="nil"/>
                  </w:tcBorders>
                  <w:shd w:val="clear" w:color="auto" w:fill="auto"/>
                  <w:vAlign w:val="center"/>
                </w:tcPr>
                <w:p w14:paraId="28AADCE0">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建议申请量</w:t>
                  </w:r>
                </w:p>
              </w:tc>
            </w:tr>
            <w:tr w14:paraId="6C9A05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51" w:type="pct"/>
                  <w:gridSpan w:val="2"/>
                  <w:vMerge w:val="continue"/>
                  <w:tcBorders>
                    <w:tl2br w:val="nil"/>
                    <w:tr2bl w:val="nil"/>
                  </w:tcBorders>
                  <w:shd w:val="clear" w:color="auto" w:fill="auto"/>
                  <w:vAlign w:val="center"/>
                </w:tcPr>
                <w:p w14:paraId="0C3F19A0">
                  <w:pPr>
                    <w:pStyle w:val="31"/>
                    <w:wordWrap/>
                    <w:jc w:val="center"/>
                    <w:rPr>
                      <w:rFonts w:hint="default" w:ascii="Times New Roman" w:hAnsi="Times New Roman" w:eastAsia="仿宋" w:cs="Times New Roman"/>
                      <w:b/>
                      <w:color w:val="auto"/>
                      <w:sz w:val="21"/>
                      <w:szCs w:val="21"/>
                      <w:highlight w:val="none"/>
                    </w:rPr>
                  </w:pPr>
                </w:p>
              </w:tc>
              <w:tc>
                <w:tcPr>
                  <w:tcW w:w="502" w:type="pct"/>
                  <w:vMerge w:val="continue"/>
                  <w:tcBorders>
                    <w:tl2br w:val="nil"/>
                    <w:tr2bl w:val="nil"/>
                  </w:tcBorders>
                  <w:shd w:val="clear" w:color="auto" w:fill="auto"/>
                  <w:vAlign w:val="center"/>
                </w:tcPr>
                <w:p w14:paraId="444ECA03">
                  <w:pPr>
                    <w:pStyle w:val="31"/>
                    <w:wordWrap/>
                    <w:jc w:val="center"/>
                    <w:rPr>
                      <w:rFonts w:hint="default" w:ascii="Times New Roman" w:hAnsi="Times New Roman" w:eastAsia="仿宋" w:cs="Times New Roman"/>
                      <w:b/>
                      <w:color w:val="auto"/>
                      <w:sz w:val="21"/>
                      <w:szCs w:val="21"/>
                      <w:highlight w:val="none"/>
                    </w:rPr>
                  </w:pPr>
                </w:p>
              </w:tc>
              <w:tc>
                <w:tcPr>
                  <w:tcW w:w="646" w:type="pct"/>
                  <w:vMerge w:val="continue"/>
                  <w:tcBorders>
                    <w:tl2br w:val="nil"/>
                    <w:tr2bl w:val="nil"/>
                  </w:tcBorders>
                  <w:shd w:val="clear" w:color="auto" w:fill="auto"/>
                  <w:vAlign w:val="center"/>
                </w:tcPr>
                <w:p w14:paraId="4BB98848">
                  <w:pPr>
                    <w:pStyle w:val="31"/>
                    <w:wordWrap/>
                    <w:jc w:val="center"/>
                    <w:rPr>
                      <w:rFonts w:hint="default" w:ascii="Times New Roman" w:hAnsi="Times New Roman" w:eastAsia="仿宋" w:cs="Times New Roman"/>
                      <w:b/>
                      <w:color w:val="auto"/>
                      <w:sz w:val="21"/>
                      <w:szCs w:val="21"/>
                      <w:highlight w:val="none"/>
                    </w:rPr>
                  </w:pPr>
                </w:p>
              </w:tc>
              <w:tc>
                <w:tcPr>
                  <w:tcW w:w="501" w:type="pct"/>
                  <w:tcBorders>
                    <w:tl2br w:val="nil"/>
                    <w:tr2bl w:val="nil"/>
                  </w:tcBorders>
                  <w:shd w:val="clear" w:color="auto" w:fill="auto"/>
                  <w:vAlign w:val="center"/>
                </w:tcPr>
                <w:p w14:paraId="084D4600">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产生量</w:t>
                  </w:r>
                </w:p>
              </w:tc>
              <w:tc>
                <w:tcPr>
                  <w:tcW w:w="512" w:type="pct"/>
                  <w:tcBorders>
                    <w:tl2br w:val="nil"/>
                    <w:tr2bl w:val="nil"/>
                  </w:tcBorders>
                  <w:shd w:val="clear" w:color="auto" w:fill="auto"/>
                  <w:vAlign w:val="center"/>
                </w:tcPr>
                <w:p w14:paraId="150A5559">
                  <w:pPr>
                    <w:pStyle w:val="31"/>
                    <w:wordWrap/>
                    <w:jc w:val="center"/>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削减量</w:t>
                  </w:r>
                  <w:r>
                    <w:rPr>
                      <w:rFonts w:hint="default" w:ascii="Times New Roman" w:hAnsi="Times New Roman" w:eastAsia="仿宋" w:cs="Times New Roman"/>
                      <w:b/>
                      <w:color w:val="auto"/>
                      <w:sz w:val="21"/>
                      <w:szCs w:val="21"/>
                      <w:highlight w:val="none"/>
                      <w:lang w:val="en-US" w:eastAsia="zh-CN"/>
                    </w:rPr>
                    <w:t>/处置量</w:t>
                  </w:r>
                </w:p>
              </w:tc>
              <w:tc>
                <w:tcPr>
                  <w:tcW w:w="483" w:type="pct"/>
                  <w:tcBorders>
                    <w:tl2br w:val="nil"/>
                    <w:tr2bl w:val="nil"/>
                  </w:tcBorders>
                  <w:shd w:val="clear" w:color="auto" w:fill="auto"/>
                  <w:vAlign w:val="center"/>
                </w:tcPr>
                <w:p w14:paraId="240EFF79">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排放量</w:t>
                  </w:r>
                </w:p>
              </w:tc>
              <w:tc>
                <w:tcPr>
                  <w:tcW w:w="476" w:type="pct"/>
                  <w:vMerge w:val="continue"/>
                  <w:tcBorders>
                    <w:tl2br w:val="nil"/>
                    <w:tr2bl w:val="nil"/>
                  </w:tcBorders>
                  <w:vAlign w:val="center"/>
                </w:tcPr>
                <w:p w14:paraId="5E887CEC">
                  <w:pPr>
                    <w:pStyle w:val="31"/>
                    <w:wordWrap/>
                    <w:jc w:val="center"/>
                    <w:rPr>
                      <w:rFonts w:hint="default" w:ascii="Times New Roman" w:hAnsi="Times New Roman" w:eastAsia="仿宋" w:cs="Times New Roman"/>
                      <w:color w:val="auto"/>
                      <w:sz w:val="21"/>
                      <w:szCs w:val="21"/>
                      <w:highlight w:val="none"/>
                    </w:rPr>
                  </w:pPr>
                </w:p>
              </w:tc>
              <w:tc>
                <w:tcPr>
                  <w:tcW w:w="476" w:type="pct"/>
                  <w:vMerge w:val="continue"/>
                  <w:tcBorders>
                    <w:tl2br w:val="nil"/>
                    <w:tr2bl w:val="nil"/>
                  </w:tcBorders>
                  <w:vAlign w:val="center"/>
                </w:tcPr>
                <w:p w14:paraId="6ED36C93">
                  <w:pPr>
                    <w:pStyle w:val="31"/>
                    <w:wordWrap/>
                    <w:jc w:val="center"/>
                    <w:rPr>
                      <w:rFonts w:hint="default" w:ascii="Times New Roman" w:hAnsi="Times New Roman" w:eastAsia="仿宋" w:cs="Times New Roman"/>
                      <w:color w:val="auto"/>
                      <w:sz w:val="21"/>
                      <w:szCs w:val="21"/>
                      <w:highlight w:val="none"/>
                    </w:rPr>
                  </w:pPr>
                </w:p>
              </w:tc>
              <w:tc>
                <w:tcPr>
                  <w:tcW w:w="603" w:type="pct"/>
                  <w:vMerge w:val="continue"/>
                  <w:tcBorders>
                    <w:tl2br w:val="nil"/>
                    <w:tr2bl w:val="nil"/>
                  </w:tcBorders>
                  <w:vAlign w:val="center"/>
                </w:tcPr>
                <w:p w14:paraId="7259877E">
                  <w:pPr>
                    <w:pStyle w:val="31"/>
                    <w:wordWrap/>
                    <w:jc w:val="center"/>
                    <w:rPr>
                      <w:rFonts w:hint="default" w:ascii="Times New Roman" w:hAnsi="Times New Roman" w:eastAsia="仿宋" w:cs="Times New Roman"/>
                      <w:color w:val="auto"/>
                      <w:sz w:val="21"/>
                      <w:szCs w:val="21"/>
                      <w:highlight w:val="none"/>
                    </w:rPr>
                  </w:pPr>
                </w:p>
              </w:tc>
              <w:tc>
                <w:tcPr>
                  <w:tcW w:w="446" w:type="pct"/>
                  <w:vMerge w:val="continue"/>
                  <w:tcBorders>
                    <w:tl2br w:val="nil"/>
                    <w:tr2bl w:val="nil"/>
                  </w:tcBorders>
                  <w:shd w:val="clear" w:color="auto" w:fill="auto"/>
                  <w:vAlign w:val="center"/>
                </w:tcPr>
                <w:p w14:paraId="23ED2194">
                  <w:pPr>
                    <w:pStyle w:val="31"/>
                    <w:wordWrap/>
                    <w:jc w:val="center"/>
                    <w:rPr>
                      <w:rFonts w:hint="default" w:ascii="Times New Roman" w:hAnsi="Times New Roman" w:eastAsia="仿宋" w:cs="Times New Roman"/>
                      <w:color w:val="auto"/>
                      <w:sz w:val="21"/>
                      <w:szCs w:val="21"/>
                      <w:highlight w:val="none"/>
                    </w:rPr>
                  </w:pPr>
                </w:p>
              </w:tc>
            </w:tr>
            <w:tr w14:paraId="445CC7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restart"/>
                  <w:tcBorders>
                    <w:tl2br w:val="nil"/>
                    <w:tr2bl w:val="nil"/>
                  </w:tcBorders>
                  <w:shd w:val="clear" w:color="auto" w:fill="auto"/>
                  <w:vAlign w:val="center"/>
                </w:tcPr>
                <w:p w14:paraId="760BC4F7">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w:t>
                  </w:r>
                </w:p>
              </w:tc>
              <w:tc>
                <w:tcPr>
                  <w:tcW w:w="180" w:type="pct"/>
                  <w:vMerge w:val="restart"/>
                  <w:tcBorders>
                    <w:tl2br w:val="nil"/>
                    <w:tr2bl w:val="nil"/>
                  </w:tcBorders>
                  <w:shd w:val="clear" w:color="auto" w:fill="auto"/>
                  <w:vAlign w:val="center"/>
                </w:tcPr>
                <w:p w14:paraId="5490C144">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有组织</w:t>
                  </w:r>
                </w:p>
              </w:tc>
              <w:tc>
                <w:tcPr>
                  <w:tcW w:w="502" w:type="pct"/>
                  <w:tcBorders>
                    <w:tl2br w:val="nil"/>
                    <w:tr2bl w:val="nil"/>
                  </w:tcBorders>
                  <w:shd w:val="clear" w:color="auto" w:fill="auto"/>
                  <w:vAlign w:val="center"/>
                </w:tcPr>
                <w:p w14:paraId="4661076A">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646" w:type="pct"/>
                  <w:tcBorders>
                    <w:tl2br w:val="nil"/>
                    <w:tr2bl w:val="nil"/>
                  </w:tcBorders>
                  <w:shd w:val="clear" w:color="auto" w:fill="auto"/>
                  <w:vAlign w:val="center"/>
                </w:tcPr>
                <w:p w14:paraId="784354F9">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0.1253</w:t>
                  </w:r>
                </w:p>
              </w:tc>
              <w:tc>
                <w:tcPr>
                  <w:tcW w:w="501" w:type="pct"/>
                  <w:tcBorders>
                    <w:tl2br w:val="nil"/>
                    <w:tr2bl w:val="nil"/>
                  </w:tcBorders>
                  <w:shd w:val="clear" w:color="auto" w:fill="auto"/>
                  <w:vAlign w:val="center"/>
                </w:tcPr>
                <w:p w14:paraId="62997AF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1.8997</w:t>
                  </w:r>
                </w:p>
              </w:tc>
              <w:tc>
                <w:tcPr>
                  <w:tcW w:w="512" w:type="pct"/>
                  <w:tcBorders>
                    <w:tl2br w:val="nil"/>
                    <w:tr2bl w:val="nil"/>
                  </w:tcBorders>
                  <w:shd w:val="clear" w:color="auto" w:fill="auto"/>
                  <w:vAlign w:val="center"/>
                </w:tcPr>
                <w:p w14:paraId="0931B0E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1.7757</w:t>
                  </w:r>
                </w:p>
              </w:tc>
              <w:tc>
                <w:tcPr>
                  <w:tcW w:w="483" w:type="pct"/>
                  <w:tcBorders>
                    <w:tl2br w:val="nil"/>
                    <w:tr2bl w:val="nil"/>
                  </w:tcBorders>
                  <w:shd w:val="clear" w:color="auto" w:fill="auto"/>
                  <w:vAlign w:val="center"/>
                </w:tcPr>
                <w:p w14:paraId="29218BC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476" w:type="pct"/>
                  <w:tcBorders>
                    <w:tl2br w:val="nil"/>
                    <w:tr2bl w:val="nil"/>
                  </w:tcBorders>
                  <w:shd w:val="clear" w:color="auto" w:fill="auto"/>
                  <w:vAlign w:val="center"/>
                </w:tcPr>
                <w:p w14:paraId="01558BD3">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0.1253</w:t>
                  </w:r>
                </w:p>
              </w:tc>
              <w:tc>
                <w:tcPr>
                  <w:tcW w:w="476" w:type="pct"/>
                  <w:tcBorders>
                    <w:tl2br w:val="nil"/>
                    <w:tr2bl w:val="nil"/>
                  </w:tcBorders>
                  <w:vAlign w:val="center"/>
                </w:tcPr>
                <w:p w14:paraId="7CE1FA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603" w:type="pct"/>
                  <w:tcBorders>
                    <w:tl2br w:val="nil"/>
                    <w:tr2bl w:val="nil"/>
                  </w:tcBorders>
                  <w:vAlign w:val="center"/>
                </w:tcPr>
                <w:p w14:paraId="17ED8C0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446" w:type="pct"/>
                  <w:tcBorders>
                    <w:tl2br w:val="nil"/>
                    <w:tr2bl w:val="nil"/>
                  </w:tcBorders>
                  <w:shd w:val="clear" w:color="auto" w:fill="auto"/>
                  <w:vAlign w:val="center"/>
                </w:tcPr>
                <w:p w14:paraId="579AFDA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r>
            <w:tr w14:paraId="66F588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6BE28D6D">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49B7E829">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776294D0">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TVOC</w:t>
                  </w:r>
                </w:p>
              </w:tc>
              <w:tc>
                <w:tcPr>
                  <w:tcW w:w="646" w:type="pct"/>
                  <w:tcBorders>
                    <w:tl2br w:val="nil"/>
                    <w:tr2bl w:val="nil"/>
                  </w:tcBorders>
                  <w:shd w:val="clear" w:color="auto" w:fill="auto"/>
                  <w:vAlign w:val="center"/>
                </w:tcPr>
                <w:p w14:paraId="63DA172E">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501" w:type="pct"/>
                  <w:tcBorders>
                    <w:tl2br w:val="nil"/>
                    <w:tr2bl w:val="nil"/>
                  </w:tcBorders>
                  <w:shd w:val="clear" w:color="auto" w:fill="auto"/>
                  <w:vAlign w:val="center"/>
                </w:tcPr>
                <w:p w14:paraId="43B8658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1.8997</w:t>
                  </w:r>
                </w:p>
              </w:tc>
              <w:tc>
                <w:tcPr>
                  <w:tcW w:w="512" w:type="pct"/>
                  <w:tcBorders>
                    <w:tl2br w:val="nil"/>
                    <w:tr2bl w:val="nil"/>
                  </w:tcBorders>
                  <w:shd w:val="clear" w:color="auto" w:fill="auto"/>
                  <w:vAlign w:val="center"/>
                </w:tcPr>
                <w:p w14:paraId="76B1BCC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1.7757</w:t>
                  </w:r>
                </w:p>
              </w:tc>
              <w:tc>
                <w:tcPr>
                  <w:tcW w:w="483" w:type="pct"/>
                  <w:tcBorders>
                    <w:tl2br w:val="nil"/>
                    <w:tr2bl w:val="nil"/>
                  </w:tcBorders>
                  <w:shd w:val="clear" w:color="auto" w:fill="auto"/>
                  <w:vAlign w:val="center"/>
                </w:tcPr>
                <w:p w14:paraId="31CBB1E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476" w:type="pct"/>
                  <w:tcBorders>
                    <w:tl2br w:val="nil"/>
                    <w:tr2bl w:val="nil"/>
                  </w:tcBorders>
                  <w:shd w:val="clear" w:color="auto" w:fill="auto"/>
                  <w:vAlign w:val="center"/>
                </w:tcPr>
                <w:p w14:paraId="67AE3C13">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76" w:type="pct"/>
                  <w:tcBorders>
                    <w:tl2br w:val="nil"/>
                    <w:tr2bl w:val="nil"/>
                  </w:tcBorders>
                  <w:vAlign w:val="center"/>
                </w:tcPr>
                <w:p w14:paraId="28A0B2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0.124</w:t>
                  </w:r>
                </w:p>
              </w:tc>
              <w:tc>
                <w:tcPr>
                  <w:tcW w:w="603" w:type="pct"/>
                  <w:tcBorders>
                    <w:tl2br w:val="nil"/>
                    <w:tr2bl w:val="nil"/>
                  </w:tcBorders>
                  <w:vAlign w:val="center"/>
                </w:tcPr>
                <w:p w14:paraId="30D25D7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446" w:type="pct"/>
                  <w:tcBorders>
                    <w:tl2br w:val="nil"/>
                    <w:tr2bl w:val="nil"/>
                  </w:tcBorders>
                  <w:shd w:val="clear" w:color="auto" w:fill="auto"/>
                  <w:vAlign w:val="center"/>
                </w:tcPr>
                <w:p w14:paraId="1DA2788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r>
            <w:tr w14:paraId="0D07186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6FBB6FD1">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282AF20D">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41CD843E">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颗粒物</w:t>
                  </w:r>
                </w:p>
              </w:tc>
              <w:tc>
                <w:tcPr>
                  <w:tcW w:w="646" w:type="pct"/>
                  <w:tcBorders>
                    <w:tl2br w:val="nil"/>
                    <w:tr2bl w:val="nil"/>
                  </w:tcBorders>
                  <w:shd w:val="clear" w:color="auto" w:fill="auto"/>
                  <w:vAlign w:val="center"/>
                </w:tcPr>
                <w:p w14:paraId="550D9CDA">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0.0974</w:t>
                  </w:r>
                </w:p>
              </w:tc>
              <w:tc>
                <w:tcPr>
                  <w:tcW w:w="501" w:type="pct"/>
                  <w:tcBorders>
                    <w:tl2br w:val="nil"/>
                    <w:tr2bl w:val="nil"/>
                  </w:tcBorders>
                  <w:shd w:val="clear" w:color="auto" w:fill="auto"/>
                  <w:vAlign w:val="center"/>
                </w:tcPr>
                <w:p w14:paraId="5891268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6.6886</w:t>
                  </w:r>
                </w:p>
              </w:tc>
              <w:tc>
                <w:tcPr>
                  <w:tcW w:w="512" w:type="pct"/>
                  <w:tcBorders>
                    <w:tl2br w:val="nil"/>
                    <w:tr2bl w:val="nil"/>
                  </w:tcBorders>
                  <w:shd w:val="clear" w:color="auto" w:fill="auto"/>
                  <w:vAlign w:val="center"/>
                </w:tcPr>
                <w:p w14:paraId="48E2C3B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6.517</w:t>
                  </w:r>
                </w:p>
              </w:tc>
              <w:tc>
                <w:tcPr>
                  <w:tcW w:w="483" w:type="pct"/>
                  <w:tcBorders>
                    <w:tl2br w:val="nil"/>
                    <w:tr2bl w:val="nil"/>
                  </w:tcBorders>
                  <w:shd w:val="clear" w:color="auto" w:fill="auto"/>
                  <w:vAlign w:val="center"/>
                </w:tcPr>
                <w:p w14:paraId="30E19B7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0.1716</w:t>
                  </w:r>
                </w:p>
              </w:tc>
              <w:tc>
                <w:tcPr>
                  <w:tcW w:w="476" w:type="pct"/>
                  <w:tcBorders>
                    <w:tl2br w:val="nil"/>
                    <w:tr2bl w:val="nil"/>
                  </w:tcBorders>
                  <w:shd w:val="clear" w:color="auto" w:fill="auto"/>
                  <w:vAlign w:val="center"/>
                </w:tcPr>
                <w:p w14:paraId="207359AC">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0.0974</w:t>
                  </w:r>
                </w:p>
              </w:tc>
              <w:tc>
                <w:tcPr>
                  <w:tcW w:w="476" w:type="pct"/>
                  <w:tcBorders>
                    <w:tl2br w:val="nil"/>
                    <w:tr2bl w:val="nil"/>
                  </w:tcBorders>
                  <w:vAlign w:val="center"/>
                </w:tcPr>
                <w:p w14:paraId="2CE160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0.0742</w:t>
                  </w:r>
                </w:p>
              </w:tc>
              <w:tc>
                <w:tcPr>
                  <w:tcW w:w="603" w:type="pct"/>
                  <w:tcBorders>
                    <w:tl2br w:val="nil"/>
                    <w:tr2bl w:val="nil"/>
                  </w:tcBorders>
                  <w:vAlign w:val="center"/>
                </w:tcPr>
                <w:p w14:paraId="05BE16B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0.1716</w:t>
                  </w:r>
                </w:p>
              </w:tc>
              <w:tc>
                <w:tcPr>
                  <w:tcW w:w="446" w:type="pct"/>
                  <w:tcBorders>
                    <w:tl2br w:val="nil"/>
                    <w:tr2bl w:val="nil"/>
                  </w:tcBorders>
                  <w:shd w:val="clear" w:color="auto" w:fill="auto"/>
                  <w:vAlign w:val="center"/>
                </w:tcPr>
                <w:p w14:paraId="6EB6A9F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0.1716</w:t>
                  </w:r>
                </w:p>
              </w:tc>
            </w:tr>
            <w:tr w14:paraId="62257AA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2A021395">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5DB68B09">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7462FD1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二氧化硫</w:t>
                  </w:r>
                </w:p>
              </w:tc>
              <w:tc>
                <w:tcPr>
                  <w:tcW w:w="646" w:type="pct"/>
                  <w:tcBorders>
                    <w:tl2br w:val="nil"/>
                    <w:tr2bl w:val="nil"/>
                  </w:tcBorders>
                  <w:shd w:val="clear" w:color="auto" w:fill="auto"/>
                  <w:vAlign w:val="center"/>
                </w:tcPr>
                <w:p w14:paraId="4BE2BB98">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0.14</w:t>
                  </w:r>
                </w:p>
              </w:tc>
              <w:tc>
                <w:tcPr>
                  <w:tcW w:w="501" w:type="pct"/>
                  <w:tcBorders>
                    <w:tl2br w:val="nil"/>
                    <w:tr2bl w:val="nil"/>
                  </w:tcBorders>
                  <w:shd w:val="clear" w:color="auto" w:fill="auto"/>
                  <w:vAlign w:val="center"/>
                </w:tcPr>
                <w:p w14:paraId="7CC11C2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512" w:type="pct"/>
                  <w:tcBorders>
                    <w:tl2br w:val="nil"/>
                    <w:tr2bl w:val="nil"/>
                  </w:tcBorders>
                  <w:shd w:val="clear" w:color="auto" w:fill="auto"/>
                  <w:vAlign w:val="center"/>
                </w:tcPr>
                <w:p w14:paraId="3E2287F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782B40E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476" w:type="pct"/>
                  <w:tcBorders>
                    <w:tl2br w:val="nil"/>
                    <w:tr2bl w:val="nil"/>
                  </w:tcBorders>
                  <w:shd w:val="clear" w:color="auto" w:fill="auto"/>
                  <w:vAlign w:val="center"/>
                </w:tcPr>
                <w:p w14:paraId="3CB4DFED">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0.14</w:t>
                  </w:r>
                </w:p>
              </w:tc>
              <w:tc>
                <w:tcPr>
                  <w:tcW w:w="476" w:type="pct"/>
                  <w:tcBorders>
                    <w:tl2br w:val="nil"/>
                    <w:tr2bl w:val="nil"/>
                  </w:tcBorders>
                  <w:vAlign w:val="center"/>
                </w:tcPr>
                <w:p w14:paraId="6A247F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-0.113</w:t>
                  </w:r>
                </w:p>
              </w:tc>
              <w:tc>
                <w:tcPr>
                  <w:tcW w:w="603" w:type="pct"/>
                  <w:tcBorders>
                    <w:tl2br w:val="nil"/>
                    <w:tr2bl w:val="nil"/>
                  </w:tcBorders>
                  <w:vAlign w:val="center"/>
                </w:tcPr>
                <w:p w14:paraId="4C91A01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446" w:type="pct"/>
                  <w:tcBorders>
                    <w:tl2br w:val="nil"/>
                    <w:tr2bl w:val="nil"/>
                  </w:tcBorders>
                  <w:shd w:val="clear" w:color="auto" w:fill="auto"/>
                  <w:vAlign w:val="center"/>
                </w:tcPr>
                <w:p w14:paraId="490420E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r>
            <w:tr w14:paraId="351C05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1BEAAA7">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449AF8AE">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3FCCD15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氮氧化物</w:t>
                  </w:r>
                </w:p>
              </w:tc>
              <w:tc>
                <w:tcPr>
                  <w:tcW w:w="646" w:type="pct"/>
                  <w:tcBorders>
                    <w:tl2br w:val="nil"/>
                    <w:tr2bl w:val="nil"/>
                  </w:tcBorders>
                  <w:shd w:val="clear" w:color="auto" w:fill="auto"/>
                  <w:vAlign w:val="center"/>
                </w:tcPr>
                <w:p w14:paraId="099D8ADC">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0.748</w:t>
                  </w:r>
                </w:p>
              </w:tc>
              <w:tc>
                <w:tcPr>
                  <w:tcW w:w="501" w:type="pct"/>
                  <w:tcBorders>
                    <w:tl2br w:val="nil"/>
                    <w:tr2bl w:val="nil"/>
                  </w:tcBorders>
                  <w:shd w:val="clear" w:color="auto" w:fill="auto"/>
                  <w:vAlign w:val="center"/>
                </w:tcPr>
                <w:p w14:paraId="5FEF831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0.2522</w:t>
                  </w:r>
                </w:p>
              </w:tc>
              <w:tc>
                <w:tcPr>
                  <w:tcW w:w="512" w:type="pct"/>
                  <w:tcBorders>
                    <w:tl2br w:val="nil"/>
                    <w:tr2bl w:val="nil"/>
                  </w:tcBorders>
                  <w:shd w:val="clear" w:color="auto" w:fill="auto"/>
                  <w:vAlign w:val="center"/>
                </w:tcPr>
                <w:p w14:paraId="2992950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6F04F86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0.2522</w:t>
                  </w:r>
                </w:p>
              </w:tc>
              <w:tc>
                <w:tcPr>
                  <w:tcW w:w="476" w:type="pct"/>
                  <w:tcBorders>
                    <w:tl2br w:val="nil"/>
                    <w:tr2bl w:val="nil"/>
                  </w:tcBorders>
                  <w:shd w:val="clear" w:color="auto" w:fill="auto"/>
                  <w:vAlign w:val="center"/>
                </w:tcPr>
                <w:p w14:paraId="4C54E894">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0.748</w:t>
                  </w:r>
                </w:p>
              </w:tc>
              <w:tc>
                <w:tcPr>
                  <w:tcW w:w="476" w:type="pct"/>
                  <w:tcBorders>
                    <w:tl2br w:val="nil"/>
                    <w:tr2bl w:val="nil"/>
                  </w:tcBorders>
                  <w:vAlign w:val="center"/>
                </w:tcPr>
                <w:p w14:paraId="7EA941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-0.4958</w:t>
                  </w:r>
                </w:p>
              </w:tc>
              <w:tc>
                <w:tcPr>
                  <w:tcW w:w="603" w:type="pct"/>
                  <w:tcBorders>
                    <w:tl2br w:val="nil"/>
                    <w:tr2bl w:val="nil"/>
                  </w:tcBorders>
                  <w:vAlign w:val="center"/>
                </w:tcPr>
                <w:p w14:paraId="376C68F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0.2522</w:t>
                  </w:r>
                </w:p>
              </w:tc>
              <w:tc>
                <w:tcPr>
                  <w:tcW w:w="446" w:type="pct"/>
                  <w:tcBorders>
                    <w:tl2br w:val="nil"/>
                    <w:tr2bl w:val="nil"/>
                  </w:tcBorders>
                  <w:shd w:val="clear" w:color="auto" w:fill="auto"/>
                  <w:vAlign w:val="center"/>
                </w:tcPr>
                <w:p w14:paraId="5D9044F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0.2522</w:t>
                  </w:r>
                </w:p>
              </w:tc>
            </w:tr>
            <w:tr w14:paraId="5D09DD7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CE08A48">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6B77D246">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5DA62DF8">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硫酸雾</w:t>
                  </w:r>
                </w:p>
              </w:tc>
              <w:tc>
                <w:tcPr>
                  <w:tcW w:w="646" w:type="pct"/>
                  <w:tcBorders>
                    <w:tl2br w:val="nil"/>
                    <w:tr2bl w:val="nil"/>
                  </w:tcBorders>
                  <w:shd w:val="clear" w:color="auto" w:fill="auto"/>
                  <w:vAlign w:val="center"/>
                </w:tcPr>
                <w:p w14:paraId="760FEF02">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0.0057</w:t>
                  </w:r>
                </w:p>
              </w:tc>
              <w:tc>
                <w:tcPr>
                  <w:tcW w:w="501" w:type="pct"/>
                  <w:tcBorders>
                    <w:tl2br w:val="nil"/>
                    <w:tr2bl w:val="nil"/>
                  </w:tcBorders>
                  <w:shd w:val="clear" w:color="auto" w:fill="auto"/>
                  <w:vAlign w:val="center"/>
                </w:tcPr>
                <w:p w14:paraId="4310703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0.1021</w:t>
                  </w:r>
                </w:p>
              </w:tc>
              <w:tc>
                <w:tcPr>
                  <w:tcW w:w="512" w:type="pct"/>
                  <w:tcBorders>
                    <w:tl2br w:val="nil"/>
                    <w:tr2bl w:val="nil"/>
                  </w:tcBorders>
                  <w:shd w:val="clear" w:color="auto" w:fill="auto"/>
                  <w:vAlign w:val="center"/>
                </w:tcPr>
                <w:p w14:paraId="4A8CBB7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0.0817</w:t>
                  </w:r>
                </w:p>
              </w:tc>
              <w:tc>
                <w:tcPr>
                  <w:tcW w:w="483" w:type="pct"/>
                  <w:tcBorders>
                    <w:tl2br w:val="nil"/>
                    <w:tr2bl w:val="nil"/>
                  </w:tcBorders>
                  <w:shd w:val="clear" w:color="auto" w:fill="auto"/>
                  <w:vAlign w:val="center"/>
                </w:tcPr>
                <w:p w14:paraId="489D5D7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476" w:type="pct"/>
                  <w:tcBorders>
                    <w:tl2br w:val="nil"/>
                    <w:tr2bl w:val="nil"/>
                  </w:tcBorders>
                  <w:shd w:val="clear" w:color="auto" w:fill="auto"/>
                  <w:vAlign w:val="center"/>
                </w:tcPr>
                <w:p w14:paraId="756F7A26">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0.0057</w:t>
                  </w:r>
                </w:p>
              </w:tc>
              <w:tc>
                <w:tcPr>
                  <w:tcW w:w="476" w:type="pct"/>
                  <w:tcBorders>
                    <w:tl2br w:val="nil"/>
                    <w:tr2bl w:val="nil"/>
                  </w:tcBorders>
                  <w:vAlign w:val="center"/>
                </w:tcPr>
                <w:p w14:paraId="554FA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0.0147</w:t>
                  </w:r>
                </w:p>
              </w:tc>
              <w:tc>
                <w:tcPr>
                  <w:tcW w:w="603" w:type="pct"/>
                  <w:tcBorders>
                    <w:tl2br w:val="nil"/>
                    <w:tr2bl w:val="nil"/>
                  </w:tcBorders>
                  <w:vAlign w:val="center"/>
                </w:tcPr>
                <w:p w14:paraId="49C2F1A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446" w:type="pct"/>
                  <w:tcBorders>
                    <w:tl2br w:val="nil"/>
                    <w:tr2bl w:val="nil"/>
                  </w:tcBorders>
                  <w:shd w:val="clear" w:color="auto" w:fill="auto"/>
                  <w:vAlign w:val="center"/>
                </w:tcPr>
                <w:p w14:paraId="0BDD406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0.0204</w:t>
                  </w:r>
                </w:p>
              </w:tc>
            </w:tr>
            <w:tr w14:paraId="5593C9B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1A1AE039">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58FD38F1">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0854A619">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氯化氢</w:t>
                  </w:r>
                </w:p>
              </w:tc>
              <w:tc>
                <w:tcPr>
                  <w:tcW w:w="646" w:type="pct"/>
                  <w:tcBorders>
                    <w:tl2br w:val="nil"/>
                    <w:tr2bl w:val="nil"/>
                  </w:tcBorders>
                  <w:shd w:val="clear" w:color="auto" w:fill="auto"/>
                  <w:vAlign w:val="center"/>
                </w:tcPr>
                <w:p w14:paraId="42FDFC8D">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0.0021</w:t>
                  </w:r>
                </w:p>
              </w:tc>
              <w:tc>
                <w:tcPr>
                  <w:tcW w:w="501" w:type="pct"/>
                  <w:tcBorders>
                    <w:tl2br w:val="nil"/>
                    <w:tr2bl w:val="nil"/>
                  </w:tcBorders>
                  <w:shd w:val="clear" w:color="auto" w:fill="auto"/>
                  <w:vAlign w:val="center"/>
                </w:tcPr>
                <w:p w14:paraId="4F845FE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512" w:type="pct"/>
                  <w:tcBorders>
                    <w:tl2br w:val="nil"/>
                    <w:tr2bl w:val="nil"/>
                  </w:tcBorders>
                  <w:shd w:val="clear" w:color="auto" w:fill="auto"/>
                  <w:vAlign w:val="center"/>
                </w:tcPr>
                <w:p w14:paraId="2FBEE2E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0.0512</w:t>
                  </w:r>
                </w:p>
              </w:tc>
              <w:tc>
                <w:tcPr>
                  <w:tcW w:w="483" w:type="pct"/>
                  <w:tcBorders>
                    <w:tl2br w:val="nil"/>
                    <w:tr2bl w:val="nil"/>
                  </w:tcBorders>
                  <w:shd w:val="clear" w:color="auto" w:fill="auto"/>
                  <w:vAlign w:val="center"/>
                </w:tcPr>
                <w:p w14:paraId="5005A31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0.0128</w:t>
                  </w:r>
                </w:p>
              </w:tc>
              <w:tc>
                <w:tcPr>
                  <w:tcW w:w="476" w:type="pct"/>
                  <w:tcBorders>
                    <w:tl2br w:val="nil"/>
                    <w:tr2bl w:val="nil"/>
                  </w:tcBorders>
                  <w:shd w:val="clear" w:color="auto" w:fill="auto"/>
                  <w:vAlign w:val="center"/>
                </w:tcPr>
                <w:p w14:paraId="1FFBF070">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0.0021</w:t>
                  </w:r>
                </w:p>
              </w:tc>
              <w:tc>
                <w:tcPr>
                  <w:tcW w:w="476" w:type="pct"/>
                  <w:tcBorders>
                    <w:tl2br w:val="nil"/>
                    <w:tr2bl w:val="nil"/>
                  </w:tcBorders>
                  <w:vAlign w:val="center"/>
                </w:tcPr>
                <w:p w14:paraId="162A7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0.0107</w:t>
                  </w:r>
                </w:p>
              </w:tc>
              <w:tc>
                <w:tcPr>
                  <w:tcW w:w="603" w:type="pct"/>
                  <w:tcBorders>
                    <w:tl2br w:val="nil"/>
                    <w:tr2bl w:val="nil"/>
                  </w:tcBorders>
                  <w:vAlign w:val="center"/>
                </w:tcPr>
                <w:p w14:paraId="62C0DDB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0.0128</w:t>
                  </w:r>
                </w:p>
              </w:tc>
              <w:tc>
                <w:tcPr>
                  <w:tcW w:w="446" w:type="pct"/>
                  <w:tcBorders>
                    <w:tl2br w:val="nil"/>
                    <w:tr2bl w:val="nil"/>
                  </w:tcBorders>
                  <w:shd w:val="clear" w:color="auto" w:fill="auto"/>
                  <w:vAlign w:val="center"/>
                </w:tcPr>
                <w:p w14:paraId="6DB59E4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0.0128</w:t>
                  </w:r>
                </w:p>
              </w:tc>
            </w:tr>
            <w:tr w14:paraId="192745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1F5F5031">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restart"/>
                  <w:tcBorders>
                    <w:tl2br w:val="nil"/>
                    <w:tr2bl w:val="nil"/>
                  </w:tcBorders>
                  <w:shd w:val="clear" w:color="auto" w:fill="auto"/>
                  <w:vAlign w:val="center"/>
                </w:tcPr>
                <w:p w14:paraId="1F4BF8A8">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无组织</w:t>
                  </w:r>
                </w:p>
              </w:tc>
              <w:tc>
                <w:tcPr>
                  <w:tcW w:w="502" w:type="pct"/>
                  <w:tcBorders>
                    <w:tl2br w:val="nil"/>
                    <w:tr2bl w:val="nil"/>
                  </w:tcBorders>
                  <w:shd w:val="clear" w:color="auto" w:fill="auto"/>
                  <w:vAlign w:val="center"/>
                </w:tcPr>
                <w:p w14:paraId="4D23C758">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非甲烷总烃</w:t>
                  </w:r>
                </w:p>
              </w:tc>
              <w:tc>
                <w:tcPr>
                  <w:tcW w:w="646" w:type="pct"/>
                  <w:tcBorders>
                    <w:tl2br w:val="nil"/>
                    <w:tr2bl w:val="nil"/>
                  </w:tcBorders>
                  <w:shd w:val="clear" w:color="auto" w:fill="auto"/>
                  <w:vAlign w:val="center"/>
                </w:tcPr>
                <w:p w14:paraId="3C5C469C">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0.139</w:t>
                  </w:r>
                </w:p>
              </w:tc>
              <w:tc>
                <w:tcPr>
                  <w:tcW w:w="501" w:type="pct"/>
                  <w:tcBorders>
                    <w:tl2br w:val="nil"/>
                    <w:tr2bl w:val="nil"/>
                  </w:tcBorders>
                  <w:shd w:val="clear" w:color="auto" w:fill="auto"/>
                  <w:vAlign w:val="center"/>
                </w:tcPr>
                <w:p w14:paraId="5358BE4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512" w:type="pct"/>
                  <w:tcBorders>
                    <w:tl2br w:val="nil"/>
                    <w:tr2bl w:val="nil"/>
                  </w:tcBorders>
                  <w:shd w:val="clear" w:color="auto" w:fill="auto"/>
                  <w:vAlign w:val="center"/>
                </w:tcPr>
                <w:p w14:paraId="07DA82F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4BD7D9F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476" w:type="pct"/>
                  <w:tcBorders>
                    <w:tl2br w:val="nil"/>
                    <w:tr2bl w:val="nil"/>
                  </w:tcBorders>
                  <w:shd w:val="clear" w:color="auto" w:fill="auto"/>
                  <w:vAlign w:val="center"/>
                </w:tcPr>
                <w:p w14:paraId="4EA09FAC">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0.139</w:t>
                  </w:r>
                </w:p>
              </w:tc>
              <w:tc>
                <w:tcPr>
                  <w:tcW w:w="476" w:type="pct"/>
                  <w:tcBorders>
                    <w:tl2br w:val="nil"/>
                    <w:tr2bl w:val="nil"/>
                  </w:tcBorders>
                  <w:vAlign w:val="center"/>
                </w:tcPr>
                <w:p w14:paraId="03D0D1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0.0721</w:t>
                  </w:r>
                </w:p>
              </w:tc>
              <w:tc>
                <w:tcPr>
                  <w:tcW w:w="603" w:type="pct"/>
                  <w:tcBorders>
                    <w:tl2br w:val="nil"/>
                    <w:tr2bl w:val="nil"/>
                  </w:tcBorders>
                  <w:vAlign w:val="center"/>
                </w:tcPr>
                <w:p w14:paraId="73874F3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446" w:type="pct"/>
                  <w:tcBorders>
                    <w:tl2br w:val="nil"/>
                    <w:tr2bl w:val="nil"/>
                  </w:tcBorders>
                  <w:shd w:val="clear" w:color="auto" w:fill="auto"/>
                  <w:vAlign w:val="center"/>
                </w:tcPr>
                <w:p w14:paraId="2ADDA8D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0.2111</w:t>
                  </w:r>
                </w:p>
              </w:tc>
            </w:tr>
            <w:tr w14:paraId="4E9D2DE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203A4D2B">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536A5D49">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59FFF3E7">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颗粒物</w:t>
                  </w:r>
                </w:p>
              </w:tc>
              <w:tc>
                <w:tcPr>
                  <w:tcW w:w="646" w:type="pct"/>
                  <w:tcBorders>
                    <w:tl2br w:val="nil"/>
                    <w:tr2bl w:val="nil"/>
                  </w:tcBorders>
                  <w:shd w:val="clear" w:color="auto" w:fill="auto"/>
                  <w:vAlign w:val="center"/>
                </w:tcPr>
                <w:p w14:paraId="65196E3C">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0.096</w:t>
                  </w:r>
                </w:p>
              </w:tc>
              <w:tc>
                <w:tcPr>
                  <w:tcW w:w="501" w:type="pct"/>
                  <w:tcBorders>
                    <w:tl2br w:val="nil"/>
                    <w:tr2bl w:val="nil"/>
                  </w:tcBorders>
                  <w:shd w:val="clear" w:color="auto" w:fill="auto"/>
                  <w:vAlign w:val="center"/>
                </w:tcPr>
                <w:p w14:paraId="1F9C977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7.0043</w:t>
                  </w:r>
                </w:p>
              </w:tc>
              <w:tc>
                <w:tcPr>
                  <w:tcW w:w="512" w:type="pct"/>
                  <w:tcBorders>
                    <w:tl2br w:val="nil"/>
                    <w:tr2bl w:val="nil"/>
                  </w:tcBorders>
                  <w:shd w:val="clear" w:color="auto" w:fill="auto"/>
                  <w:vAlign w:val="center"/>
                </w:tcPr>
                <w:p w14:paraId="71E40F0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0.21</w:t>
                  </w:r>
                </w:p>
              </w:tc>
              <w:tc>
                <w:tcPr>
                  <w:tcW w:w="483" w:type="pct"/>
                  <w:tcBorders>
                    <w:tl2br w:val="nil"/>
                    <w:tr2bl w:val="nil"/>
                  </w:tcBorders>
                  <w:shd w:val="clear" w:color="auto" w:fill="auto"/>
                  <w:vAlign w:val="center"/>
                </w:tcPr>
                <w:p w14:paraId="4263DDC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1443</w:t>
                  </w:r>
                </w:p>
              </w:tc>
              <w:tc>
                <w:tcPr>
                  <w:tcW w:w="476" w:type="pct"/>
                  <w:tcBorders>
                    <w:tl2br w:val="nil"/>
                    <w:tr2bl w:val="nil"/>
                  </w:tcBorders>
                  <w:shd w:val="clear" w:color="auto" w:fill="auto"/>
                  <w:vAlign w:val="center"/>
                </w:tcPr>
                <w:p w14:paraId="0963E0E1">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0.096</w:t>
                  </w:r>
                </w:p>
              </w:tc>
              <w:tc>
                <w:tcPr>
                  <w:tcW w:w="476" w:type="pct"/>
                  <w:tcBorders>
                    <w:tl2br w:val="nil"/>
                    <w:tr2bl w:val="nil"/>
                  </w:tcBorders>
                  <w:vAlign w:val="center"/>
                </w:tcPr>
                <w:p w14:paraId="466B52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0.0483</w:t>
                  </w:r>
                </w:p>
              </w:tc>
              <w:tc>
                <w:tcPr>
                  <w:tcW w:w="603" w:type="pct"/>
                  <w:tcBorders>
                    <w:tl2br w:val="nil"/>
                    <w:tr2bl w:val="nil"/>
                  </w:tcBorders>
                  <w:vAlign w:val="center"/>
                </w:tcPr>
                <w:p w14:paraId="403E31F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1443</w:t>
                  </w:r>
                </w:p>
              </w:tc>
              <w:tc>
                <w:tcPr>
                  <w:tcW w:w="446" w:type="pct"/>
                  <w:tcBorders>
                    <w:tl2br w:val="nil"/>
                    <w:tr2bl w:val="nil"/>
                  </w:tcBorders>
                  <w:shd w:val="clear" w:color="auto" w:fill="auto"/>
                  <w:vAlign w:val="center"/>
                </w:tcPr>
                <w:p w14:paraId="4DDA597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1443</w:t>
                  </w:r>
                </w:p>
              </w:tc>
            </w:tr>
            <w:tr w14:paraId="352B38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DABE84E">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6F3B90B0">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0040CA7D">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二氧化硫</w:t>
                  </w:r>
                </w:p>
              </w:tc>
              <w:tc>
                <w:tcPr>
                  <w:tcW w:w="646" w:type="pct"/>
                  <w:tcBorders>
                    <w:tl2br w:val="nil"/>
                    <w:tr2bl w:val="nil"/>
                  </w:tcBorders>
                  <w:shd w:val="clear" w:color="auto" w:fill="auto"/>
                  <w:vAlign w:val="center"/>
                </w:tcPr>
                <w:p w14:paraId="3A67155F">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501" w:type="pct"/>
                  <w:tcBorders>
                    <w:tl2br w:val="nil"/>
                    <w:tr2bl w:val="nil"/>
                  </w:tcBorders>
                  <w:shd w:val="clear" w:color="auto" w:fill="auto"/>
                  <w:vAlign w:val="center"/>
                </w:tcPr>
                <w:p w14:paraId="660E3B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512" w:type="pct"/>
                  <w:tcBorders>
                    <w:tl2br w:val="nil"/>
                    <w:tr2bl w:val="nil"/>
                  </w:tcBorders>
                  <w:shd w:val="clear" w:color="auto" w:fill="auto"/>
                  <w:vAlign w:val="center"/>
                </w:tcPr>
                <w:p w14:paraId="42BAF8F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3E4F760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476" w:type="pct"/>
                  <w:tcBorders>
                    <w:tl2br w:val="nil"/>
                    <w:tr2bl w:val="nil"/>
                  </w:tcBorders>
                  <w:shd w:val="clear" w:color="auto" w:fill="auto"/>
                  <w:vAlign w:val="center"/>
                </w:tcPr>
                <w:p w14:paraId="07722A8D">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76" w:type="pct"/>
                  <w:tcBorders>
                    <w:tl2br w:val="nil"/>
                    <w:tr2bl w:val="nil"/>
                  </w:tcBorders>
                  <w:vAlign w:val="center"/>
                </w:tcPr>
                <w:p w14:paraId="564E55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0.003</w:t>
                  </w:r>
                </w:p>
              </w:tc>
              <w:tc>
                <w:tcPr>
                  <w:tcW w:w="603" w:type="pct"/>
                  <w:tcBorders>
                    <w:tl2br w:val="nil"/>
                    <w:tr2bl w:val="nil"/>
                  </w:tcBorders>
                  <w:vAlign w:val="center"/>
                </w:tcPr>
                <w:p w14:paraId="32AB434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446" w:type="pct"/>
                  <w:tcBorders>
                    <w:tl2br w:val="nil"/>
                    <w:tr2bl w:val="nil"/>
                  </w:tcBorders>
                  <w:shd w:val="clear" w:color="auto" w:fill="auto"/>
                  <w:vAlign w:val="center"/>
                </w:tcPr>
                <w:p w14:paraId="5D6692D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r>
            <w:tr w14:paraId="62ECF27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0863BA8D">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63A3CAE3">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196C2A39">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氮氧化物</w:t>
                  </w:r>
                </w:p>
              </w:tc>
              <w:tc>
                <w:tcPr>
                  <w:tcW w:w="646" w:type="pct"/>
                  <w:tcBorders>
                    <w:tl2br w:val="nil"/>
                    <w:tr2bl w:val="nil"/>
                  </w:tcBorders>
                  <w:shd w:val="clear" w:color="auto" w:fill="auto"/>
                  <w:vAlign w:val="center"/>
                </w:tcPr>
                <w:p w14:paraId="4C00B5EE">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501" w:type="pct"/>
                  <w:tcBorders>
                    <w:tl2br w:val="nil"/>
                    <w:tr2bl w:val="nil"/>
                  </w:tcBorders>
                  <w:shd w:val="clear" w:color="auto" w:fill="auto"/>
                  <w:vAlign w:val="center"/>
                </w:tcPr>
                <w:p w14:paraId="24881B8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512" w:type="pct"/>
                  <w:tcBorders>
                    <w:tl2br w:val="nil"/>
                    <w:tr2bl w:val="nil"/>
                  </w:tcBorders>
                  <w:shd w:val="clear" w:color="auto" w:fill="auto"/>
                  <w:vAlign w:val="center"/>
                </w:tcPr>
                <w:p w14:paraId="6A9B0B0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7E72C79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476" w:type="pct"/>
                  <w:tcBorders>
                    <w:tl2br w:val="nil"/>
                    <w:tr2bl w:val="nil"/>
                  </w:tcBorders>
                  <w:shd w:val="clear" w:color="auto" w:fill="auto"/>
                  <w:vAlign w:val="center"/>
                </w:tcPr>
                <w:p w14:paraId="2B4ACEA7">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76" w:type="pct"/>
                  <w:tcBorders>
                    <w:tl2br w:val="nil"/>
                    <w:tr2bl w:val="nil"/>
                  </w:tcBorders>
                  <w:vAlign w:val="center"/>
                </w:tcPr>
                <w:p w14:paraId="28634C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0.0283</w:t>
                  </w:r>
                </w:p>
              </w:tc>
              <w:tc>
                <w:tcPr>
                  <w:tcW w:w="603" w:type="pct"/>
                  <w:tcBorders>
                    <w:tl2br w:val="nil"/>
                    <w:tr2bl w:val="nil"/>
                  </w:tcBorders>
                  <w:vAlign w:val="center"/>
                </w:tcPr>
                <w:p w14:paraId="6B42CEB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446" w:type="pct"/>
                  <w:tcBorders>
                    <w:tl2br w:val="nil"/>
                    <w:tr2bl w:val="nil"/>
                  </w:tcBorders>
                  <w:shd w:val="clear" w:color="auto" w:fill="auto"/>
                  <w:vAlign w:val="center"/>
                </w:tcPr>
                <w:p w14:paraId="17D34D5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0.0283</w:t>
                  </w:r>
                </w:p>
              </w:tc>
            </w:tr>
            <w:tr w14:paraId="4BB76A6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73AA384">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5A3F7870">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7E85B945">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硫酸雾</w:t>
                  </w:r>
                </w:p>
              </w:tc>
              <w:tc>
                <w:tcPr>
                  <w:tcW w:w="646" w:type="pct"/>
                  <w:tcBorders>
                    <w:tl2br w:val="nil"/>
                    <w:tr2bl w:val="nil"/>
                  </w:tcBorders>
                  <w:shd w:val="clear" w:color="auto" w:fill="auto"/>
                  <w:vAlign w:val="center"/>
                </w:tcPr>
                <w:p w14:paraId="5705828A">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0.0063</w:t>
                  </w:r>
                </w:p>
              </w:tc>
              <w:tc>
                <w:tcPr>
                  <w:tcW w:w="501" w:type="pct"/>
                  <w:tcBorders>
                    <w:tl2br w:val="nil"/>
                    <w:tr2bl w:val="nil"/>
                  </w:tcBorders>
                  <w:shd w:val="clear" w:color="auto" w:fill="auto"/>
                  <w:vAlign w:val="center"/>
                </w:tcPr>
                <w:p w14:paraId="557F764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512" w:type="pct"/>
                  <w:tcBorders>
                    <w:tl2br w:val="nil"/>
                    <w:tr2bl w:val="nil"/>
                  </w:tcBorders>
                  <w:shd w:val="clear" w:color="auto" w:fill="auto"/>
                  <w:vAlign w:val="center"/>
                </w:tcPr>
                <w:p w14:paraId="32CB354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4A7471B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476" w:type="pct"/>
                  <w:tcBorders>
                    <w:tl2br w:val="nil"/>
                    <w:tr2bl w:val="nil"/>
                  </w:tcBorders>
                  <w:shd w:val="clear" w:color="auto" w:fill="auto"/>
                  <w:vAlign w:val="center"/>
                </w:tcPr>
                <w:p w14:paraId="73065300">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0.0063</w:t>
                  </w:r>
                </w:p>
              </w:tc>
              <w:tc>
                <w:tcPr>
                  <w:tcW w:w="476" w:type="pct"/>
                  <w:tcBorders>
                    <w:tl2br w:val="nil"/>
                    <w:tr2bl w:val="nil"/>
                  </w:tcBorders>
                  <w:vAlign w:val="center"/>
                </w:tcPr>
                <w:p w14:paraId="35950A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0.005</w:t>
                  </w:r>
                </w:p>
              </w:tc>
              <w:tc>
                <w:tcPr>
                  <w:tcW w:w="603" w:type="pct"/>
                  <w:tcBorders>
                    <w:tl2br w:val="nil"/>
                    <w:tr2bl w:val="nil"/>
                  </w:tcBorders>
                  <w:vAlign w:val="center"/>
                </w:tcPr>
                <w:p w14:paraId="052C53F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446" w:type="pct"/>
                  <w:tcBorders>
                    <w:tl2br w:val="nil"/>
                    <w:tr2bl w:val="nil"/>
                  </w:tcBorders>
                  <w:shd w:val="clear" w:color="auto" w:fill="auto"/>
                  <w:vAlign w:val="center"/>
                </w:tcPr>
                <w:p w14:paraId="71B9E35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r>
            <w:tr w14:paraId="6FC184E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80B706A">
                  <w:pPr>
                    <w:pStyle w:val="31"/>
                    <w:wordWrap/>
                    <w:jc w:val="center"/>
                    <w:rPr>
                      <w:rFonts w:hint="default" w:ascii="Times New Roman" w:hAnsi="Times New Roman" w:eastAsia="仿宋" w:cs="Times New Roman"/>
                      <w:color w:val="auto"/>
                      <w:sz w:val="21"/>
                      <w:szCs w:val="21"/>
                      <w:highlight w:val="none"/>
                      <w:lang w:val="en-US" w:eastAsia="zh-CN"/>
                    </w:rPr>
                  </w:pPr>
                </w:p>
              </w:tc>
              <w:tc>
                <w:tcPr>
                  <w:tcW w:w="180" w:type="pct"/>
                  <w:vMerge w:val="continue"/>
                  <w:tcBorders>
                    <w:tl2br w:val="nil"/>
                    <w:tr2bl w:val="nil"/>
                  </w:tcBorders>
                  <w:shd w:val="clear" w:color="auto" w:fill="auto"/>
                  <w:vAlign w:val="center"/>
                </w:tcPr>
                <w:p w14:paraId="112170CC">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40D1B995">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氯化氢</w:t>
                  </w:r>
                </w:p>
              </w:tc>
              <w:tc>
                <w:tcPr>
                  <w:tcW w:w="646" w:type="pct"/>
                  <w:tcBorders>
                    <w:tl2br w:val="nil"/>
                    <w:tr2bl w:val="nil"/>
                  </w:tcBorders>
                  <w:shd w:val="clear" w:color="auto" w:fill="auto"/>
                  <w:vAlign w:val="center"/>
                </w:tcPr>
                <w:p w14:paraId="5ACFFAFC">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0.0023</w:t>
                  </w:r>
                </w:p>
              </w:tc>
              <w:tc>
                <w:tcPr>
                  <w:tcW w:w="501" w:type="pct"/>
                  <w:tcBorders>
                    <w:tl2br w:val="nil"/>
                    <w:tr2bl w:val="nil"/>
                  </w:tcBorders>
                  <w:shd w:val="clear" w:color="auto" w:fill="auto"/>
                  <w:vAlign w:val="center"/>
                </w:tcPr>
                <w:p w14:paraId="633EF82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512" w:type="pct"/>
                  <w:tcBorders>
                    <w:tl2br w:val="nil"/>
                    <w:tr2bl w:val="nil"/>
                  </w:tcBorders>
                  <w:shd w:val="clear" w:color="auto" w:fill="auto"/>
                  <w:vAlign w:val="center"/>
                </w:tcPr>
                <w:p w14:paraId="340576C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483" w:type="pct"/>
                  <w:tcBorders>
                    <w:tl2br w:val="nil"/>
                    <w:tr2bl w:val="nil"/>
                  </w:tcBorders>
                  <w:shd w:val="clear" w:color="auto" w:fill="auto"/>
                  <w:vAlign w:val="center"/>
                </w:tcPr>
                <w:p w14:paraId="076557A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476" w:type="pct"/>
                  <w:tcBorders>
                    <w:tl2br w:val="nil"/>
                    <w:tr2bl w:val="nil"/>
                  </w:tcBorders>
                  <w:shd w:val="clear" w:color="auto" w:fill="auto"/>
                  <w:vAlign w:val="center"/>
                </w:tcPr>
                <w:p w14:paraId="6B7F4C0E">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0.0023</w:t>
                  </w:r>
                </w:p>
              </w:tc>
              <w:tc>
                <w:tcPr>
                  <w:tcW w:w="476" w:type="pct"/>
                  <w:tcBorders>
                    <w:tl2br w:val="nil"/>
                    <w:tr2bl w:val="nil"/>
                  </w:tcBorders>
                  <w:vAlign w:val="center"/>
                </w:tcPr>
                <w:p w14:paraId="2A1A91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0.0048</w:t>
                  </w:r>
                </w:p>
              </w:tc>
              <w:tc>
                <w:tcPr>
                  <w:tcW w:w="603" w:type="pct"/>
                  <w:tcBorders>
                    <w:tl2br w:val="nil"/>
                    <w:tr2bl w:val="nil"/>
                  </w:tcBorders>
                  <w:vAlign w:val="center"/>
                </w:tcPr>
                <w:p w14:paraId="516B10C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446" w:type="pct"/>
                  <w:tcBorders>
                    <w:tl2br w:val="nil"/>
                    <w:tr2bl w:val="nil"/>
                  </w:tcBorders>
                  <w:shd w:val="clear" w:color="auto" w:fill="auto"/>
                  <w:vAlign w:val="center"/>
                </w:tcPr>
                <w:p w14:paraId="5CF2D5C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r>
            <w:tr w14:paraId="2172FA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restart"/>
                  <w:tcBorders>
                    <w:tl2br w:val="nil"/>
                    <w:tr2bl w:val="nil"/>
                  </w:tcBorders>
                  <w:shd w:val="clear" w:color="auto" w:fill="auto"/>
                  <w:vAlign w:val="center"/>
                </w:tcPr>
                <w:p w14:paraId="3B3C80F4">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w:t>
                  </w:r>
                </w:p>
              </w:tc>
              <w:tc>
                <w:tcPr>
                  <w:tcW w:w="180" w:type="pct"/>
                  <w:vMerge w:val="restart"/>
                  <w:tcBorders>
                    <w:tl2br w:val="nil"/>
                    <w:tr2bl w:val="nil"/>
                  </w:tcBorders>
                  <w:shd w:val="clear" w:color="auto" w:fill="auto"/>
                  <w:vAlign w:val="center"/>
                </w:tcPr>
                <w:p w14:paraId="0CA902D4">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生活污水</w:t>
                  </w:r>
                </w:p>
              </w:tc>
              <w:tc>
                <w:tcPr>
                  <w:tcW w:w="502" w:type="pct"/>
                  <w:tcBorders>
                    <w:tl2br w:val="nil"/>
                    <w:tr2bl w:val="nil"/>
                  </w:tcBorders>
                  <w:shd w:val="clear" w:color="auto" w:fill="auto"/>
                  <w:vAlign w:val="center"/>
                </w:tcPr>
                <w:p w14:paraId="7DD4F7EA">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水量</w:t>
                  </w:r>
                </w:p>
              </w:tc>
              <w:tc>
                <w:tcPr>
                  <w:tcW w:w="646" w:type="pct"/>
                  <w:tcBorders>
                    <w:tl2br w:val="nil"/>
                    <w:tr2bl w:val="nil"/>
                  </w:tcBorders>
                  <w:shd w:val="clear" w:color="auto" w:fill="auto"/>
                  <w:vAlign w:val="center"/>
                </w:tcPr>
                <w:p w14:paraId="5957D642">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1080</w:t>
                  </w:r>
                </w:p>
              </w:tc>
              <w:tc>
                <w:tcPr>
                  <w:tcW w:w="501" w:type="pct"/>
                  <w:tcBorders>
                    <w:tl2br w:val="nil"/>
                    <w:tr2bl w:val="nil"/>
                  </w:tcBorders>
                  <w:shd w:val="clear" w:color="auto" w:fill="auto"/>
                  <w:vAlign w:val="center"/>
                </w:tcPr>
                <w:p w14:paraId="621A8763">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512" w:type="pct"/>
                  <w:tcBorders>
                    <w:tl2br w:val="nil"/>
                    <w:tr2bl w:val="nil"/>
                  </w:tcBorders>
                  <w:shd w:val="clear" w:color="auto" w:fill="auto"/>
                  <w:vAlign w:val="center"/>
                </w:tcPr>
                <w:p w14:paraId="5C08FF63">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83" w:type="pct"/>
                  <w:tcBorders>
                    <w:tl2br w:val="nil"/>
                    <w:tr2bl w:val="nil"/>
                  </w:tcBorders>
                  <w:shd w:val="clear" w:color="auto" w:fill="auto"/>
                  <w:vAlign w:val="center"/>
                </w:tcPr>
                <w:p w14:paraId="27433393">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76" w:type="pct"/>
                  <w:tcBorders>
                    <w:tl2br w:val="nil"/>
                    <w:tr2bl w:val="nil"/>
                  </w:tcBorders>
                  <w:shd w:val="clear" w:color="auto" w:fill="auto"/>
                  <w:vAlign w:val="center"/>
                </w:tcPr>
                <w:p w14:paraId="6EF95424">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0</w:t>
                  </w:r>
                </w:p>
              </w:tc>
              <w:tc>
                <w:tcPr>
                  <w:tcW w:w="476" w:type="pct"/>
                  <w:tcBorders>
                    <w:tl2br w:val="nil"/>
                    <w:tr2bl w:val="nil"/>
                  </w:tcBorders>
                  <w:shd w:val="clear" w:color="auto" w:fill="auto"/>
                  <w:vAlign w:val="center"/>
                </w:tcPr>
                <w:p w14:paraId="691E884D">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eastAsia" w:eastAsia="仿宋" w:cs="Times New Roman"/>
                      <w:color w:val="auto"/>
                      <w:kern w:val="2"/>
                      <w:sz w:val="21"/>
                      <w:szCs w:val="21"/>
                      <w:highlight w:val="none"/>
                      <w:u w:val="none"/>
                      <w:lang w:val="en-US" w:eastAsia="zh-CN" w:bidi="ar"/>
                    </w:rPr>
                    <w:t>0</w:t>
                  </w:r>
                </w:p>
              </w:tc>
              <w:tc>
                <w:tcPr>
                  <w:tcW w:w="603" w:type="pct"/>
                  <w:tcBorders>
                    <w:tl2br w:val="nil"/>
                    <w:tr2bl w:val="nil"/>
                  </w:tcBorders>
                  <w:shd w:val="clear" w:color="auto" w:fill="auto"/>
                  <w:vAlign w:val="center"/>
                </w:tcPr>
                <w:p w14:paraId="634E485C">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1080</w:t>
                  </w:r>
                </w:p>
              </w:tc>
              <w:tc>
                <w:tcPr>
                  <w:tcW w:w="446" w:type="pct"/>
                  <w:tcBorders>
                    <w:tl2br w:val="nil"/>
                    <w:tr2bl w:val="nil"/>
                  </w:tcBorders>
                  <w:shd w:val="clear" w:color="auto" w:fill="auto"/>
                  <w:vAlign w:val="center"/>
                </w:tcPr>
                <w:p w14:paraId="5077B8D8">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w:t>
                  </w:r>
                </w:p>
              </w:tc>
            </w:tr>
            <w:tr w14:paraId="0CAA6EA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4955781D">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27C5C9D8">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376210F6">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646" w:type="pct"/>
                  <w:tcBorders>
                    <w:tl2br w:val="nil"/>
                    <w:tr2bl w:val="nil"/>
                  </w:tcBorders>
                  <w:shd w:val="clear" w:color="auto" w:fill="auto"/>
                  <w:vAlign w:val="center"/>
                </w:tcPr>
                <w:p w14:paraId="23FF3876">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0.372</w:t>
                  </w:r>
                </w:p>
              </w:tc>
              <w:tc>
                <w:tcPr>
                  <w:tcW w:w="501" w:type="pct"/>
                  <w:tcBorders>
                    <w:tl2br w:val="nil"/>
                    <w:tr2bl w:val="nil"/>
                  </w:tcBorders>
                  <w:shd w:val="clear" w:color="auto" w:fill="auto"/>
                  <w:vAlign w:val="center"/>
                </w:tcPr>
                <w:p w14:paraId="4A12FD34">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512" w:type="pct"/>
                  <w:tcBorders>
                    <w:tl2br w:val="nil"/>
                    <w:tr2bl w:val="nil"/>
                  </w:tcBorders>
                  <w:shd w:val="clear" w:color="auto" w:fill="auto"/>
                  <w:vAlign w:val="center"/>
                </w:tcPr>
                <w:p w14:paraId="09A03373">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83" w:type="pct"/>
                  <w:tcBorders>
                    <w:tl2br w:val="nil"/>
                    <w:tr2bl w:val="nil"/>
                  </w:tcBorders>
                  <w:shd w:val="clear" w:color="auto" w:fill="auto"/>
                  <w:vAlign w:val="center"/>
                </w:tcPr>
                <w:p w14:paraId="4E21699E">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0</w:t>
                  </w:r>
                </w:p>
              </w:tc>
              <w:tc>
                <w:tcPr>
                  <w:tcW w:w="476" w:type="pct"/>
                  <w:tcBorders>
                    <w:tl2br w:val="nil"/>
                    <w:tr2bl w:val="nil"/>
                  </w:tcBorders>
                  <w:shd w:val="clear" w:color="auto" w:fill="auto"/>
                  <w:vAlign w:val="center"/>
                </w:tcPr>
                <w:p w14:paraId="5DC8FC7F">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0</w:t>
                  </w:r>
                </w:p>
              </w:tc>
              <w:tc>
                <w:tcPr>
                  <w:tcW w:w="476" w:type="pct"/>
                  <w:tcBorders>
                    <w:tl2br w:val="nil"/>
                    <w:tr2bl w:val="nil"/>
                  </w:tcBorders>
                  <w:shd w:val="clear" w:color="auto" w:fill="auto"/>
                  <w:vAlign w:val="center"/>
                </w:tcPr>
                <w:p w14:paraId="4ACB267D">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eastAsia" w:eastAsia="仿宋" w:cs="Times New Roman"/>
                      <w:color w:val="auto"/>
                      <w:kern w:val="2"/>
                      <w:sz w:val="21"/>
                      <w:szCs w:val="21"/>
                      <w:highlight w:val="none"/>
                      <w:u w:val="none"/>
                      <w:lang w:val="en-US" w:eastAsia="zh-CN" w:bidi="ar"/>
                    </w:rPr>
                    <w:t>0</w:t>
                  </w:r>
                </w:p>
              </w:tc>
              <w:tc>
                <w:tcPr>
                  <w:tcW w:w="603" w:type="pct"/>
                  <w:tcBorders>
                    <w:tl2br w:val="nil"/>
                    <w:tr2bl w:val="nil"/>
                  </w:tcBorders>
                  <w:shd w:val="clear" w:color="auto" w:fill="auto"/>
                  <w:vAlign w:val="center"/>
                </w:tcPr>
                <w:p w14:paraId="732439E0">
                  <w:pPr>
                    <w:widowControl/>
                    <w:autoSpaceDE w:val="0"/>
                    <w:autoSpaceDN w:val="0"/>
                    <w:jc w:val="center"/>
                    <w:rPr>
                      <w:rFonts w:hint="default" w:ascii="Times New Roman" w:hAnsi="Times New Roman" w:eastAsia="仿宋" w:cs="Times New Roman"/>
                      <w:color w:val="auto"/>
                      <w:kern w:val="2"/>
                      <w:sz w:val="21"/>
                      <w:szCs w:val="21"/>
                      <w:highlight w:val="none"/>
                      <w:u w:val="none"/>
                      <w:lang w:val="en-US" w:eastAsia="zh-CN" w:bidi="ar"/>
                    </w:rPr>
                  </w:pPr>
                  <w:r>
                    <w:rPr>
                      <w:rFonts w:hint="default" w:ascii="Times New Roman" w:hAnsi="Times New Roman" w:eastAsia="仿宋" w:cs="Times New Roman"/>
                      <w:color w:val="auto"/>
                      <w:kern w:val="2"/>
                      <w:sz w:val="21"/>
                      <w:szCs w:val="21"/>
                      <w:highlight w:val="none"/>
                      <w:u w:val="none"/>
                      <w:lang w:val="en-US" w:eastAsia="zh-CN" w:bidi="ar"/>
                    </w:rPr>
                    <w:t>0.372</w:t>
                  </w:r>
                </w:p>
              </w:tc>
              <w:tc>
                <w:tcPr>
                  <w:tcW w:w="446" w:type="pct"/>
                  <w:tcBorders>
                    <w:tl2br w:val="nil"/>
                    <w:tr2bl w:val="nil"/>
                  </w:tcBorders>
                  <w:shd w:val="clear" w:color="auto" w:fill="auto"/>
                  <w:vAlign w:val="center"/>
                </w:tcPr>
                <w:p w14:paraId="1C1633C3">
                  <w:pPr>
                    <w:widowControl/>
                    <w:autoSpaceDE w:val="0"/>
                    <w:autoSpaceDN w:val="0"/>
                    <w:jc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w:t>
                  </w:r>
                </w:p>
              </w:tc>
            </w:tr>
            <w:tr w14:paraId="413CC70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12CA9C3">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046A6397">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257DF8BE">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646" w:type="pct"/>
                  <w:tcBorders>
                    <w:tl2br w:val="nil"/>
                    <w:tr2bl w:val="nil"/>
                  </w:tcBorders>
                  <w:shd w:val="clear" w:color="auto" w:fill="auto"/>
                  <w:vAlign w:val="center"/>
                </w:tcPr>
                <w:p w14:paraId="253F207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0.24</w:t>
                  </w:r>
                </w:p>
              </w:tc>
              <w:tc>
                <w:tcPr>
                  <w:tcW w:w="501" w:type="pct"/>
                  <w:tcBorders>
                    <w:tl2br w:val="nil"/>
                    <w:tr2bl w:val="nil"/>
                  </w:tcBorders>
                  <w:shd w:val="clear" w:color="auto" w:fill="auto"/>
                  <w:vAlign w:val="center"/>
                </w:tcPr>
                <w:p w14:paraId="0713577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512" w:type="pct"/>
                  <w:tcBorders>
                    <w:tl2br w:val="nil"/>
                    <w:tr2bl w:val="nil"/>
                  </w:tcBorders>
                  <w:shd w:val="clear" w:color="auto" w:fill="auto"/>
                  <w:vAlign w:val="center"/>
                </w:tcPr>
                <w:p w14:paraId="0F7550C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3" w:type="pct"/>
                  <w:tcBorders>
                    <w:tl2br w:val="nil"/>
                    <w:tr2bl w:val="nil"/>
                  </w:tcBorders>
                  <w:shd w:val="clear" w:color="auto" w:fill="auto"/>
                  <w:vAlign w:val="center"/>
                </w:tcPr>
                <w:p w14:paraId="2F9F431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476" w:type="pct"/>
                  <w:tcBorders>
                    <w:tl2br w:val="nil"/>
                    <w:tr2bl w:val="nil"/>
                  </w:tcBorders>
                  <w:shd w:val="clear" w:color="auto" w:fill="auto"/>
                  <w:vAlign w:val="center"/>
                </w:tcPr>
                <w:p w14:paraId="16DF1C7C">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301B8942">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w:t>
                  </w:r>
                </w:p>
              </w:tc>
              <w:tc>
                <w:tcPr>
                  <w:tcW w:w="603" w:type="pct"/>
                  <w:tcBorders>
                    <w:tl2br w:val="nil"/>
                    <w:tr2bl w:val="nil"/>
                  </w:tcBorders>
                  <w:shd w:val="clear" w:color="auto" w:fill="auto"/>
                  <w:vAlign w:val="center"/>
                </w:tcPr>
                <w:p w14:paraId="237F0BD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0.24</w:t>
                  </w:r>
                </w:p>
              </w:tc>
              <w:tc>
                <w:tcPr>
                  <w:tcW w:w="446" w:type="pct"/>
                  <w:tcBorders>
                    <w:tl2br w:val="nil"/>
                    <w:tr2bl w:val="nil"/>
                  </w:tcBorders>
                  <w:shd w:val="clear" w:color="auto" w:fill="auto"/>
                  <w:vAlign w:val="center"/>
                </w:tcPr>
                <w:p w14:paraId="28CF31DA">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449657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4FF6DD61">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744CE0A7">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1C1D5983">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646" w:type="pct"/>
                  <w:tcBorders>
                    <w:tl2br w:val="nil"/>
                    <w:tr2bl w:val="nil"/>
                  </w:tcBorders>
                  <w:shd w:val="clear" w:color="auto" w:fill="auto"/>
                  <w:vAlign w:val="center"/>
                </w:tcPr>
                <w:p w14:paraId="2FA2898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0.0348</w:t>
                  </w:r>
                </w:p>
              </w:tc>
              <w:tc>
                <w:tcPr>
                  <w:tcW w:w="501" w:type="pct"/>
                  <w:tcBorders>
                    <w:tl2br w:val="nil"/>
                    <w:tr2bl w:val="nil"/>
                  </w:tcBorders>
                  <w:shd w:val="clear" w:color="auto" w:fill="auto"/>
                  <w:vAlign w:val="center"/>
                </w:tcPr>
                <w:p w14:paraId="249FCB6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512" w:type="pct"/>
                  <w:tcBorders>
                    <w:tl2br w:val="nil"/>
                    <w:tr2bl w:val="nil"/>
                  </w:tcBorders>
                  <w:shd w:val="clear" w:color="auto" w:fill="auto"/>
                  <w:vAlign w:val="center"/>
                </w:tcPr>
                <w:p w14:paraId="4C8A686D">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3" w:type="pct"/>
                  <w:tcBorders>
                    <w:tl2br w:val="nil"/>
                    <w:tr2bl w:val="nil"/>
                  </w:tcBorders>
                  <w:shd w:val="clear" w:color="auto" w:fill="auto"/>
                  <w:vAlign w:val="center"/>
                </w:tcPr>
                <w:p w14:paraId="7C34760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476" w:type="pct"/>
                  <w:tcBorders>
                    <w:tl2br w:val="nil"/>
                    <w:tr2bl w:val="nil"/>
                  </w:tcBorders>
                  <w:shd w:val="clear" w:color="auto" w:fill="auto"/>
                  <w:vAlign w:val="center"/>
                </w:tcPr>
                <w:p w14:paraId="2F5D800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07CF4B8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w:t>
                  </w:r>
                </w:p>
              </w:tc>
              <w:tc>
                <w:tcPr>
                  <w:tcW w:w="603" w:type="pct"/>
                  <w:tcBorders>
                    <w:tl2br w:val="nil"/>
                    <w:tr2bl w:val="nil"/>
                  </w:tcBorders>
                  <w:shd w:val="clear" w:color="auto" w:fill="auto"/>
                  <w:vAlign w:val="center"/>
                </w:tcPr>
                <w:p w14:paraId="3472EA0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0.0348</w:t>
                  </w:r>
                </w:p>
              </w:tc>
              <w:tc>
                <w:tcPr>
                  <w:tcW w:w="446" w:type="pct"/>
                  <w:tcBorders>
                    <w:tl2br w:val="nil"/>
                    <w:tr2bl w:val="nil"/>
                  </w:tcBorders>
                  <w:shd w:val="clear" w:color="auto" w:fill="auto"/>
                  <w:vAlign w:val="center"/>
                </w:tcPr>
                <w:p w14:paraId="6B54DD4B">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4AA6D27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462FB664">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202E7D76">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2A4C0DE2">
                  <w:pPr>
                    <w:pStyle w:val="31"/>
                    <w:wordWrap/>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N</w:t>
                  </w:r>
                </w:p>
              </w:tc>
              <w:tc>
                <w:tcPr>
                  <w:tcW w:w="646" w:type="pct"/>
                  <w:tcBorders>
                    <w:tl2br w:val="nil"/>
                    <w:tr2bl w:val="nil"/>
                  </w:tcBorders>
                  <w:shd w:val="clear" w:color="auto" w:fill="auto"/>
                  <w:vAlign w:val="center"/>
                </w:tcPr>
                <w:p w14:paraId="18497F6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0.0486</w:t>
                  </w:r>
                </w:p>
              </w:tc>
              <w:tc>
                <w:tcPr>
                  <w:tcW w:w="501" w:type="pct"/>
                  <w:tcBorders>
                    <w:tl2br w:val="nil"/>
                    <w:tr2bl w:val="nil"/>
                  </w:tcBorders>
                  <w:shd w:val="clear" w:color="auto" w:fill="auto"/>
                  <w:vAlign w:val="center"/>
                </w:tcPr>
                <w:p w14:paraId="3D12338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512" w:type="pct"/>
                  <w:tcBorders>
                    <w:tl2br w:val="nil"/>
                    <w:tr2bl w:val="nil"/>
                  </w:tcBorders>
                  <w:shd w:val="clear" w:color="auto" w:fill="auto"/>
                  <w:vAlign w:val="center"/>
                </w:tcPr>
                <w:p w14:paraId="28A59774">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3" w:type="pct"/>
                  <w:tcBorders>
                    <w:tl2br w:val="nil"/>
                    <w:tr2bl w:val="nil"/>
                  </w:tcBorders>
                  <w:shd w:val="clear" w:color="auto" w:fill="auto"/>
                  <w:vAlign w:val="center"/>
                </w:tcPr>
                <w:p w14:paraId="766C3D4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476" w:type="pct"/>
                  <w:tcBorders>
                    <w:tl2br w:val="nil"/>
                    <w:tr2bl w:val="nil"/>
                  </w:tcBorders>
                  <w:shd w:val="clear" w:color="auto" w:fill="auto"/>
                  <w:vAlign w:val="center"/>
                </w:tcPr>
                <w:p w14:paraId="7A3FA5B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73249EE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w:t>
                  </w:r>
                </w:p>
              </w:tc>
              <w:tc>
                <w:tcPr>
                  <w:tcW w:w="603" w:type="pct"/>
                  <w:tcBorders>
                    <w:tl2br w:val="nil"/>
                    <w:tr2bl w:val="nil"/>
                  </w:tcBorders>
                  <w:shd w:val="clear" w:color="auto" w:fill="auto"/>
                  <w:vAlign w:val="center"/>
                </w:tcPr>
                <w:p w14:paraId="141C22C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0.0486</w:t>
                  </w:r>
                </w:p>
              </w:tc>
              <w:tc>
                <w:tcPr>
                  <w:tcW w:w="446" w:type="pct"/>
                  <w:tcBorders>
                    <w:tl2br w:val="nil"/>
                    <w:tr2bl w:val="nil"/>
                  </w:tcBorders>
                  <w:shd w:val="clear" w:color="auto" w:fill="auto"/>
                  <w:vAlign w:val="center"/>
                </w:tcPr>
                <w:p w14:paraId="2A72B5D7">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6F71AA1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07A4B1A6">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4B7145F8">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26A66803">
                  <w:pPr>
                    <w:pStyle w:val="31"/>
                    <w:wordWrap/>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P</w:t>
                  </w:r>
                </w:p>
              </w:tc>
              <w:tc>
                <w:tcPr>
                  <w:tcW w:w="646" w:type="pct"/>
                  <w:tcBorders>
                    <w:tl2br w:val="nil"/>
                    <w:tr2bl w:val="nil"/>
                  </w:tcBorders>
                  <w:shd w:val="clear" w:color="auto" w:fill="auto"/>
                  <w:vAlign w:val="center"/>
                </w:tcPr>
                <w:p w14:paraId="0192078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0.00528</w:t>
                  </w:r>
                </w:p>
              </w:tc>
              <w:tc>
                <w:tcPr>
                  <w:tcW w:w="501" w:type="pct"/>
                  <w:tcBorders>
                    <w:tl2br w:val="nil"/>
                    <w:tr2bl w:val="nil"/>
                  </w:tcBorders>
                  <w:shd w:val="clear" w:color="auto" w:fill="auto"/>
                  <w:vAlign w:val="center"/>
                </w:tcPr>
                <w:p w14:paraId="4DA76D4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512" w:type="pct"/>
                  <w:tcBorders>
                    <w:tl2br w:val="nil"/>
                    <w:tr2bl w:val="nil"/>
                  </w:tcBorders>
                  <w:shd w:val="clear" w:color="auto" w:fill="auto"/>
                  <w:vAlign w:val="center"/>
                </w:tcPr>
                <w:p w14:paraId="1C5E01F0">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83" w:type="pct"/>
                  <w:tcBorders>
                    <w:tl2br w:val="nil"/>
                    <w:tr2bl w:val="nil"/>
                  </w:tcBorders>
                  <w:shd w:val="clear" w:color="auto" w:fill="auto"/>
                  <w:vAlign w:val="center"/>
                </w:tcPr>
                <w:p w14:paraId="067233D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476" w:type="pct"/>
                  <w:tcBorders>
                    <w:tl2br w:val="nil"/>
                    <w:tr2bl w:val="nil"/>
                  </w:tcBorders>
                  <w:shd w:val="clear" w:color="auto" w:fill="auto"/>
                  <w:vAlign w:val="center"/>
                </w:tcPr>
                <w:p w14:paraId="0DA66B0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2B4395E5">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w:t>
                  </w:r>
                </w:p>
              </w:tc>
              <w:tc>
                <w:tcPr>
                  <w:tcW w:w="603" w:type="pct"/>
                  <w:tcBorders>
                    <w:tl2br w:val="nil"/>
                    <w:tr2bl w:val="nil"/>
                  </w:tcBorders>
                  <w:shd w:val="clear" w:color="auto" w:fill="auto"/>
                  <w:vAlign w:val="center"/>
                </w:tcPr>
                <w:p w14:paraId="17298AD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0.00528</w:t>
                  </w:r>
                </w:p>
              </w:tc>
              <w:tc>
                <w:tcPr>
                  <w:tcW w:w="446" w:type="pct"/>
                  <w:tcBorders>
                    <w:tl2br w:val="nil"/>
                    <w:tr2bl w:val="nil"/>
                  </w:tcBorders>
                  <w:shd w:val="clear" w:color="auto" w:fill="auto"/>
                  <w:vAlign w:val="center"/>
                </w:tcPr>
                <w:p w14:paraId="498E3499">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472B004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BF8C990">
                  <w:pPr>
                    <w:pStyle w:val="31"/>
                    <w:wordWrap/>
                    <w:jc w:val="center"/>
                    <w:rPr>
                      <w:rFonts w:hint="default" w:ascii="Times New Roman" w:hAnsi="Times New Roman" w:eastAsia="仿宋" w:cs="Times New Roman"/>
                      <w:color w:val="auto"/>
                      <w:sz w:val="21"/>
                      <w:szCs w:val="21"/>
                      <w:highlight w:val="none"/>
                    </w:rPr>
                  </w:pPr>
                </w:p>
              </w:tc>
              <w:tc>
                <w:tcPr>
                  <w:tcW w:w="180" w:type="pct"/>
                  <w:vMerge w:val="restart"/>
                  <w:tcBorders>
                    <w:tl2br w:val="nil"/>
                    <w:tr2bl w:val="nil"/>
                  </w:tcBorders>
                  <w:shd w:val="clear" w:color="auto" w:fill="auto"/>
                  <w:vAlign w:val="center"/>
                </w:tcPr>
                <w:p w14:paraId="770ECD15">
                  <w:pPr>
                    <w:pStyle w:val="31"/>
                    <w:wordWrap/>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工业废水</w:t>
                  </w:r>
                </w:p>
              </w:tc>
              <w:tc>
                <w:tcPr>
                  <w:tcW w:w="502" w:type="pct"/>
                  <w:tcBorders>
                    <w:tl2br w:val="nil"/>
                    <w:tr2bl w:val="nil"/>
                  </w:tcBorders>
                  <w:shd w:val="clear" w:color="auto" w:fill="auto"/>
                  <w:vAlign w:val="center"/>
                </w:tcPr>
                <w:p w14:paraId="69B0F15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Cs w:val="21"/>
                      <w:lang w:bidi="ar"/>
                    </w:rPr>
                    <w:t>废水量</w:t>
                  </w:r>
                </w:p>
              </w:tc>
              <w:tc>
                <w:tcPr>
                  <w:tcW w:w="646" w:type="pct"/>
                  <w:tcBorders>
                    <w:tl2br w:val="nil"/>
                    <w:tr2bl w:val="nil"/>
                  </w:tcBorders>
                  <w:shd w:val="clear" w:color="auto" w:fill="auto"/>
                  <w:vAlign w:val="center"/>
                </w:tcPr>
                <w:p w14:paraId="5FE5611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1000</w:t>
                  </w:r>
                </w:p>
              </w:tc>
              <w:tc>
                <w:tcPr>
                  <w:tcW w:w="501" w:type="pct"/>
                  <w:tcBorders>
                    <w:tl2br w:val="nil"/>
                    <w:tr2bl w:val="nil"/>
                  </w:tcBorders>
                  <w:shd w:val="clear" w:color="auto" w:fill="auto"/>
                  <w:vAlign w:val="center"/>
                </w:tcPr>
                <w:p w14:paraId="19264F1E">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16788.186</w:t>
                  </w:r>
                </w:p>
              </w:tc>
              <w:tc>
                <w:tcPr>
                  <w:tcW w:w="512" w:type="pct"/>
                  <w:tcBorders>
                    <w:tl2br w:val="nil"/>
                    <w:tr2bl w:val="nil"/>
                  </w:tcBorders>
                  <w:shd w:val="clear" w:color="auto" w:fill="auto"/>
                  <w:vAlign w:val="center"/>
                </w:tcPr>
                <w:p w14:paraId="55FD91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483" w:type="pct"/>
                  <w:tcBorders>
                    <w:tl2br w:val="nil"/>
                    <w:tr2bl w:val="nil"/>
                  </w:tcBorders>
                  <w:shd w:val="clear" w:color="auto" w:fill="auto"/>
                  <w:vAlign w:val="center"/>
                </w:tcPr>
                <w:p w14:paraId="0FB51318">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16765.236</w:t>
                  </w:r>
                </w:p>
              </w:tc>
              <w:tc>
                <w:tcPr>
                  <w:tcW w:w="476" w:type="pct"/>
                  <w:tcBorders>
                    <w:tl2br w:val="nil"/>
                    <w:tr2bl w:val="nil"/>
                  </w:tcBorders>
                  <w:shd w:val="clear" w:color="auto" w:fill="auto"/>
                  <w:vAlign w:val="center"/>
                </w:tcPr>
                <w:p w14:paraId="5C313C2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1000</w:t>
                  </w:r>
                </w:p>
              </w:tc>
              <w:tc>
                <w:tcPr>
                  <w:tcW w:w="476" w:type="pct"/>
                  <w:tcBorders>
                    <w:tl2br w:val="nil"/>
                    <w:tr2bl w:val="nil"/>
                  </w:tcBorders>
                  <w:shd w:val="clear" w:color="auto" w:fill="auto"/>
                  <w:vAlign w:val="center"/>
                </w:tcPr>
                <w:p w14:paraId="6208017C">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15765.236</w:t>
                  </w:r>
                </w:p>
              </w:tc>
              <w:tc>
                <w:tcPr>
                  <w:tcW w:w="603" w:type="pct"/>
                  <w:tcBorders>
                    <w:tl2br w:val="nil"/>
                    <w:tr2bl w:val="nil"/>
                  </w:tcBorders>
                  <w:shd w:val="clear" w:color="auto" w:fill="auto"/>
                  <w:vAlign w:val="center"/>
                </w:tcPr>
                <w:p w14:paraId="07250958">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16765.236</w:t>
                  </w:r>
                </w:p>
              </w:tc>
              <w:tc>
                <w:tcPr>
                  <w:tcW w:w="446" w:type="pct"/>
                  <w:tcBorders>
                    <w:tl2br w:val="nil"/>
                    <w:tr2bl w:val="nil"/>
                  </w:tcBorders>
                  <w:shd w:val="clear" w:color="auto" w:fill="auto"/>
                  <w:vAlign w:val="center"/>
                </w:tcPr>
                <w:p w14:paraId="2696D0F9">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16765.236</w:t>
                  </w:r>
                </w:p>
              </w:tc>
            </w:tr>
            <w:tr w14:paraId="6E6280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6931A257">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7CBF4076">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6E7DA62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COD</w:t>
                  </w:r>
                </w:p>
              </w:tc>
              <w:tc>
                <w:tcPr>
                  <w:tcW w:w="646" w:type="pct"/>
                  <w:tcBorders>
                    <w:tl2br w:val="nil"/>
                    <w:tr2bl w:val="nil"/>
                  </w:tcBorders>
                  <w:shd w:val="clear" w:color="auto" w:fill="auto"/>
                  <w:vAlign w:val="center"/>
                </w:tcPr>
                <w:p w14:paraId="625DE29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w:t>
                  </w:r>
                </w:p>
              </w:tc>
              <w:tc>
                <w:tcPr>
                  <w:tcW w:w="501" w:type="pct"/>
                  <w:tcBorders>
                    <w:tl2br w:val="nil"/>
                    <w:tr2bl w:val="nil"/>
                  </w:tcBorders>
                  <w:shd w:val="clear" w:color="auto" w:fill="auto"/>
                  <w:vAlign w:val="center"/>
                </w:tcPr>
                <w:p w14:paraId="6C0DB5E4">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5.7925</w:t>
                  </w:r>
                </w:p>
              </w:tc>
              <w:tc>
                <w:tcPr>
                  <w:tcW w:w="512" w:type="pct"/>
                  <w:tcBorders>
                    <w:tl2br w:val="nil"/>
                    <w:tr2bl w:val="nil"/>
                  </w:tcBorders>
                  <w:shd w:val="clear" w:color="auto" w:fill="auto"/>
                  <w:vAlign w:val="center"/>
                </w:tcPr>
                <w:p w14:paraId="70CF75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4.2784</w:t>
                  </w:r>
                </w:p>
              </w:tc>
              <w:tc>
                <w:tcPr>
                  <w:tcW w:w="483" w:type="pct"/>
                  <w:tcBorders>
                    <w:tl2br w:val="nil"/>
                    <w:tr2bl w:val="nil"/>
                  </w:tcBorders>
                  <w:shd w:val="clear" w:color="auto" w:fill="auto"/>
                  <w:vAlign w:val="center"/>
                </w:tcPr>
                <w:p w14:paraId="3492366C">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1.5141</w:t>
                  </w:r>
                </w:p>
              </w:tc>
              <w:tc>
                <w:tcPr>
                  <w:tcW w:w="476" w:type="pct"/>
                  <w:tcBorders>
                    <w:tl2br w:val="nil"/>
                    <w:tr2bl w:val="nil"/>
                  </w:tcBorders>
                  <w:shd w:val="clear" w:color="auto" w:fill="auto"/>
                  <w:vAlign w:val="center"/>
                </w:tcPr>
                <w:p w14:paraId="4F80B67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w:t>
                  </w:r>
                </w:p>
              </w:tc>
              <w:tc>
                <w:tcPr>
                  <w:tcW w:w="476" w:type="pct"/>
                  <w:tcBorders>
                    <w:tl2br w:val="nil"/>
                    <w:tr2bl w:val="nil"/>
                  </w:tcBorders>
                  <w:shd w:val="clear" w:color="auto" w:fill="auto"/>
                  <w:vAlign w:val="center"/>
                </w:tcPr>
                <w:p w14:paraId="322341DD">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1.3141</w:t>
                  </w:r>
                </w:p>
              </w:tc>
              <w:tc>
                <w:tcPr>
                  <w:tcW w:w="603" w:type="pct"/>
                  <w:tcBorders>
                    <w:tl2br w:val="nil"/>
                    <w:tr2bl w:val="nil"/>
                  </w:tcBorders>
                  <w:shd w:val="clear" w:color="auto" w:fill="auto"/>
                  <w:vAlign w:val="center"/>
                </w:tcPr>
                <w:p w14:paraId="0810AFBD">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1.5141</w:t>
                  </w:r>
                </w:p>
              </w:tc>
              <w:tc>
                <w:tcPr>
                  <w:tcW w:w="446" w:type="pct"/>
                  <w:tcBorders>
                    <w:tl2br w:val="nil"/>
                    <w:tr2bl w:val="nil"/>
                  </w:tcBorders>
                  <w:shd w:val="clear" w:color="auto" w:fill="auto"/>
                  <w:vAlign w:val="center"/>
                </w:tcPr>
                <w:p w14:paraId="7FFAC32F">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1.5141</w:t>
                  </w:r>
                </w:p>
              </w:tc>
            </w:tr>
            <w:tr w14:paraId="1F6B46C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D31C635">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5AB14809">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3B90D8C6">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SS</w:t>
                  </w:r>
                </w:p>
              </w:tc>
              <w:tc>
                <w:tcPr>
                  <w:tcW w:w="646" w:type="pct"/>
                  <w:tcBorders>
                    <w:tl2br w:val="nil"/>
                    <w:tr2bl w:val="nil"/>
                  </w:tcBorders>
                  <w:shd w:val="clear" w:color="auto" w:fill="auto"/>
                  <w:vAlign w:val="center"/>
                </w:tcPr>
                <w:p w14:paraId="127175F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w:t>
                  </w:r>
                </w:p>
              </w:tc>
              <w:tc>
                <w:tcPr>
                  <w:tcW w:w="501" w:type="pct"/>
                  <w:tcBorders>
                    <w:tl2br w:val="nil"/>
                    <w:tr2bl w:val="nil"/>
                  </w:tcBorders>
                  <w:shd w:val="clear" w:color="auto" w:fill="auto"/>
                  <w:vAlign w:val="center"/>
                </w:tcPr>
                <w:p w14:paraId="4C762119">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3.8539</w:t>
                  </w:r>
                </w:p>
              </w:tc>
              <w:tc>
                <w:tcPr>
                  <w:tcW w:w="512" w:type="pct"/>
                  <w:tcBorders>
                    <w:tl2br w:val="nil"/>
                    <w:tr2bl w:val="nil"/>
                  </w:tcBorders>
                  <w:shd w:val="clear" w:color="auto" w:fill="auto"/>
                  <w:vAlign w:val="center"/>
                </w:tcPr>
                <w:p w14:paraId="63C6BF7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2.451</w:t>
                  </w:r>
                </w:p>
              </w:tc>
              <w:tc>
                <w:tcPr>
                  <w:tcW w:w="483" w:type="pct"/>
                  <w:tcBorders>
                    <w:tl2br w:val="nil"/>
                    <w:tr2bl w:val="nil"/>
                  </w:tcBorders>
                  <w:shd w:val="clear" w:color="auto" w:fill="auto"/>
                  <w:vAlign w:val="center"/>
                </w:tcPr>
                <w:p w14:paraId="2FF398C8">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1.4029</w:t>
                  </w:r>
                </w:p>
              </w:tc>
              <w:tc>
                <w:tcPr>
                  <w:tcW w:w="476" w:type="pct"/>
                  <w:tcBorders>
                    <w:tl2br w:val="nil"/>
                    <w:tr2bl w:val="nil"/>
                  </w:tcBorders>
                  <w:shd w:val="clear" w:color="auto" w:fill="auto"/>
                  <w:vAlign w:val="center"/>
                </w:tcPr>
                <w:p w14:paraId="709649F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0.2</w:t>
                  </w:r>
                </w:p>
              </w:tc>
              <w:tc>
                <w:tcPr>
                  <w:tcW w:w="476" w:type="pct"/>
                  <w:tcBorders>
                    <w:tl2br w:val="nil"/>
                    <w:tr2bl w:val="nil"/>
                  </w:tcBorders>
                  <w:shd w:val="clear" w:color="auto" w:fill="auto"/>
                  <w:vAlign w:val="center"/>
                </w:tcPr>
                <w:p w14:paraId="38B64524">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1.2029</w:t>
                  </w:r>
                </w:p>
              </w:tc>
              <w:tc>
                <w:tcPr>
                  <w:tcW w:w="603" w:type="pct"/>
                  <w:tcBorders>
                    <w:tl2br w:val="nil"/>
                    <w:tr2bl w:val="nil"/>
                  </w:tcBorders>
                  <w:shd w:val="clear" w:color="auto" w:fill="auto"/>
                  <w:vAlign w:val="center"/>
                </w:tcPr>
                <w:p w14:paraId="5AB43DD8">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1.4029</w:t>
                  </w:r>
                </w:p>
              </w:tc>
              <w:tc>
                <w:tcPr>
                  <w:tcW w:w="446" w:type="pct"/>
                  <w:tcBorders>
                    <w:tl2br w:val="nil"/>
                    <w:tr2bl w:val="nil"/>
                  </w:tcBorders>
                  <w:shd w:val="clear" w:color="auto" w:fill="auto"/>
                  <w:vAlign w:val="center"/>
                </w:tcPr>
                <w:p w14:paraId="0028F2D3">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1.4029</w:t>
                  </w:r>
                </w:p>
              </w:tc>
            </w:tr>
            <w:tr w14:paraId="6C0F37C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43C6E446">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63B7032A">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0F7EB276">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646" w:type="pct"/>
                  <w:tcBorders>
                    <w:tl2br w:val="nil"/>
                    <w:tr2bl w:val="nil"/>
                  </w:tcBorders>
                  <w:shd w:val="clear" w:color="auto" w:fill="auto"/>
                  <w:vAlign w:val="center"/>
                </w:tcPr>
                <w:p w14:paraId="37B5E76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501" w:type="pct"/>
                  <w:tcBorders>
                    <w:tl2br w:val="nil"/>
                    <w:tr2bl w:val="nil"/>
                  </w:tcBorders>
                  <w:shd w:val="clear" w:color="auto" w:fill="auto"/>
                  <w:vAlign w:val="center"/>
                </w:tcPr>
                <w:p w14:paraId="51D3BE62">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0.0043</w:t>
                  </w:r>
                </w:p>
              </w:tc>
              <w:tc>
                <w:tcPr>
                  <w:tcW w:w="512" w:type="pct"/>
                  <w:tcBorders>
                    <w:tl2br w:val="nil"/>
                    <w:tr2bl w:val="nil"/>
                  </w:tcBorders>
                  <w:shd w:val="clear" w:color="auto" w:fill="auto"/>
                  <w:vAlign w:val="center"/>
                </w:tcPr>
                <w:p w14:paraId="0B6BCF6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0.0027</w:t>
                  </w:r>
                </w:p>
              </w:tc>
              <w:tc>
                <w:tcPr>
                  <w:tcW w:w="483" w:type="pct"/>
                  <w:tcBorders>
                    <w:tl2br w:val="nil"/>
                    <w:tr2bl w:val="nil"/>
                  </w:tcBorders>
                  <w:shd w:val="clear" w:color="auto" w:fill="auto"/>
                  <w:vAlign w:val="center"/>
                </w:tcPr>
                <w:p w14:paraId="4D6EDA51">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0.0016</w:t>
                  </w:r>
                </w:p>
              </w:tc>
              <w:tc>
                <w:tcPr>
                  <w:tcW w:w="476" w:type="pct"/>
                  <w:tcBorders>
                    <w:tl2br w:val="nil"/>
                    <w:tr2bl w:val="nil"/>
                  </w:tcBorders>
                  <w:shd w:val="clear" w:color="auto" w:fill="auto"/>
                  <w:vAlign w:val="center"/>
                </w:tcPr>
                <w:p w14:paraId="7657CC2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54B9E4D6">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0.0016</w:t>
                  </w:r>
                </w:p>
              </w:tc>
              <w:tc>
                <w:tcPr>
                  <w:tcW w:w="603" w:type="pct"/>
                  <w:tcBorders>
                    <w:tl2br w:val="nil"/>
                    <w:tr2bl w:val="nil"/>
                  </w:tcBorders>
                  <w:shd w:val="clear" w:color="auto" w:fill="auto"/>
                  <w:vAlign w:val="center"/>
                </w:tcPr>
                <w:p w14:paraId="2B5D4BEC">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0.0016</w:t>
                  </w:r>
                </w:p>
              </w:tc>
              <w:tc>
                <w:tcPr>
                  <w:tcW w:w="446" w:type="pct"/>
                  <w:tcBorders>
                    <w:tl2br w:val="nil"/>
                    <w:tr2bl w:val="nil"/>
                  </w:tcBorders>
                  <w:shd w:val="clear" w:color="auto" w:fill="auto"/>
                  <w:vAlign w:val="center"/>
                </w:tcPr>
                <w:p w14:paraId="6C76A961">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0.0016</w:t>
                  </w:r>
                </w:p>
              </w:tc>
            </w:tr>
            <w:tr w14:paraId="0B24A57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E5ED7DF">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185D7A6A">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7A0A2BBE">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N</w:t>
                  </w:r>
                </w:p>
              </w:tc>
              <w:tc>
                <w:tcPr>
                  <w:tcW w:w="646" w:type="pct"/>
                  <w:tcBorders>
                    <w:tl2br w:val="nil"/>
                    <w:tr2bl w:val="nil"/>
                  </w:tcBorders>
                  <w:shd w:val="clear" w:color="auto" w:fill="auto"/>
                  <w:vAlign w:val="center"/>
                </w:tcPr>
                <w:p w14:paraId="280E30E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501" w:type="pct"/>
                  <w:tcBorders>
                    <w:tl2br w:val="nil"/>
                    <w:tr2bl w:val="nil"/>
                  </w:tcBorders>
                  <w:shd w:val="clear" w:color="auto" w:fill="auto"/>
                  <w:vAlign w:val="center"/>
                </w:tcPr>
                <w:p w14:paraId="166F3C06">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0.01016</w:t>
                  </w:r>
                </w:p>
              </w:tc>
              <w:tc>
                <w:tcPr>
                  <w:tcW w:w="512" w:type="pct"/>
                  <w:tcBorders>
                    <w:tl2br w:val="nil"/>
                    <w:tr2bl w:val="nil"/>
                  </w:tcBorders>
                  <w:shd w:val="clear" w:color="auto" w:fill="auto"/>
                  <w:vAlign w:val="center"/>
                </w:tcPr>
                <w:p w14:paraId="5CEA171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0.00766</w:t>
                  </w:r>
                </w:p>
              </w:tc>
              <w:tc>
                <w:tcPr>
                  <w:tcW w:w="483" w:type="pct"/>
                  <w:tcBorders>
                    <w:tl2br w:val="nil"/>
                    <w:tr2bl w:val="nil"/>
                  </w:tcBorders>
                  <w:shd w:val="clear" w:color="auto" w:fill="auto"/>
                  <w:vAlign w:val="center"/>
                </w:tcPr>
                <w:p w14:paraId="3F975EAC">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0.0025</w:t>
                  </w:r>
                </w:p>
              </w:tc>
              <w:tc>
                <w:tcPr>
                  <w:tcW w:w="476" w:type="pct"/>
                  <w:tcBorders>
                    <w:tl2br w:val="nil"/>
                    <w:tr2bl w:val="nil"/>
                  </w:tcBorders>
                  <w:shd w:val="clear" w:color="auto" w:fill="auto"/>
                  <w:vAlign w:val="center"/>
                </w:tcPr>
                <w:p w14:paraId="12A0756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7139FC11">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0.0025</w:t>
                  </w:r>
                </w:p>
              </w:tc>
              <w:tc>
                <w:tcPr>
                  <w:tcW w:w="603" w:type="pct"/>
                  <w:tcBorders>
                    <w:tl2br w:val="nil"/>
                    <w:tr2bl w:val="nil"/>
                  </w:tcBorders>
                  <w:shd w:val="clear" w:color="auto" w:fill="auto"/>
                  <w:vAlign w:val="center"/>
                </w:tcPr>
                <w:p w14:paraId="6B1143FB">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0.0025</w:t>
                  </w:r>
                </w:p>
              </w:tc>
              <w:tc>
                <w:tcPr>
                  <w:tcW w:w="446" w:type="pct"/>
                  <w:tcBorders>
                    <w:tl2br w:val="nil"/>
                    <w:tr2bl w:val="nil"/>
                  </w:tcBorders>
                  <w:shd w:val="clear" w:color="auto" w:fill="auto"/>
                  <w:vAlign w:val="center"/>
                </w:tcPr>
                <w:p w14:paraId="20769F32">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0.0025</w:t>
                  </w:r>
                </w:p>
              </w:tc>
            </w:tr>
            <w:tr w14:paraId="1A589F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4F618695">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1566A4DE">
                  <w:pPr>
                    <w:pStyle w:val="31"/>
                    <w:wordWrap/>
                    <w:jc w:val="center"/>
                    <w:rPr>
                      <w:rFonts w:hint="default" w:ascii="Times New Roman" w:hAnsi="Times New Roman" w:eastAsia="仿宋" w:cs="Times New Roman"/>
                      <w:color w:val="auto"/>
                      <w:sz w:val="21"/>
                      <w:szCs w:val="21"/>
                      <w:highlight w:val="none"/>
                      <w:lang w:val="en-US" w:eastAsia="zh-CN"/>
                    </w:rPr>
                  </w:pPr>
                </w:p>
              </w:tc>
              <w:tc>
                <w:tcPr>
                  <w:tcW w:w="502" w:type="pct"/>
                  <w:tcBorders>
                    <w:tl2br w:val="nil"/>
                    <w:tr2bl w:val="nil"/>
                  </w:tcBorders>
                  <w:shd w:val="clear" w:color="auto" w:fill="auto"/>
                  <w:vAlign w:val="center"/>
                </w:tcPr>
                <w:p w14:paraId="3C863AE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P</w:t>
                  </w:r>
                </w:p>
              </w:tc>
              <w:tc>
                <w:tcPr>
                  <w:tcW w:w="646" w:type="pct"/>
                  <w:tcBorders>
                    <w:tl2br w:val="nil"/>
                    <w:tr2bl w:val="nil"/>
                  </w:tcBorders>
                  <w:shd w:val="clear" w:color="auto" w:fill="auto"/>
                  <w:vAlign w:val="center"/>
                </w:tcPr>
                <w:p w14:paraId="5B3BF699">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501" w:type="pct"/>
                  <w:tcBorders>
                    <w:tl2br w:val="nil"/>
                    <w:tr2bl w:val="nil"/>
                  </w:tcBorders>
                  <w:shd w:val="clear" w:color="auto" w:fill="auto"/>
                  <w:vAlign w:val="center"/>
                </w:tcPr>
                <w:p w14:paraId="176DD160">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0.0004</w:t>
                  </w:r>
                </w:p>
              </w:tc>
              <w:tc>
                <w:tcPr>
                  <w:tcW w:w="512" w:type="pct"/>
                  <w:tcBorders>
                    <w:tl2br w:val="nil"/>
                    <w:tr2bl w:val="nil"/>
                  </w:tcBorders>
                  <w:shd w:val="clear" w:color="auto" w:fill="auto"/>
                  <w:vAlign w:val="center"/>
                </w:tcPr>
                <w:p w14:paraId="3EA2033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0.00019</w:t>
                  </w:r>
                </w:p>
              </w:tc>
              <w:tc>
                <w:tcPr>
                  <w:tcW w:w="483" w:type="pct"/>
                  <w:tcBorders>
                    <w:tl2br w:val="nil"/>
                    <w:tr2bl w:val="nil"/>
                  </w:tcBorders>
                  <w:shd w:val="clear" w:color="auto" w:fill="auto"/>
                  <w:vAlign w:val="center"/>
                </w:tcPr>
                <w:p w14:paraId="6A687604">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0.00021</w:t>
                  </w:r>
                </w:p>
              </w:tc>
              <w:tc>
                <w:tcPr>
                  <w:tcW w:w="476" w:type="pct"/>
                  <w:tcBorders>
                    <w:tl2br w:val="nil"/>
                    <w:tr2bl w:val="nil"/>
                  </w:tcBorders>
                  <w:shd w:val="clear" w:color="auto" w:fill="auto"/>
                  <w:vAlign w:val="center"/>
                </w:tcPr>
                <w:p w14:paraId="78E41DF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0CAF13C0">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0.00021</w:t>
                  </w:r>
                </w:p>
              </w:tc>
              <w:tc>
                <w:tcPr>
                  <w:tcW w:w="603" w:type="pct"/>
                  <w:tcBorders>
                    <w:tl2br w:val="nil"/>
                    <w:tr2bl w:val="nil"/>
                  </w:tcBorders>
                  <w:shd w:val="clear" w:color="auto" w:fill="auto"/>
                  <w:vAlign w:val="center"/>
                </w:tcPr>
                <w:p w14:paraId="27EB34B1">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0.00021</w:t>
                  </w:r>
                </w:p>
              </w:tc>
              <w:tc>
                <w:tcPr>
                  <w:tcW w:w="446" w:type="pct"/>
                  <w:tcBorders>
                    <w:tl2br w:val="nil"/>
                    <w:tr2bl w:val="nil"/>
                  </w:tcBorders>
                  <w:shd w:val="clear" w:color="auto" w:fill="auto"/>
                  <w:vAlign w:val="center"/>
                </w:tcPr>
                <w:p w14:paraId="350CEADB">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0.00021</w:t>
                  </w:r>
                </w:p>
              </w:tc>
            </w:tr>
            <w:tr w14:paraId="11F8182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780022BF">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772C6B2E">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68334612">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石油类</w:t>
                  </w:r>
                </w:p>
              </w:tc>
              <w:tc>
                <w:tcPr>
                  <w:tcW w:w="646" w:type="pct"/>
                  <w:tcBorders>
                    <w:tl2br w:val="nil"/>
                    <w:tr2bl w:val="nil"/>
                  </w:tcBorders>
                  <w:shd w:val="clear" w:color="auto" w:fill="auto"/>
                  <w:vAlign w:val="center"/>
                </w:tcPr>
                <w:p w14:paraId="3D5CE79C">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501" w:type="pct"/>
                  <w:tcBorders>
                    <w:tl2br w:val="nil"/>
                    <w:tr2bl w:val="nil"/>
                  </w:tcBorders>
                  <w:shd w:val="clear" w:color="auto" w:fill="auto"/>
                  <w:vAlign w:val="center"/>
                </w:tcPr>
                <w:p w14:paraId="7DF056BE">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0.281</w:t>
                  </w:r>
                </w:p>
              </w:tc>
              <w:tc>
                <w:tcPr>
                  <w:tcW w:w="512" w:type="pct"/>
                  <w:tcBorders>
                    <w:tl2br w:val="nil"/>
                    <w:tr2bl w:val="nil"/>
                  </w:tcBorders>
                  <w:shd w:val="clear" w:color="auto" w:fill="auto"/>
                  <w:vAlign w:val="center"/>
                </w:tcPr>
                <w:p w14:paraId="5DB8656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0.1811</w:t>
                  </w:r>
                </w:p>
              </w:tc>
              <w:tc>
                <w:tcPr>
                  <w:tcW w:w="483" w:type="pct"/>
                  <w:tcBorders>
                    <w:tl2br w:val="nil"/>
                    <w:tr2bl w:val="nil"/>
                  </w:tcBorders>
                  <w:shd w:val="clear" w:color="auto" w:fill="auto"/>
                  <w:vAlign w:val="center"/>
                </w:tcPr>
                <w:p w14:paraId="0871067D">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0.0999</w:t>
                  </w:r>
                </w:p>
              </w:tc>
              <w:tc>
                <w:tcPr>
                  <w:tcW w:w="476" w:type="pct"/>
                  <w:tcBorders>
                    <w:tl2br w:val="nil"/>
                    <w:tr2bl w:val="nil"/>
                  </w:tcBorders>
                  <w:shd w:val="clear" w:color="auto" w:fill="auto"/>
                  <w:vAlign w:val="center"/>
                </w:tcPr>
                <w:p w14:paraId="73160C0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577A7D04">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0.0999</w:t>
                  </w:r>
                </w:p>
              </w:tc>
              <w:tc>
                <w:tcPr>
                  <w:tcW w:w="603" w:type="pct"/>
                  <w:tcBorders>
                    <w:tl2br w:val="nil"/>
                    <w:tr2bl w:val="nil"/>
                  </w:tcBorders>
                  <w:shd w:val="clear" w:color="auto" w:fill="auto"/>
                  <w:vAlign w:val="center"/>
                </w:tcPr>
                <w:p w14:paraId="406AFD89">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0.0999</w:t>
                  </w:r>
                </w:p>
              </w:tc>
              <w:tc>
                <w:tcPr>
                  <w:tcW w:w="446" w:type="pct"/>
                  <w:tcBorders>
                    <w:tl2br w:val="nil"/>
                    <w:tr2bl w:val="nil"/>
                  </w:tcBorders>
                  <w:shd w:val="clear" w:color="auto" w:fill="auto"/>
                  <w:vAlign w:val="center"/>
                </w:tcPr>
                <w:p w14:paraId="7014398B">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0.0999</w:t>
                  </w:r>
                </w:p>
              </w:tc>
            </w:tr>
            <w:tr w14:paraId="0744541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1CEE4400">
                  <w:pPr>
                    <w:pStyle w:val="31"/>
                    <w:wordWrap/>
                    <w:jc w:val="center"/>
                    <w:rPr>
                      <w:rFonts w:hint="default" w:ascii="Times New Roman" w:hAnsi="Times New Roman" w:eastAsia="仿宋" w:cs="Times New Roman"/>
                      <w:color w:val="auto"/>
                      <w:sz w:val="21"/>
                      <w:szCs w:val="21"/>
                      <w:highlight w:val="none"/>
                    </w:rPr>
                  </w:pPr>
                </w:p>
              </w:tc>
              <w:tc>
                <w:tcPr>
                  <w:tcW w:w="180" w:type="pct"/>
                  <w:vMerge w:val="continue"/>
                  <w:tcBorders>
                    <w:tl2br w:val="nil"/>
                    <w:tr2bl w:val="nil"/>
                  </w:tcBorders>
                  <w:shd w:val="clear" w:color="auto" w:fill="auto"/>
                  <w:vAlign w:val="center"/>
                </w:tcPr>
                <w:p w14:paraId="56B8F325">
                  <w:pPr>
                    <w:pStyle w:val="31"/>
                    <w:wordWrap/>
                    <w:jc w:val="center"/>
                    <w:rPr>
                      <w:rFonts w:hint="default" w:ascii="Times New Roman" w:hAnsi="Times New Roman" w:eastAsia="仿宋" w:cs="Times New Roman"/>
                      <w:color w:val="auto"/>
                      <w:sz w:val="21"/>
                      <w:szCs w:val="21"/>
                      <w:highlight w:val="none"/>
                    </w:rPr>
                  </w:pPr>
                </w:p>
              </w:tc>
              <w:tc>
                <w:tcPr>
                  <w:tcW w:w="502" w:type="pct"/>
                  <w:tcBorders>
                    <w:tl2br w:val="nil"/>
                    <w:tr2bl w:val="nil"/>
                  </w:tcBorders>
                  <w:shd w:val="clear" w:color="auto" w:fill="auto"/>
                  <w:vAlign w:val="center"/>
                </w:tcPr>
                <w:p w14:paraId="5E5E805B">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LAS</w:t>
                  </w:r>
                </w:p>
              </w:tc>
              <w:tc>
                <w:tcPr>
                  <w:tcW w:w="646" w:type="pct"/>
                  <w:tcBorders>
                    <w:tl2br w:val="nil"/>
                    <w:tr2bl w:val="nil"/>
                  </w:tcBorders>
                  <w:shd w:val="clear" w:color="auto" w:fill="auto"/>
                  <w:vAlign w:val="center"/>
                </w:tcPr>
                <w:p w14:paraId="3DB960EC">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501" w:type="pct"/>
                  <w:tcBorders>
                    <w:tl2br w:val="nil"/>
                    <w:tr2bl w:val="nil"/>
                  </w:tcBorders>
                  <w:shd w:val="clear" w:color="auto" w:fill="auto"/>
                  <w:vAlign w:val="center"/>
                </w:tcPr>
                <w:p w14:paraId="7F938866">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0.1407</w:t>
                  </w:r>
                </w:p>
              </w:tc>
              <w:tc>
                <w:tcPr>
                  <w:tcW w:w="512" w:type="pct"/>
                  <w:tcBorders>
                    <w:tl2br w:val="nil"/>
                    <w:tr2bl w:val="nil"/>
                  </w:tcBorders>
                  <w:shd w:val="clear" w:color="auto" w:fill="auto"/>
                  <w:vAlign w:val="center"/>
                </w:tcPr>
                <w:p w14:paraId="5311F64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0.0547</w:t>
                  </w:r>
                </w:p>
              </w:tc>
              <w:tc>
                <w:tcPr>
                  <w:tcW w:w="483" w:type="pct"/>
                  <w:tcBorders>
                    <w:tl2br w:val="nil"/>
                    <w:tr2bl w:val="nil"/>
                  </w:tcBorders>
                  <w:shd w:val="clear" w:color="auto" w:fill="auto"/>
                  <w:vAlign w:val="center"/>
                </w:tcPr>
                <w:p w14:paraId="32881299">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0.086</w:t>
                  </w:r>
                </w:p>
              </w:tc>
              <w:tc>
                <w:tcPr>
                  <w:tcW w:w="476" w:type="pct"/>
                  <w:tcBorders>
                    <w:tl2br w:val="nil"/>
                    <w:tr2bl w:val="nil"/>
                  </w:tcBorders>
                  <w:shd w:val="clear" w:color="auto" w:fill="auto"/>
                  <w:vAlign w:val="center"/>
                </w:tcPr>
                <w:p w14:paraId="1AE3918A">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0</w:t>
                  </w:r>
                </w:p>
              </w:tc>
              <w:tc>
                <w:tcPr>
                  <w:tcW w:w="476" w:type="pct"/>
                  <w:tcBorders>
                    <w:tl2br w:val="nil"/>
                    <w:tr2bl w:val="nil"/>
                  </w:tcBorders>
                  <w:shd w:val="clear" w:color="auto" w:fill="auto"/>
                  <w:vAlign w:val="center"/>
                </w:tcPr>
                <w:p w14:paraId="332CB0C9">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w:t>
                  </w:r>
                  <w:r>
                    <w:rPr>
                      <w:rFonts w:hint="eastAsia" w:ascii="Times New Roman" w:hAnsi="Times New Roman" w:eastAsia="仿宋" w:cs="Times New Roman"/>
                      <w:color w:val="auto"/>
                      <w:kern w:val="2"/>
                      <w:sz w:val="21"/>
                      <w:szCs w:val="21"/>
                      <w:highlight w:val="none"/>
                      <w:lang w:val="en-US" w:eastAsia="zh-CN" w:bidi="ar-SA"/>
                    </w:rPr>
                    <w:t>0.086</w:t>
                  </w:r>
                </w:p>
              </w:tc>
              <w:tc>
                <w:tcPr>
                  <w:tcW w:w="603" w:type="pct"/>
                  <w:tcBorders>
                    <w:tl2br w:val="nil"/>
                    <w:tr2bl w:val="nil"/>
                  </w:tcBorders>
                  <w:shd w:val="clear" w:color="auto" w:fill="auto"/>
                  <w:vAlign w:val="center"/>
                </w:tcPr>
                <w:p w14:paraId="1483C3B7">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0.086</w:t>
                  </w:r>
                </w:p>
              </w:tc>
              <w:tc>
                <w:tcPr>
                  <w:tcW w:w="446" w:type="pct"/>
                  <w:tcBorders>
                    <w:tl2br w:val="nil"/>
                    <w:tr2bl w:val="nil"/>
                  </w:tcBorders>
                  <w:shd w:val="clear" w:color="auto" w:fill="auto"/>
                  <w:vAlign w:val="center"/>
                </w:tcPr>
                <w:p w14:paraId="353A33E0">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0.086</w:t>
                  </w:r>
                </w:p>
              </w:tc>
            </w:tr>
            <w:tr w14:paraId="494D0EE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restart"/>
                  <w:tcBorders>
                    <w:tl2br w:val="nil"/>
                    <w:tr2bl w:val="nil"/>
                  </w:tcBorders>
                  <w:shd w:val="clear" w:color="auto" w:fill="auto"/>
                  <w:vAlign w:val="center"/>
                </w:tcPr>
                <w:p w14:paraId="260619D7">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固废</w:t>
                  </w:r>
                </w:p>
              </w:tc>
              <w:tc>
                <w:tcPr>
                  <w:tcW w:w="683" w:type="pct"/>
                  <w:gridSpan w:val="2"/>
                  <w:tcBorders>
                    <w:tl2br w:val="nil"/>
                    <w:tr2bl w:val="nil"/>
                  </w:tcBorders>
                  <w:shd w:val="clear" w:color="auto" w:fill="auto"/>
                  <w:vAlign w:val="center"/>
                </w:tcPr>
                <w:p w14:paraId="5DEFDC61">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一般工业固废</w:t>
                  </w:r>
                </w:p>
              </w:tc>
              <w:tc>
                <w:tcPr>
                  <w:tcW w:w="646" w:type="pct"/>
                  <w:tcBorders>
                    <w:tl2br w:val="nil"/>
                    <w:tr2bl w:val="nil"/>
                  </w:tcBorders>
                  <w:shd w:val="clear" w:color="auto" w:fill="auto"/>
                  <w:vAlign w:val="center"/>
                </w:tcPr>
                <w:p w14:paraId="0947E54A">
                  <w:pPr>
                    <w:autoSpaceDE/>
                    <w:autoSpaceDN/>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5.22</w:t>
                  </w:r>
                </w:p>
              </w:tc>
              <w:tc>
                <w:tcPr>
                  <w:tcW w:w="501" w:type="pct"/>
                  <w:tcBorders>
                    <w:tl2br w:val="nil"/>
                    <w:tr2bl w:val="nil"/>
                  </w:tcBorders>
                  <w:shd w:val="clear" w:color="auto" w:fill="auto"/>
                  <w:vAlign w:val="center"/>
                </w:tcPr>
                <w:p w14:paraId="450E2188">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19.228</w:t>
                  </w:r>
                </w:p>
              </w:tc>
              <w:tc>
                <w:tcPr>
                  <w:tcW w:w="512" w:type="pct"/>
                  <w:tcBorders>
                    <w:tl2br w:val="nil"/>
                    <w:tr2bl w:val="nil"/>
                  </w:tcBorders>
                  <w:shd w:val="clear" w:color="auto" w:fill="auto"/>
                  <w:vAlign w:val="center"/>
                </w:tcPr>
                <w:p w14:paraId="76044405">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19.228</w:t>
                  </w:r>
                </w:p>
              </w:tc>
              <w:tc>
                <w:tcPr>
                  <w:tcW w:w="483" w:type="pct"/>
                  <w:tcBorders>
                    <w:tl2br w:val="nil"/>
                    <w:tr2bl w:val="nil"/>
                  </w:tcBorders>
                  <w:shd w:val="clear" w:color="auto" w:fill="auto"/>
                  <w:vAlign w:val="center"/>
                </w:tcPr>
                <w:p w14:paraId="40484D58">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76" w:type="pct"/>
                  <w:tcBorders>
                    <w:tl2br w:val="nil"/>
                    <w:tr2bl w:val="nil"/>
                  </w:tcBorders>
                  <w:vAlign w:val="center"/>
                </w:tcPr>
                <w:p w14:paraId="2C46375D">
                  <w:pPr>
                    <w:keepNext w:val="0"/>
                    <w:keepLines w:val="0"/>
                    <w:widowControl/>
                    <w:suppressLineNumbers w:val="0"/>
                    <w:autoSpaceDE w:val="0"/>
                    <w:autoSpaceDN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76" w:type="pct"/>
                  <w:tcBorders>
                    <w:tl2br w:val="nil"/>
                    <w:tr2bl w:val="nil"/>
                  </w:tcBorders>
                  <w:vAlign w:val="center"/>
                </w:tcPr>
                <w:p w14:paraId="127C8C4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14.008</w:t>
                  </w:r>
                </w:p>
              </w:tc>
              <w:tc>
                <w:tcPr>
                  <w:tcW w:w="603" w:type="pct"/>
                  <w:tcBorders>
                    <w:tl2br w:val="nil"/>
                    <w:tr2bl w:val="nil"/>
                  </w:tcBorders>
                  <w:vAlign w:val="center"/>
                </w:tcPr>
                <w:p w14:paraId="7E27F534">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19.228</w:t>
                  </w:r>
                </w:p>
              </w:tc>
              <w:tc>
                <w:tcPr>
                  <w:tcW w:w="446" w:type="pct"/>
                  <w:tcBorders>
                    <w:tl2br w:val="nil"/>
                    <w:tr2bl w:val="nil"/>
                  </w:tcBorders>
                  <w:shd w:val="clear" w:color="auto" w:fill="auto"/>
                  <w:vAlign w:val="center"/>
                </w:tcPr>
                <w:p w14:paraId="710F57EA">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color w:val="auto"/>
                      <w:sz w:val="21"/>
                      <w:szCs w:val="21"/>
                      <w:highlight w:val="none"/>
                      <w:lang w:val="en-US" w:eastAsia="zh-CN"/>
                    </w:rPr>
                    <w:t>0</w:t>
                  </w:r>
                </w:p>
              </w:tc>
            </w:tr>
            <w:tr w14:paraId="6FE3F27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2C2767D">
                  <w:pPr>
                    <w:pStyle w:val="31"/>
                    <w:wordWrap/>
                    <w:jc w:val="center"/>
                    <w:rPr>
                      <w:rFonts w:hint="default" w:ascii="Times New Roman" w:hAnsi="Times New Roman" w:eastAsia="仿宋" w:cs="Times New Roman"/>
                      <w:color w:val="auto"/>
                      <w:sz w:val="21"/>
                      <w:szCs w:val="21"/>
                      <w:highlight w:val="none"/>
                    </w:rPr>
                  </w:pPr>
                </w:p>
              </w:tc>
              <w:tc>
                <w:tcPr>
                  <w:tcW w:w="683" w:type="pct"/>
                  <w:gridSpan w:val="2"/>
                  <w:tcBorders>
                    <w:tl2br w:val="nil"/>
                    <w:tr2bl w:val="nil"/>
                  </w:tcBorders>
                  <w:shd w:val="clear" w:color="auto" w:fill="auto"/>
                  <w:vAlign w:val="center"/>
                </w:tcPr>
                <w:p w14:paraId="2AD435EE">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危</w:t>
                  </w:r>
                  <w:r>
                    <w:rPr>
                      <w:rFonts w:hint="eastAsia" w:eastAsia="仿宋" w:cs="Times New Roman"/>
                      <w:color w:val="auto"/>
                      <w:sz w:val="21"/>
                      <w:szCs w:val="21"/>
                      <w:highlight w:val="none"/>
                      <w:lang w:val="en-US" w:eastAsia="zh-CN"/>
                    </w:rPr>
                    <w:t>险</w:t>
                  </w:r>
                  <w:r>
                    <w:rPr>
                      <w:rFonts w:hint="default" w:ascii="Times New Roman" w:hAnsi="Times New Roman" w:eastAsia="仿宋" w:cs="Times New Roman"/>
                      <w:color w:val="auto"/>
                      <w:sz w:val="21"/>
                      <w:szCs w:val="21"/>
                      <w:highlight w:val="none"/>
                    </w:rPr>
                    <w:t>废物</w:t>
                  </w:r>
                </w:p>
              </w:tc>
              <w:tc>
                <w:tcPr>
                  <w:tcW w:w="646" w:type="pct"/>
                  <w:tcBorders>
                    <w:tl2br w:val="nil"/>
                    <w:tr2bl w:val="nil"/>
                  </w:tcBorders>
                  <w:shd w:val="clear" w:color="auto" w:fill="auto"/>
                  <w:vAlign w:val="center"/>
                </w:tcPr>
                <w:p w14:paraId="7F41E985">
                  <w:pPr>
                    <w:autoSpaceDE/>
                    <w:autoSpaceDN/>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46.5</w:t>
                  </w:r>
                </w:p>
              </w:tc>
              <w:tc>
                <w:tcPr>
                  <w:tcW w:w="501" w:type="pct"/>
                  <w:tcBorders>
                    <w:tl2br w:val="nil"/>
                    <w:tr2bl w:val="nil"/>
                  </w:tcBorders>
                  <w:shd w:val="clear" w:color="auto" w:fill="auto"/>
                  <w:vAlign w:val="center"/>
                </w:tcPr>
                <w:p w14:paraId="5EF303FA">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126.20584</w:t>
                  </w:r>
                </w:p>
              </w:tc>
              <w:tc>
                <w:tcPr>
                  <w:tcW w:w="512" w:type="pct"/>
                  <w:tcBorders>
                    <w:tl2br w:val="nil"/>
                    <w:tr2bl w:val="nil"/>
                  </w:tcBorders>
                  <w:shd w:val="clear" w:color="auto" w:fill="auto"/>
                  <w:vAlign w:val="center"/>
                </w:tcPr>
                <w:p w14:paraId="483C0F70">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126.20584</w:t>
                  </w:r>
                </w:p>
              </w:tc>
              <w:tc>
                <w:tcPr>
                  <w:tcW w:w="483" w:type="pct"/>
                  <w:tcBorders>
                    <w:tl2br w:val="nil"/>
                    <w:tr2bl w:val="nil"/>
                  </w:tcBorders>
                  <w:shd w:val="clear" w:color="auto" w:fill="auto"/>
                  <w:vAlign w:val="center"/>
                </w:tcPr>
                <w:p w14:paraId="1AC191CB">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76" w:type="pct"/>
                  <w:tcBorders>
                    <w:tl2br w:val="nil"/>
                    <w:tr2bl w:val="nil"/>
                  </w:tcBorders>
                  <w:vAlign w:val="center"/>
                </w:tcPr>
                <w:p w14:paraId="13C144D5">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76" w:type="pct"/>
                  <w:tcBorders>
                    <w:tl2br w:val="nil"/>
                    <w:tr2bl w:val="nil"/>
                  </w:tcBorders>
                  <w:vAlign w:val="center"/>
                </w:tcPr>
                <w:p w14:paraId="7813581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79.70584</w:t>
                  </w:r>
                </w:p>
              </w:tc>
              <w:tc>
                <w:tcPr>
                  <w:tcW w:w="603" w:type="pct"/>
                  <w:tcBorders>
                    <w:tl2br w:val="nil"/>
                    <w:tr2bl w:val="nil"/>
                  </w:tcBorders>
                  <w:vAlign w:val="center"/>
                </w:tcPr>
                <w:p w14:paraId="4E9BE097">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126.20584</w:t>
                  </w:r>
                </w:p>
              </w:tc>
              <w:tc>
                <w:tcPr>
                  <w:tcW w:w="446" w:type="pct"/>
                  <w:tcBorders>
                    <w:tl2br w:val="nil"/>
                    <w:tr2bl w:val="nil"/>
                  </w:tcBorders>
                  <w:shd w:val="clear" w:color="auto" w:fill="auto"/>
                  <w:vAlign w:val="center"/>
                </w:tcPr>
                <w:p w14:paraId="490BB80F">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r>
            <w:tr w14:paraId="027D558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70" w:type="pct"/>
                  <w:vMerge w:val="continue"/>
                  <w:tcBorders>
                    <w:tl2br w:val="nil"/>
                    <w:tr2bl w:val="nil"/>
                  </w:tcBorders>
                  <w:shd w:val="clear" w:color="auto" w:fill="auto"/>
                  <w:vAlign w:val="center"/>
                </w:tcPr>
                <w:p w14:paraId="53C67CB4">
                  <w:pPr>
                    <w:pStyle w:val="31"/>
                    <w:wordWrap/>
                    <w:jc w:val="center"/>
                    <w:rPr>
                      <w:rFonts w:hint="default" w:ascii="Times New Roman" w:hAnsi="Times New Roman" w:eastAsia="仿宋" w:cs="Times New Roman"/>
                      <w:color w:val="auto"/>
                      <w:sz w:val="21"/>
                      <w:szCs w:val="21"/>
                      <w:highlight w:val="none"/>
                    </w:rPr>
                  </w:pPr>
                </w:p>
              </w:tc>
              <w:tc>
                <w:tcPr>
                  <w:tcW w:w="683" w:type="pct"/>
                  <w:gridSpan w:val="2"/>
                  <w:tcBorders>
                    <w:tl2br w:val="nil"/>
                    <w:tr2bl w:val="nil"/>
                  </w:tcBorders>
                  <w:shd w:val="clear" w:color="auto" w:fill="auto"/>
                  <w:vAlign w:val="center"/>
                </w:tcPr>
                <w:p w14:paraId="69E02A1C">
                  <w:pPr>
                    <w:pStyle w:val="31"/>
                    <w:wordWrap/>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646" w:type="pct"/>
                  <w:tcBorders>
                    <w:tl2br w:val="nil"/>
                    <w:tr2bl w:val="nil"/>
                  </w:tcBorders>
                  <w:shd w:val="clear" w:color="auto" w:fill="auto"/>
                  <w:vAlign w:val="center"/>
                </w:tcPr>
                <w:p w14:paraId="6D7B0F4B">
                  <w:pPr>
                    <w:autoSpaceDE/>
                    <w:autoSpaceDN/>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w:t>
                  </w:r>
                </w:p>
              </w:tc>
              <w:tc>
                <w:tcPr>
                  <w:tcW w:w="501" w:type="pct"/>
                  <w:tcBorders>
                    <w:tl2br w:val="nil"/>
                    <w:tr2bl w:val="nil"/>
                  </w:tcBorders>
                  <w:shd w:val="clear" w:color="auto" w:fill="auto"/>
                  <w:vAlign w:val="center"/>
                </w:tcPr>
                <w:p w14:paraId="18E1B9CC">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0</w:t>
                  </w:r>
                </w:p>
              </w:tc>
              <w:tc>
                <w:tcPr>
                  <w:tcW w:w="512" w:type="pct"/>
                  <w:tcBorders>
                    <w:tl2br w:val="nil"/>
                    <w:tr2bl w:val="nil"/>
                  </w:tcBorders>
                  <w:shd w:val="clear" w:color="auto" w:fill="auto"/>
                  <w:vAlign w:val="center"/>
                </w:tcPr>
                <w:p w14:paraId="0DB242C6">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83" w:type="pct"/>
                  <w:tcBorders>
                    <w:tl2br w:val="nil"/>
                    <w:tr2bl w:val="nil"/>
                  </w:tcBorders>
                  <w:shd w:val="clear" w:color="auto" w:fill="auto"/>
                  <w:vAlign w:val="center"/>
                </w:tcPr>
                <w:p w14:paraId="3C7A6BEB">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76" w:type="pct"/>
                  <w:tcBorders>
                    <w:tl2br w:val="nil"/>
                    <w:tr2bl w:val="nil"/>
                  </w:tcBorders>
                  <w:vAlign w:val="center"/>
                </w:tcPr>
                <w:p w14:paraId="748C8C94">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c>
                <w:tcPr>
                  <w:tcW w:w="476" w:type="pct"/>
                  <w:tcBorders>
                    <w:tl2br w:val="nil"/>
                    <w:tr2bl w:val="nil"/>
                  </w:tcBorders>
                  <w:vAlign w:val="center"/>
                </w:tcPr>
                <w:p w14:paraId="2B090555">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0</w:t>
                  </w:r>
                </w:p>
              </w:tc>
              <w:tc>
                <w:tcPr>
                  <w:tcW w:w="603" w:type="pct"/>
                  <w:tcBorders>
                    <w:tl2br w:val="nil"/>
                    <w:tr2bl w:val="nil"/>
                  </w:tcBorders>
                  <w:vAlign w:val="center"/>
                </w:tcPr>
                <w:p w14:paraId="56F6146A">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eastAsia" w:eastAsia="仿宋" w:cs="Times New Roman"/>
                      <w:i w:val="0"/>
                      <w:iCs w:val="0"/>
                      <w:color w:val="auto"/>
                      <w:kern w:val="2"/>
                      <w:sz w:val="21"/>
                      <w:szCs w:val="21"/>
                      <w:highlight w:val="none"/>
                      <w:u w:val="none"/>
                      <w:lang w:val="en-US" w:eastAsia="zh-CN" w:bidi="ar"/>
                    </w:rPr>
                    <w:t>6</w:t>
                  </w:r>
                </w:p>
              </w:tc>
              <w:tc>
                <w:tcPr>
                  <w:tcW w:w="446" w:type="pct"/>
                  <w:tcBorders>
                    <w:tl2br w:val="nil"/>
                    <w:tr2bl w:val="nil"/>
                  </w:tcBorders>
                  <w:shd w:val="clear" w:color="auto" w:fill="auto"/>
                  <w:vAlign w:val="center"/>
                </w:tcPr>
                <w:p w14:paraId="239DFF43">
                  <w:pPr>
                    <w:keepNext w:val="0"/>
                    <w:keepLines w:val="0"/>
                    <w:widowControl/>
                    <w:suppressLineNumbers w:val="0"/>
                    <w:autoSpaceDE w:val="0"/>
                    <w:autoSpaceDN w:val="0"/>
                    <w:jc w:val="center"/>
                    <w:textAlignment w:val="auto"/>
                    <w:rPr>
                      <w:rFonts w:hint="default" w:ascii="Times New Roman" w:hAnsi="Times New Roman" w:eastAsia="仿宋" w:cs="Times New Roman"/>
                      <w:i w:val="0"/>
                      <w:iCs w:val="0"/>
                      <w:color w:val="auto"/>
                      <w:kern w:val="2"/>
                      <w:sz w:val="21"/>
                      <w:szCs w:val="21"/>
                      <w:highlight w:val="none"/>
                      <w:u w:val="none"/>
                      <w:lang w:val="en-US" w:eastAsia="zh-CN" w:bidi="ar"/>
                    </w:rPr>
                  </w:pPr>
                  <w:r>
                    <w:rPr>
                      <w:rFonts w:hint="default" w:ascii="Times New Roman" w:hAnsi="Times New Roman" w:eastAsia="仿宋" w:cs="Times New Roman"/>
                      <w:i w:val="0"/>
                      <w:iCs w:val="0"/>
                      <w:color w:val="auto"/>
                      <w:kern w:val="2"/>
                      <w:sz w:val="21"/>
                      <w:szCs w:val="21"/>
                      <w:highlight w:val="none"/>
                      <w:u w:val="none"/>
                      <w:lang w:val="en-US" w:eastAsia="zh-CN" w:bidi="ar"/>
                    </w:rPr>
                    <w:t>0</w:t>
                  </w:r>
                </w:p>
              </w:tc>
            </w:tr>
          </w:tbl>
          <w:p w14:paraId="280024F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b/>
                <w:bCs/>
                <w:color w:val="auto"/>
                <w:kern w:val="0"/>
                <w:sz w:val="24"/>
                <w:szCs w:val="24"/>
                <w:highlight w:val="none"/>
                <w:lang w:eastAsia="zh-CN"/>
              </w:rPr>
            </w:pPr>
            <w:r>
              <w:rPr>
                <w:b/>
                <w:bCs/>
                <w:color w:val="auto"/>
                <w:kern w:val="0"/>
                <w:sz w:val="24"/>
                <w:szCs w:val="24"/>
                <w:highlight w:val="none"/>
              </w:rPr>
              <w:t>总量平衡途径</w:t>
            </w:r>
            <w:r>
              <w:rPr>
                <w:rFonts w:hint="eastAsia"/>
                <w:b/>
                <w:bCs/>
                <w:color w:val="auto"/>
                <w:kern w:val="0"/>
                <w:sz w:val="24"/>
                <w:szCs w:val="24"/>
                <w:highlight w:val="none"/>
                <w:lang w:eastAsia="zh-CN"/>
              </w:rPr>
              <w:t>：</w:t>
            </w:r>
          </w:p>
          <w:p w14:paraId="40D3C4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本项目废水污染因子COD、氨氮排放量在苏州市</w:t>
            </w:r>
            <w:r>
              <w:rPr>
                <w:rFonts w:hint="eastAsia" w:cs="Times New Roman"/>
                <w:color w:val="auto"/>
                <w:sz w:val="24"/>
                <w:szCs w:val="24"/>
                <w:highlight w:val="none"/>
                <w:lang w:val="en-US" w:eastAsia="zh-CN"/>
              </w:rPr>
              <w:t>高铁新城污水厂</w:t>
            </w:r>
            <w:r>
              <w:rPr>
                <w:rFonts w:hint="default" w:ascii="Times New Roman" w:hAnsi="Times New Roman" w:cs="Times New Roman"/>
                <w:color w:val="auto"/>
                <w:sz w:val="24"/>
                <w:szCs w:val="24"/>
                <w:highlight w:val="none"/>
                <w:lang w:eastAsia="zh-CN"/>
              </w:rPr>
              <w:t>内平衡；根据《省政府办公厅关于印发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江苏省太湖流域建设项目重点水污染物排放总量指标减量替代管理暂行办法</w:t>
            </w:r>
            <w:r>
              <w:rPr>
                <w:rFonts w:hint="eastAsia" w:cs="Times New Roman"/>
                <w:color w:val="auto"/>
                <w:sz w:val="24"/>
                <w:szCs w:val="24"/>
                <w:highlight w:val="none"/>
                <w:lang w:eastAsia="zh-CN"/>
              </w:rPr>
              <w:t>〉的通知》</w:t>
            </w:r>
            <w:r>
              <w:rPr>
                <w:rFonts w:hint="default" w:ascii="Times New Roman" w:hAnsi="Times New Roman" w:cs="Times New Roman"/>
                <w:color w:val="auto"/>
                <w:sz w:val="24"/>
                <w:szCs w:val="24"/>
                <w:highlight w:val="none"/>
                <w:lang w:eastAsia="zh-CN"/>
              </w:rPr>
              <w:t>（苏政办发〔2018〕44号）中</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第十二条，战略性新兴产业新建、扩建项目新增的重点水污染物（总氮、总磷）排放总量应当从减量替代指标中取得，且按照不低于该项目新增年排放总量的1.1倍实施减量替代</w:t>
            </w:r>
            <w:r>
              <w:rPr>
                <w:rFonts w:hint="eastAsia" w:cs="Times New Roman"/>
                <w:color w:val="auto"/>
                <w:sz w:val="24"/>
                <w:szCs w:val="24"/>
                <w:highlight w:val="none"/>
                <w:lang w:eastAsia="zh-CN"/>
              </w:rPr>
              <w:t>”。</w:t>
            </w:r>
          </w:p>
          <w:p w14:paraId="535B9A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eastAsia="zh-CN"/>
              </w:rPr>
              <w:t>大气污染物</w:t>
            </w:r>
            <w:r>
              <w:rPr>
                <w:rFonts w:hint="eastAsia" w:cs="Times New Roman"/>
                <w:color w:val="auto"/>
                <w:sz w:val="24"/>
                <w:szCs w:val="24"/>
                <w:highlight w:val="none"/>
                <w:lang w:val="en-US" w:eastAsia="zh-CN"/>
              </w:rPr>
              <w:t>总量排放指标</w:t>
            </w:r>
            <w:r>
              <w:rPr>
                <w:rFonts w:hint="default" w:ascii="Times New Roman" w:hAnsi="Times New Roman" w:cs="Times New Roman"/>
                <w:color w:val="auto"/>
                <w:sz w:val="24"/>
                <w:szCs w:val="24"/>
                <w:highlight w:val="none"/>
                <w:lang w:eastAsia="zh-CN"/>
              </w:rPr>
              <w:t>在</w:t>
            </w:r>
            <w:r>
              <w:rPr>
                <w:rFonts w:hint="eastAsia" w:cs="Times New Roman"/>
                <w:color w:val="auto"/>
                <w:sz w:val="24"/>
                <w:szCs w:val="24"/>
                <w:highlight w:val="none"/>
                <w:lang w:val="en-US" w:eastAsia="zh-CN"/>
              </w:rPr>
              <w:t>太平镇</w:t>
            </w:r>
            <w:r>
              <w:rPr>
                <w:rFonts w:hint="default" w:ascii="Times New Roman" w:hAnsi="Times New Roman" w:cs="Times New Roman"/>
                <w:color w:val="auto"/>
                <w:sz w:val="24"/>
                <w:szCs w:val="24"/>
                <w:highlight w:val="none"/>
                <w:lang w:eastAsia="zh-CN"/>
              </w:rPr>
              <w:t>范围内平衡</w:t>
            </w:r>
            <w:r>
              <w:rPr>
                <w:rFonts w:hint="eastAsia" w:cs="Times New Roman"/>
                <w:color w:val="auto"/>
                <w:sz w:val="24"/>
                <w:szCs w:val="24"/>
                <w:highlight w:val="none"/>
                <w:lang w:eastAsia="zh-CN"/>
              </w:rPr>
              <w:t>。</w:t>
            </w:r>
          </w:p>
          <w:p w14:paraId="1919FE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Cs w:val="21"/>
                <w:highlight w:val="none"/>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eastAsia="zh-CN"/>
              </w:rPr>
              <w:t>固体废弃物严格按照环保要求处理和处置，固体废弃物实行零排放</w:t>
            </w:r>
            <w:r>
              <w:rPr>
                <w:rFonts w:hint="eastAsia" w:cs="Times New Roman"/>
                <w:color w:val="auto"/>
                <w:sz w:val="24"/>
                <w:szCs w:val="24"/>
                <w:highlight w:val="none"/>
                <w:lang w:eastAsia="zh-CN"/>
              </w:rPr>
              <w:t>。</w:t>
            </w:r>
          </w:p>
          <w:p w14:paraId="3AEF01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33A583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37AA22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65A188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31FC16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4B3511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72B6B0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29883A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659D1660">
            <w:pPr>
              <w:pStyle w:val="2"/>
              <w:rPr>
                <w:rFonts w:hint="default" w:ascii="Times New Roman" w:hAnsi="Times New Roman" w:cs="Times New Roman"/>
                <w:color w:val="auto"/>
                <w:sz w:val="24"/>
                <w:szCs w:val="24"/>
                <w:highlight w:val="none"/>
                <w:lang w:eastAsia="zh-CN"/>
              </w:rPr>
            </w:pPr>
          </w:p>
          <w:p w14:paraId="68A8384F">
            <w:pPr>
              <w:rPr>
                <w:rFonts w:hint="default" w:ascii="Times New Roman" w:hAnsi="Times New Roman" w:cs="Times New Roman"/>
                <w:color w:val="auto"/>
                <w:sz w:val="24"/>
                <w:szCs w:val="24"/>
                <w:highlight w:val="none"/>
                <w:lang w:eastAsia="zh-CN"/>
              </w:rPr>
            </w:pPr>
          </w:p>
          <w:p w14:paraId="00A251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14BD80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eastAsia="zh-CN"/>
              </w:rPr>
            </w:pPr>
          </w:p>
          <w:p w14:paraId="69F4C608">
            <w:pPr>
              <w:rPr>
                <w:color w:val="auto"/>
              </w:rPr>
            </w:pPr>
          </w:p>
        </w:tc>
      </w:tr>
    </w:tbl>
    <w:p w14:paraId="7ED289C6">
      <w:pPr>
        <w:spacing w:line="360" w:lineRule="auto"/>
        <w:ind w:firstLine="720" w:firstLineChars="200"/>
        <w:rPr>
          <w:rFonts w:ascii="Times New Roman" w:hAnsi="Times New Roman"/>
          <w:snapToGrid w:val="0"/>
          <w:color w:val="auto"/>
          <w:sz w:val="36"/>
          <w:szCs w:val="36"/>
          <w:highlight w:val="none"/>
        </w:rPr>
      </w:pPr>
    </w:p>
    <w:p w14:paraId="399F7E3D">
      <w:pPr>
        <w:pStyle w:val="18"/>
        <w:spacing w:before="0" w:beforeAutospacing="0" w:after="0" w:afterAutospacing="0"/>
        <w:jc w:val="center"/>
        <w:outlineLvl w:val="0"/>
        <w:rPr>
          <w:rFonts w:ascii="Times New Roman" w:hAnsi="Times New Roman"/>
          <w:snapToGrid w:val="0"/>
          <w:color w:val="auto"/>
          <w:sz w:val="36"/>
          <w:szCs w:val="36"/>
          <w:highlight w:val="none"/>
        </w:rPr>
        <w:sectPr>
          <w:pgSz w:w="16840" w:h="11907"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5ADEA4E8">
      <w:pPr>
        <w:pStyle w:val="18"/>
        <w:spacing w:before="0" w:beforeAutospacing="0" w:after="0" w:afterAutospacing="0"/>
        <w:jc w:val="center"/>
        <w:outlineLvl w:val="0"/>
        <w:rPr>
          <w:rFonts w:ascii="Times New Roman" w:hAnsi="Times New Roman"/>
          <w:snapToGrid w:val="0"/>
          <w:color w:val="auto"/>
          <w:sz w:val="30"/>
          <w:szCs w:val="30"/>
          <w:highlight w:val="none"/>
        </w:rPr>
      </w:pPr>
      <w:bookmarkStart w:id="17" w:name="_Toc1202"/>
      <w:bookmarkStart w:id="18" w:name="_Toc15549"/>
      <w:r>
        <w:rPr>
          <w:rFonts w:ascii="Times New Roman" w:hAnsi="Times New Roman"/>
          <w:b/>
          <w:snapToGrid w:val="0"/>
          <w:color w:val="auto"/>
          <w:sz w:val="30"/>
          <w:szCs w:val="30"/>
          <w:highlight w:val="none"/>
        </w:rPr>
        <w:t>四、主要环境影响和保护措施</w:t>
      </w:r>
      <w:bookmarkEnd w:id="17"/>
      <w:bookmarkEnd w:id="18"/>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9503"/>
      </w:tblGrid>
      <w:tr w14:paraId="3E64C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3" w:hRule="atLeast"/>
          <w:jc w:val="center"/>
        </w:trPr>
        <w:tc>
          <w:tcPr>
            <w:tcW w:w="191" w:type="pct"/>
            <w:tcMar>
              <w:left w:w="28" w:type="dxa"/>
              <w:right w:w="28" w:type="dxa"/>
            </w:tcMar>
            <w:vAlign w:val="center"/>
          </w:tcPr>
          <w:p w14:paraId="2A694155">
            <w:pPr>
              <w:pStyle w:val="18"/>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color w:val="auto"/>
                <w:kern w:val="2"/>
                <w:sz w:val="24"/>
                <w:szCs w:val="24"/>
                <w:highlight w:val="none"/>
              </w:rPr>
              <w:t>施工期环境保护措施</w:t>
            </w:r>
          </w:p>
        </w:tc>
        <w:tc>
          <w:tcPr>
            <w:tcW w:w="4808" w:type="pct"/>
          </w:tcPr>
          <w:p w14:paraId="24EC2CD5">
            <w:pPr>
              <w:spacing w:line="360" w:lineRule="auto"/>
              <w:ind w:firstLine="480" w:firstLineChars="200"/>
              <w:rPr>
                <w:color w:val="auto"/>
              </w:rPr>
            </w:pPr>
            <w:r>
              <w:rPr>
                <w:bCs/>
                <w:color w:val="auto"/>
                <w:sz w:val="24"/>
                <w:szCs w:val="24"/>
                <w:highlight w:val="none"/>
              </w:rPr>
              <w:t>本项目利用已建厂房作为生产场所，没有土建施工，不产生土建施工的相关环境影响</w:t>
            </w:r>
            <w:r>
              <w:rPr>
                <w:rFonts w:hint="eastAsia"/>
                <w:bCs/>
                <w:color w:val="auto"/>
                <w:sz w:val="24"/>
                <w:szCs w:val="24"/>
                <w:highlight w:val="none"/>
                <w:lang w:eastAsia="zh-CN"/>
              </w:rPr>
              <w:t>，</w:t>
            </w:r>
            <w:r>
              <w:rPr>
                <w:bCs/>
                <w:color w:val="auto"/>
                <w:sz w:val="24"/>
                <w:szCs w:val="24"/>
                <w:highlight w:val="none"/>
              </w:rPr>
              <w:t>如机械噪声和扬尘等污染问题。但在设备安装过</w:t>
            </w:r>
            <w:r>
              <w:rPr>
                <w:rFonts w:hint="eastAsia"/>
                <w:bCs/>
                <w:color w:val="auto"/>
                <w:sz w:val="24"/>
                <w:szCs w:val="24"/>
                <w:highlight w:val="none"/>
                <w:lang w:eastAsia="zh-CN"/>
              </w:rPr>
              <w:t>程、</w:t>
            </w:r>
            <w:r>
              <w:rPr>
                <w:rFonts w:hint="eastAsia"/>
                <w:bCs/>
                <w:color w:val="auto"/>
                <w:sz w:val="24"/>
                <w:szCs w:val="24"/>
                <w:highlight w:val="none"/>
                <w:lang w:val="en-US" w:eastAsia="zh-CN"/>
              </w:rPr>
              <w:t>环保设施升级改造</w:t>
            </w:r>
            <w:r>
              <w:rPr>
                <w:rFonts w:hint="eastAsia"/>
                <w:bCs/>
                <w:color w:val="auto"/>
                <w:sz w:val="24"/>
                <w:szCs w:val="24"/>
                <w:highlight w:val="none"/>
                <w:lang w:eastAsia="zh-CN"/>
              </w:rPr>
              <w:t>中</w:t>
            </w:r>
            <w:r>
              <w:rPr>
                <w:bCs/>
                <w:color w:val="auto"/>
                <w:sz w:val="24"/>
                <w:szCs w:val="24"/>
                <w:highlight w:val="none"/>
              </w:rPr>
              <w:t>会产生一些机械噪声，源强峰值可达85-100分贝，因此，为控制设备安装期间的噪声污染，施工单位应尽量采用低噪声的器械，避免夜间进行高噪振动操作，从而减轻对厂界周围声环境的影响。另外设备安装期间产生生活污水应排入污水管网，生活垃圾应及时收集处理，设备安装</w:t>
            </w:r>
            <w:r>
              <w:rPr>
                <w:rFonts w:hint="eastAsia"/>
                <w:bCs/>
                <w:color w:val="auto"/>
                <w:sz w:val="24"/>
                <w:szCs w:val="24"/>
                <w:highlight w:val="none"/>
                <w:lang w:eastAsia="zh-CN"/>
              </w:rPr>
              <w:t>期间</w:t>
            </w:r>
            <w:r>
              <w:rPr>
                <w:bCs/>
                <w:color w:val="auto"/>
                <w:sz w:val="24"/>
                <w:szCs w:val="24"/>
                <w:highlight w:val="none"/>
              </w:rPr>
              <w:t>产生的固废应妥善处理，能回用的应回用，不能回用的应根据固废的性质不同交由不同的处理部门处理。设备安装期的影响较短暂</w:t>
            </w:r>
            <w:r>
              <w:rPr>
                <w:rFonts w:hint="eastAsia"/>
                <w:bCs/>
                <w:color w:val="auto"/>
                <w:sz w:val="24"/>
                <w:szCs w:val="24"/>
                <w:highlight w:val="none"/>
              </w:rPr>
              <w:t>，</w:t>
            </w:r>
            <w:r>
              <w:rPr>
                <w:bCs/>
                <w:color w:val="auto"/>
                <w:sz w:val="24"/>
                <w:szCs w:val="24"/>
                <w:highlight w:val="none"/>
              </w:rPr>
              <w:t>随着安装调试的结束，环境影响随即停止。</w:t>
            </w:r>
          </w:p>
        </w:tc>
      </w:tr>
      <w:tr w14:paraId="27128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1" w:hRule="atLeast"/>
          <w:jc w:val="center"/>
        </w:trPr>
        <w:tc>
          <w:tcPr>
            <w:tcW w:w="191" w:type="pct"/>
            <w:tcMar>
              <w:left w:w="28" w:type="dxa"/>
              <w:right w:w="28" w:type="dxa"/>
            </w:tcMar>
            <w:vAlign w:val="center"/>
          </w:tcPr>
          <w:p w14:paraId="3A74075E">
            <w:pPr>
              <w:adjustRightInd w:val="0"/>
              <w:snapToGrid w:val="0"/>
              <w:jc w:val="center"/>
              <w:rPr>
                <w:bCs/>
                <w:color w:val="auto"/>
                <w:szCs w:val="21"/>
                <w:highlight w:val="none"/>
              </w:rPr>
            </w:pPr>
            <w:r>
              <w:rPr>
                <w:bCs/>
                <w:color w:val="auto"/>
                <w:sz w:val="24"/>
                <w:szCs w:val="24"/>
                <w:highlight w:val="none"/>
              </w:rPr>
              <w:t>运营期环境影响和保护措施</w:t>
            </w:r>
          </w:p>
        </w:tc>
        <w:tc>
          <w:tcPr>
            <w:tcW w:w="4808" w:type="pct"/>
          </w:tcPr>
          <w:p w14:paraId="104B7AEA">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废气</w:t>
            </w:r>
          </w:p>
          <w:p w14:paraId="3AB72DB6">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 xml:space="preserve">1.1  </w:t>
            </w:r>
            <w:r>
              <w:rPr>
                <w:rFonts w:hint="default" w:ascii="Times New Roman" w:hAnsi="Times New Roman" w:eastAsia="宋体" w:cs="Times New Roman"/>
                <w:b/>
                <w:color w:val="auto"/>
                <w:sz w:val="24"/>
                <w:szCs w:val="24"/>
                <w:highlight w:val="none"/>
              </w:rPr>
              <w:t>废气产生情况</w:t>
            </w:r>
          </w:p>
          <w:p w14:paraId="20617CA1">
            <w:pPr>
              <w:pStyle w:val="29"/>
              <w:spacing w:line="360" w:lineRule="auto"/>
              <w:ind w:firstLine="480" w:firstLineChars="200"/>
              <w:jc w:val="both"/>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本项目生产过程产生的废气主要为</w:t>
            </w:r>
            <w:r>
              <w:rPr>
                <w:rFonts w:hint="eastAsia" w:ascii="Times New Roman" w:cs="Times New Roman"/>
                <w:b w:val="0"/>
                <w:bCs w:val="0"/>
                <w:color w:val="auto"/>
                <w:sz w:val="24"/>
                <w:szCs w:val="24"/>
                <w:highlight w:val="none"/>
                <w:lang w:val="en-US" w:eastAsia="zh-CN"/>
              </w:rPr>
              <w:t>电泳线酸洗槽产生的酸洗废气、电泳槽产生的废气、电泳烘干产生的废气、喷粉前处理线酸洗槽产生的酸洗废气，喷粉产生的废气、喷粉后烘干产生的废气、污水处理站废气</w:t>
            </w:r>
            <w:r>
              <w:rPr>
                <w:rFonts w:hint="default" w:ascii="Times New Roman" w:hAnsi="Times New Roman" w:eastAsia="宋体" w:cs="Times New Roman"/>
                <w:b w:val="0"/>
                <w:bCs w:val="0"/>
                <w:color w:val="auto"/>
                <w:sz w:val="24"/>
                <w:szCs w:val="24"/>
                <w:highlight w:val="none"/>
              </w:rPr>
              <w:t>。</w:t>
            </w:r>
          </w:p>
          <w:p w14:paraId="56F6FA56">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1.2  废气源强</w:t>
            </w:r>
          </w:p>
          <w:p w14:paraId="5BEEAAE1">
            <w:pPr>
              <w:autoSpaceDE w:val="0"/>
              <w:autoSpaceDN w:val="0"/>
              <w:adjustRightInd w:val="0"/>
              <w:spacing w:line="360" w:lineRule="auto"/>
              <w:ind w:firstLine="482" w:firstLineChars="200"/>
              <w:rPr>
                <w:rFonts w:hint="default" w:ascii="Times New Roman" w:hAnsi="Times New Roman" w:eastAsia="宋体" w:cs="Times New Roman"/>
                <w:b/>
                <w:bCs/>
                <w:color w:val="auto"/>
                <w:kern w:val="0"/>
                <w:sz w:val="24"/>
                <w:szCs w:val="24"/>
                <w:highlight w:val="none"/>
              </w:rPr>
            </w:pPr>
            <w:bookmarkStart w:id="19" w:name="OLE_LINK6"/>
            <w:r>
              <w:rPr>
                <w:rFonts w:hint="eastAsia" w:cs="Times New Roman"/>
                <w:b/>
                <w:bCs/>
                <w:color w:val="auto"/>
                <w:kern w:val="0"/>
                <w:sz w:val="24"/>
                <w:szCs w:val="24"/>
                <w:highlight w:val="none"/>
                <w:lang w:val="en-US" w:eastAsia="zh-CN"/>
              </w:rPr>
              <w:t>（1）电泳线</w:t>
            </w:r>
            <w:r>
              <w:rPr>
                <w:rFonts w:hint="default" w:ascii="Times New Roman" w:hAnsi="Times New Roman" w:eastAsia="宋体" w:cs="Times New Roman"/>
                <w:b/>
                <w:bCs/>
                <w:color w:val="auto"/>
                <w:kern w:val="0"/>
                <w:sz w:val="24"/>
                <w:szCs w:val="24"/>
                <w:highlight w:val="none"/>
              </w:rPr>
              <w:t>废气</w:t>
            </w:r>
          </w:p>
          <w:p w14:paraId="0EF9725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1）电泳线酸洗槽废气</w:t>
            </w:r>
          </w:p>
          <w:p w14:paraId="3860CD5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本项目电泳线酸洗过程使用硫酸（浓度为98%），使用时硫酸调配浓度为5%，因此酸洗时硫酸浓度为4.9%，低于10%，硫酸雾产生量参考《污染源源强核算技术指南 电镀》（HJ 984—2018）附录B.1中弱硫酸酸洗，产生量可忽略，本次评价仅做定性分析，在车间无组织排放。</w:t>
            </w:r>
          </w:p>
          <w:p w14:paraId="55118F2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2）电泳槽废气、电泳固化烘干废气</w:t>
            </w:r>
          </w:p>
          <w:p w14:paraId="0B0F595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本项目电泳涂装所用的电泳漆主要是电泳漆树脂</w:t>
            </w:r>
            <w:r>
              <w:rPr>
                <w:rFonts w:hint="eastAsia" w:cs="Times New Roman"/>
                <w:color w:val="auto"/>
                <w:kern w:val="0"/>
                <w:sz w:val="24"/>
                <w:szCs w:val="24"/>
                <w:highlight w:val="none"/>
                <w:lang w:val="en-US" w:eastAsia="zh-CN"/>
              </w:rPr>
              <w:t>和电泳漆色浆进行调配，调配比为4：1，本项目电泳漆树脂使用量为9.6t/a，色浆使用量为2.4t/a，根据前文分析可知，本项目配比后电泳漆中的挥发分含量为17.46%，以非甲烷总烃计，则非甲烷总烃产生量为2.0952t/a。</w:t>
            </w:r>
          </w:p>
          <w:p w14:paraId="3E5A19E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电泳线产生的有机废气主要可以分为三部分，一部分为调漆过程中挥发</w:t>
            </w:r>
            <w:r>
              <w:rPr>
                <w:rFonts w:hint="eastAsia" w:cs="Times New Roman"/>
                <w:color w:val="auto"/>
                <w:kern w:val="0"/>
                <w:sz w:val="24"/>
                <w:szCs w:val="24"/>
                <w:highlight w:val="none"/>
                <w:lang w:val="en-US" w:eastAsia="zh-CN"/>
              </w:rPr>
              <w:t>（本次调漆在车间进行，计入电泳过程）</w:t>
            </w:r>
            <w:r>
              <w:rPr>
                <w:rFonts w:hint="default" w:cs="Times New Roman"/>
                <w:color w:val="auto"/>
                <w:kern w:val="0"/>
                <w:sz w:val="24"/>
                <w:szCs w:val="24"/>
                <w:highlight w:val="none"/>
                <w:lang w:val="en-US" w:eastAsia="zh-CN"/>
              </w:rPr>
              <w:t>；一部分为电泳过</w:t>
            </w:r>
            <w:r>
              <w:rPr>
                <w:rFonts w:hint="eastAsia" w:cs="Times New Roman"/>
                <w:color w:val="auto"/>
                <w:kern w:val="0"/>
                <w:sz w:val="24"/>
                <w:szCs w:val="24"/>
                <w:highlight w:val="none"/>
                <w:lang w:val="en-US" w:eastAsia="zh-CN"/>
              </w:rPr>
              <w:t>程中</w:t>
            </w:r>
            <w:r>
              <w:rPr>
                <w:rFonts w:hint="default" w:cs="Times New Roman"/>
                <w:color w:val="auto"/>
                <w:kern w:val="0"/>
                <w:sz w:val="24"/>
                <w:szCs w:val="24"/>
                <w:highlight w:val="none"/>
                <w:lang w:val="en-US" w:eastAsia="zh-CN"/>
              </w:rPr>
              <w:t>挥发的有机废气；另一部分为烘干过程中挥发。参照《</w:t>
            </w:r>
            <w:r>
              <w:rPr>
                <w:rFonts w:hint="eastAsia" w:cs="Times New Roman"/>
                <w:color w:val="auto"/>
                <w:kern w:val="0"/>
                <w:sz w:val="24"/>
                <w:szCs w:val="24"/>
                <w:highlight w:val="none"/>
                <w:lang w:val="en-US" w:eastAsia="zh-CN"/>
              </w:rPr>
              <w:t>污染源源强核算技术指南 汽车制造</w:t>
            </w:r>
            <w:r>
              <w:rPr>
                <w:rFonts w:hint="default" w:cs="Times New Roman"/>
                <w:color w:val="auto"/>
                <w:kern w:val="0"/>
                <w:sz w:val="24"/>
                <w:szCs w:val="24"/>
                <w:highlight w:val="none"/>
                <w:lang w:val="en-US" w:eastAsia="zh-CN"/>
              </w:rPr>
              <w:t>》（HJ1097-2020）附录E，电泳过程挥发的有机废气以35%计（</w:t>
            </w:r>
            <w:r>
              <w:rPr>
                <w:rFonts w:hint="eastAsia" w:cs="Times New Roman"/>
                <w:color w:val="auto"/>
                <w:kern w:val="0"/>
                <w:sz w:val="24"/>
                <w:szCs w:val="24"/>
                <w:highlight w:val="none"/>
                <w:lang w:val="en-US" w:eastAsia="zh-CN"/>
              </w:rPr>
              <w:t>0.7333</w:t>
            </w:r>
            <w:r>
              <w:rPr>
                <w:rFonts w:hint="default" w:cs="Times New Roman"/>
                <w:color w:val="auto"/>
                <w:kern w:val="0"/>
                <w:sz w:val="24"/>
                <w:szCs w:val="24"/>
                <w:highlight w:val="none"/>
                <w:lang w:val="en-US" w:eastAsia="zh-CN"/>
              </w:rPr>
              <w:t>t/a），烘干过程挥发的有机废气以65%计（</w:t>
            </w:r>
            <w:r>
              <w:rPr>
                <w:rFonts w:hint="eastAsia" w:cs="Times New Roman"/>
                <w:color w:val="auto"/>
                <w:kern w:val="0"/>
                <w:sz w:val="24"/>
                <w:szCs w:val="24"/>
                <w:highlight w:val="none"/>
                <w:lang w:val="en-US" w:eastAsia="zh-CN"/>
              </w:rPr>
              <w:t>1.3619</w:t>
            </w:r>
            <w:r>
              <w:rPr>
                <w:rFonts w:hint="default" w:cs="Times New Roman"/>
                <w:color w:val="auto"/>
                <w:kern w:val="0"/>
                <w:sz w:val="24"/>
                <w:szCs w:val="24"/>
                <w:highlight w:val="none"/>
                <w:lang w:val="en-US" w:eastAsia="zh-CN"/>
              </w:rPr>
              <w:t>t/a）</w:t>
            </w:r>
            <w:r>
              <w:rPr>
                <w:rFonts w:hint="eastAsia" w:cs="Times New Roman"/>
                <w:color w:val="auto"/>
                <w:kern w:val="0"/>
                <w:sz w:val="24"/>
                <w:szCs w:val="24"/>
                <w:highlight w:val="none"/>
                <w:lang w:val="en-US" w:eastAsia="zh-CN"/>
              </w:rPr>
              <w:t>。</w:t>
            </w:r>
          </w:p>
          <w:p w14:paraId="4B1836D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①电泳废气</w:t>
            </w:r>
          </w:p>
          <w:p w14:paraId="5655A6C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电泳过程挥发的有机废气为</w:t>
            </w:r>
            <w:r>
              <w:rPr>
                <w:rFonts w:hint="eastAsia" w:cs="Times New Roman"/>
                <w:color w:val="auto"/>
                <w:kern w:val="0"/>
                <w:sz w:val="24"/>
                <w:szCs w:val="24"/>
                <w:highlight w:val="none"/>
                <w:lang w:val="en-US" w:eastAsia="zh-CN"/>
              </w:rPr>
              <w:t>0.7333</w:t>
            </w:r>
            <w:r>
              <w:rPr>
                <w:rFonts w:hint="default" w:cs="Times New Roman"/>
                <w:color w:val="auto"/>
                <w:kern w:val="0"/>
                <w:sz w:val="24"/>
                <w:szCs w:val="24"/>
                <w:highlight w:val="none"/>
                <w:lang w:val="en-US" w:eastAsia="zh-CN"/>
              </w:rPr>
              <w:t>t/a。</w:t>
            </w:r>
          </w:p>
          <w:p w14:paraId="1B1D267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②固化烘干废气</w:t>
            </w:r>
          </w:p>
          <w:p w14:paraId="2411B9C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电泳</w:t>
            </w:r>
            <w:r>
              <w:rPr>
                <w:rFonts w:hint="eastAsia" w:cs="Times New Roman"/>
                <w:color w:val="auto"/>
                <w:kern w:val="0"/>
                <w:sz w:val="24"/>
                <w:szCs w:val="24"/>
                <w:highlight w:val="none"/>
                <w:lang w:val="en-US" w:eastAsia="zh-CN"/>
              </w:rPr>
              <w:t>固化烘干</w:t>
            </w:r>
            <w:r>
              <w:rPr>
                <w:rFonts w:hint="default" w:cs="Times New Roman"/>
                <w:color w:val="auto"/>
                <w:kern w:val="0"/>
                <w:sz w:val="24"/>
                <w:szCs w:val="24"/>
                <w:highlight w:val="none"/>
                <w:lang w:val="en-US" w:eastAsia="zh-CN"/>
              </w:rPr>
              <w:t>过程挥发的有机废气为</w:t>
            </w:r>
            <w:r>
              <w:rPr>
                <w:rFonts w:hint="eastAsia" w:cs="Times New Roman"/>
                <w:color w:val="auto"/>
                <w:kern w:val="0"/>
                <w:sz w:val="24"/>
                <w:szCs w:val="24"/>
                <w:highlight w:val="none"/>
                <w:lang w:val="en-US" w:eastAsia="zh-CN"/>
              </w:rPr>
              <w:t>1.3619</w:t>
            </w:r>
            <w:r>
              <w:rPr>
                <w:rFonts w:hint="default" w:cs="Times New Roman"/>
                <w:color w:val="auto"/>
                <w:kern w:val="0"/>
                <w:sz w:val="24"/>
                <w:szCs w:val="24"/>
                <w:highlight w:val="none"/>
                <w:lang w:val="en-US" w:eastAsia="zh-CN"/>
              </w:rPr>
              <w:t>t/a。</w:t>
            </w:r>
          </w:p>
          <w:p w14:paraId="28C91C6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电泳烘干工段采用天然气直接加热，天然气用量</w:t>
            </w:r>
            <w:r>
              <w:rPr>
                <w:rFonts w:hint="eastAsia" w:cs="Times New Roman"/>
                <w:color w:val="auto"/>
                <w:kern w:val="0"/>
                <w:sz w:val="24"/>
                <w:szCs w:val="24"/>
                <w:highlight w:val="none"/>
                <w:lang w:val="en-US" w:eastAsia="zh-CN"/>
              </w:rPr>
              <w:t>10</w:t>
            </w:r>
            <w:r>
              <w:rPr>
                <w:rFonts w:hint="default" w:cs="Times New Roman"/>
                <w:color w:val="auto"/>
                <w:kern w:val="0"/>
                <w:sz w:val="24"/>
                <w:szCs w:val="24"/>
                <w:highlight w:val="none"/>
                <w:lang w:val="en-US" w:eastAsia="zh-CN"/>
              </w:rPr>
              <w:t>万</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lang w:val="en-US" w:eastAsia="zh-CN"/>
              </w:rPr>
              <w:t>/a</w:t>
            </w:r>
            <w:r>
              <w:rPr>
                <w:rFonts w:hint="default" w:cs="Times New Roman"/>
                <w:color w:val="auto"/>
                <w:kern w:val="0"/>
                <w:sz w:val="24"/>
                <w:szCs w:val="24"/>
                <w:highlight w:val="none"/>
                <w:lang w:val="en-US" w:eastAsia="zh-CN"/>
              </w:rPr>
              <w:t>。根据《排放源统计调查产排污核算方法和系数手册》中排放系数：</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33-37、431-434 机械行业系数手册--14</w:t>
            </w:r>
            <w:r>
              <w:rPr>
                <w:rFonts w:hint="eastAsia" w:cs="Times New Roman"/>
                <w:color w:val="auto"/>
                <w:kern w:val="0"/>
                <w:sz w:val="24"/>
                <w:szCs w:val="24"/>
                <w:highlight w:val="none"/>
                <w:lang w:val="en-US" w:eastAsia="zh-CN"/>
              </w:rPr>
              <w:t xml:space="preserve"> </w:t>
            </w:r>
            <w:r>
              <w:rPr>
                <w:rFonts w:hint="default" w:cs="Times New Roman"/>
                <w:color w:val="auto"/>
                <w:kern w:val="0"/>
                <w:sz w:val="24"/>
                <w:szCs w:val="24"/>
                <w:highlight w:val="none"/>
                <w:lang w:val="en-US" w:eastAsia="zh-CN"/>
              </w:rPr>
              <w:t>涂装--天然气工业炉窑</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产污系数：工业废气量13.6m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-原料、颗粒物0.000286kg/m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-原料、SO</w:t>
            </w:r>
            <w:r>
              <w:rPr>
                <w:rFonts w:hint="default" w:cs="Times New Roman"/>
                <w:color w:val="auto"/>
                <w:kern w:val="0"/>
                <w:sz w:val="24"/>
                <w:szCs w:val="24"/>
                <w:highlight w:val="none"/>
                <w:vertAlign w:val="subscript"/>
                <w:lang w:val="en-US" w:eastAsia="zh-CN"/>
              </w:rPr>
              <w:t>2</w:t>
            </w:r>
            <w:r>
              <w:rPr>
                <w:rFonts w:hint="default" w:cs="Times New Roman"/>
                <w:color w:val="auto"/>
                <w:kern w:val="0"/>
                <w:sz w:val="24"/>
                <w:szCs w:val="24"/>
                <w:highlight w:val="none"/>
                <w:lang w:val="en-US" w:eastAsia="zh-CN"/>
              </w:rPr>
              <w:t>0.000002Skg/m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-原料、NOx0.00187kg/m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-原料；根据《天然气》（GB17820-2018），天然气硫含量取值100mg/m</w:t>
            </w:r>
            <w:r>
              <w:rPr>
                <w:rFonts w:hint="default"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。天然气燃烧废气核算如下：</w:t>
            </w:r>
          </w:p>
          <w:p w14:paraId="6A72F715">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项目电泳漆烘干天然气废气产生量核算</w:t>
            </w:r>
            <w:r>
              <w:rPr>
                <w:rFonts w:hint="eastAsia" w:ascii="Times New Roman" w:hAnsi="Times New Roman" w:eastAsia="宋体" w:cs="Times New Roman"/>
                <w:b/>
                <w:color w:val="auto"/>
                <w:kern w:val="0"/>
                <w:sz w:val="24"/>
                <w:szCs w:val="24"/>
                <w:highlight w:val="none"/>
                <w:lang w:val="en-US" w:eastAsia="zh-CN"/>
              </w:rPr>
              <w:t>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406"/>
              <w:gridCol w:w="1695"/>
              <w:gridCol w:w="1950"/>
              <w:gridCol w:w="3199"/>
            </w:tblGrid>
            <w:tr w14:paraId="5D358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pct"/>
                  <w:tcBorders>
                    <w:tl2br w:val="nil"/>
                    <w:tr2bl w:val="nil"/>
                  </w:tcBorders>
                  <w:vAlign w:val="center"/>
                </w:tcPr>
                <w:p w14:paraId="12A77E39">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天然气用量（万m</w:t>
                  </w:r>
                  <w:r>
                    <w:rPr>
                      <w:rFonts w:hint="eastAsia" w:eastAsia="仿宋" w:cs="Times New Roman"/>
                      <w:b/>
                      <w:bCs/>
                      <w:color w:val="auto"/>
                      <w:sz w:val="21"/>
                      <w:szCs w:val="21"/>
                      <w:vertAlign w:val="superscript"/>
                      <w:lang w:val="en-US" w:eastAsia="zh-CN"/>
                    </w:rPr>
                    <w:t>3</w:t>
                  </w:r>
                  <w:r>
                    <w:rPr>
                      <w:rFonts w:hint="eastAsia" w:eastAsia="仿宋" w:cs="Times New Roman"/>
                      <w:b/>
                      <w:bCs/>
                      <w:color w:val="auto"/>
                      <w:sz w:val="21"/>
                      <w:szCs w:val="21"/>
                      <w:lang w:val="en-US" w:eastAsia="zh-CN"/>
                    </w:rPr>
                    <w:t>/a）</w:t>
                  </w:r>
                </w:p>
              </w:tc>
              <w:tc>
                <w:tcPr>
                  <w:tcW w:w="916" w:type="pct"/>
                  <w:tcBorders>
                    <w:tl2br w:val="nil"/>
                    <w:tr2bl w:val="nil"/>
                  </w:tcBorders>
                  <w:vAlign w:val="center"/>
                </w:tcPr>
                <w:p w14:paraId="34B79A68">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污染物</w:t>
                  </w:r>
                </w:p>
              </w:tc>
              <w:tc>
                <w:tcPr>
                  <w:tcW w:w="1054" w:type="pct"/>
                  <w:tcBorders>
                    <w:tl2br w:val="nil"/>
                    <w:tr2bl w:val="nil"/>
                  </w:tcBorders>
                  <w:vAlign w:val="center"/>
                </w:tcPr>
                <w:p w14:paraId="35798B2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lang w:val="en-US" w:eastAsia="zh-CN"/>
                    </w:rPr>
                    <w:t>系数</w:t>
                  </w:r>
                </w:p>
              </w:tc>
              <w:tc>
                <w:tcPr>
                  <w:tcW w:w="1729" w:type="pct"/>
                  <w:tcBorders>
                    <w:tl2br w:val="nil"/>
                    <w:tr2bl w:val="nil"/>
                  </w:tcBorders>
                  <w:vAlign w:val="center"/>
                </w:tcPr>
                <w:p w14:paraId="44F9ADF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仿宋"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电泳固化烘干-废气产生量t/a</w:t>
                  </w:r>
                </w:p>
              </w:tc>
            </w:tr>
            <w:tr w14:paraId="70AB0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pct"/>
                  <w:vMerge w:val="restart"/>
                  <w:tcBorders>
                    <w:tl2br w:val="nil"/>
                    <w:tr2bl w:val="nil"/>
                  </w:tcBorders>
                  <w:vAlign w:val="center"/>
                </w:tcPr>
                <w:p w14:paraId="69F23EE5">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10</w:t>
                  </w:r>
                </w:p>
              </w:tc>
              <w:tc>
                <w:tcPr>
                  <w:tcW w:w="916" w:type="pct"/>
                  <w:tcBorders>
                    <w:tl2br w:val="nil"/>
                    <w:tr2bl w:val="nil"/>
                  </w:tcBorders>
                  <w:vAlign w:val="center"/>
                </w:tcPr>
                <w:p w14:paraId="0F3E74CC">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废气量</w:t>
                  </w:r>
                </w:p>
              </w:tc>
              <w:tc>
                <w:tcPr>
                  <w:tcW w:w="1054" w:type="pct"/>
                  <w:tcBorders>
                    <w:tl2br w:val="nil"/>
                    <w:tr2bl w:val="nil"/>
                  </w:tcBorders>
                  <w:vAlign w:val="center"/>
                </w:tcPr>
                <w:p w14:paraId="02C20E22">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13.6m</w:t>
                  </w:r>
                  <w:r>
                    <w:rPr>
                      <w:rFonts w:hint="eastAsia" w:eastAsia="仿宋" w:cs="Times New Roman"/>
                      <w:color w:val="auto"/>
                      <w:sz w:val="21"/>
                      <w:szCs w:val="21"/>
                      <w:vertAlign w:val="superscript"/>
                      <w:lang w:val="en-US" w:eastAsia="zh-CN"/>
                    </w:rPr>
                    <w:t>3</w:t>
                  </w:r>
                  <w:r>
                    <w:rPr>
                      <w:rFonts w:hint="default" w:eastAsia="仿宋" w:cs="Times New Roman"/>
                      <w:color w:val="auto"/>
                      <w:sz w:val="21"/>
                      <w:szCs w:val="21"/>
                      <w:lang w:val="en-US" w:eastAsia="zh-CN"/>
                    </w:rPr>
                    <w:t>/m</w:t>
                  </w:r>
                  <w:r>
                    <w:rPr>
                      <w:rFonts w:hint="eastAsia" w:eastAsia="仿宋" w:cs="Times New Roman"/>
                      <w:color w:val="auto"/>
                      <w:sz w:val="21"/>
                      <w:szCs w:val="21"/>
                      <w:vertAlign w:val="superscript"/>
                      <w:lang w:val="en-US" w:eastAsia="zh-CN"/>
                    </w:rPr>
                    <w:t>3</w:t>
                  </w:r>
                </w:p>
              </w:tc>
              <w:tc>
                <w:tcPr>
                  <w:tcW w:w="1729" w:type="pct"/>
                  <w:tcBorders>
                    <w:tl2br w:val="nil"/>
                    <w:tr2bl w:val="nil"/>
                  </w:tcBorders>
                  <w:vAlign w:val="center"/>
                </w:tcPr>
                <w:p w14:paraId="178FB33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136</w:t>
                  </w:r>
                  <w:r>
                    <w:rPr>
                      <w:rFonts w:hint="eastAsia" w:ascii="仿宋" w:hAnsi="仿宋" w:eastAsia="仿宋" w:cs="仿宋"/>
                      <w:i w:val="0"/>
                      <w:iCs w:val="0"/>
                      <w:color w:val="auto"/>
                      <w:kern w:val="0"/>
                      <w:sz w:val="21"/>
                      <w:szCs w:val="21"/>
                      <w:u w:val="none"/>
                      <w:lang w:val="en-US" w:eastAsia="zh-CN" w:bidi="ar"/>
                    </w:rPr>
                    <w:t>万</w:t>
                  </w:r>
                  <w:r>
                    <w:rPr>
                      <w:rFonts w:hint="default" w:eastAsia="仿宋" w:cs="Times New Roman"/>
                      <w:color w:val="auto"/>
                      <w:sz w:val="21"/>
                      <w:szCs w:val="21"/>
                      <w:lang w:val="en-US" w:eastAsia="zh-CN"/>
                    </w:rPr>
                    <w:t>m</w:t>
                  </w:r>
                  <w:r>
                    <w:rPr>
                      <w:rFonts w:hint="eastAsia" w:eastAsia="仿宋" w:cs="Times New Roman"/>
                      <w:color w:val="auto"/>
                      <w:sz w:val="21"/>
                      <w:szCs w:val="21"/>
                      <w:vertAlign w:val="superscript"/>
                      <w:lang w:val="en-US" w:eastAsia="zh-CN"/>
                    </w:rPr>
                    <w:t>3</w:t>
                  </w:r>
                  <w:r>
                    <w:rPr>
                      <w:rFonts w:hint="default" w:eastAsia="仿宋" w:cs="Times New Roman"/>
                      <w:color w:val="auto"/>
                      <w:sz w:val="21"/>
                      <w:szCs w:val="21"/>
                      <w:lang w:val="en-US" w:eastAsia="zh-CN"/>
                    </w:rPr>
                    <w:t>/</w:t>
                  </w:r>
                  <w:r>
                    <w:rPr>
                      <w:rFonts w:hint="eastAsia" w:eastAsia="仿宋" w:cs="Times New Roman"/>
                      <w:color w:val="auto"/>
                      <w:sz w:val="21"/>
                      <w:szCs w:val="21"/>
                      <w:lang w:val="en-US" w:eastAsia="zh-CN"/>
                    </w:rPr>
                    <w:t>a</w:t>
                  </w:r>
                </w:p>
              </w:tc>
            </w:tr>
            <w:tr w14:paraId="02205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pct"/>
                  <w:vMerge w:val="continue"/>
                  <w:tcBorders>
                    <w:tl2br w:val="nil"/>
                    <w:tr2bl w:val="nil"/>
                  </w:tcBorders>
                  <w:vAlign w:val="center"/>
                </w:tcPr>
                <w:p w14:paraId="2EDBB3EA">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16" w:type="pct"/>
                  <w:tcBorders>
                    <w:tl2br w:val="nil"/>
                    <w:tr2bl w:val="nil"/>
                  </w:tcBorders>
                  <w:vAlign w:val="center"/>
                </w:tcPr>
                <w:p w14:paraId="52B3704E">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颗粒物</w:t>
                  </w:r>
                </w:p>
              </w:tc>
              <w:tc>
                <w:tcPr>
                  <w:tcW w:w="1054" w:type="pct"/>
                  <w:tcBorders>
                    <w:tl2br w:val="nil"/>
                    <w:tr2bl w:val="nil"/>
                  </w:tcBorders>
                  <w:vAlign w:val="center"/>
                </w:tcPr>
                <w:p w14:paraId="368A9BF4">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0.000286kg/m</w:t>
                  </w:r>
                  <w:r>
                    <w:rPr>
                      <w:rFonts w:hint="eastAsia" w:eastAsia="仿宋" w:cs="Times New Roman"/>
                      <w:color w:val="auto"/>
                      <w:sz w:val="21"/>
                      <w:szCs w:val="21"/>
                      <w:vertAlign w:val="superscript"/>
                      <w:lang w:val="en-US" w:eastAsia="zh-CN"/>
                    </w:rPr>
                    <w:t>3</w:t>
                  </w:r>
                </w:p>
              </w:tc>
              <w:tc>
                <w:tcPr>
                  <w:tcW w:w="1729" w:type="pct"/>
                  <w:tcBorders>
                    <w:tl2br w:val="nil"/>
                    <w:tr2bl w:val="nil"/>
                  </w:tcBorders>
                  <w:vAlign w:val="center"/>
                </w:tcPr>
                <w:p w14:paraId="29D1DD3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0.0286</w:t>
                  </w:r>
                </w:p>
              </w:tc>
            </w:tr>
            <w:tr w14:paraId="29934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pct"/>
                  <w:vMerge w:val="continue"/>
                  <w:tcBorders>
                    <w:tl2br w:val="nil"/>
                    <w:tr2bl w:val="nil"/>
                  </w:tcBorders>
                  <w:vAlign w:val="center"/>
                </w:tcPr>
                <w:p w14:paraId="2581710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16" w:type="pct"/>
                  <w:tcBorders>
                    <w:tl2br w:val="nil"/>
                    <w:tr2bl w:val="nil"/>
                  </w:tcBorders>
                  <w:vAlign w:val="center"/>
                </w:tcPr>
                <w:p w14:paraId="73A666F5">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1054" w:type="pct"/>
                  <w:tcBorders>
                    <w:tl2br w:val="nil"/>
                    <w:tr2bl w:val="nil"/>
                  </w:tcBorders>
                  <w:vAlign w:val="center"/>
                </w:tcPr>
                <w:p w14:paraId="1DA12B55">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0.000002Skg/m</w:t>
                  </w:r>
                  <w:r>
                    <w:rPr>
                      <w:rFonts w:hint="eastAsia" w:eastAsia="仿宋" w:cs="Times New Roman"/>
                      <w:color w:val="auto"/>
                      <w:sz w:val="21"/>
                      <w:szCs w:val="21"/>
                      <w:vertAlign w:val="superscript"/>
                      <w:lang w:val="en-US" w:eastAsia="zh-CN"/>
                    </w:rPr>
                    <w:t>3</w:t>
                  </w:r>
                </w:p>
              </w:tc>
              <w:tc>
                <w:tcPr>
                  <w:tcW w:w="1729" w:type="pct"/>
                  <w:tcBorders>
                    <w:tl2br w:val="nil"/>
                    <w:tr2bl w:val="nil"/>
                  </w:tcBorders>
                  <w:vAlign w:val="center"/>
                </w:tcPr>
                <w:p w14:paraId="50E5D5D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75E6B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00" w:type="pct"/>
                  <w:vMerge w:val="continue"/>
                  <w:tcBorders>
                    <w:tl2br w:val="nil"/>
                    <w:tr2bl w:val="nil"/>
                  </w:tcBorders>
                  <w:vAlign w:val="center"/>
                </w:tcPr>
                <w:p w14:paraId="2F8E1BA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16" w:type="pct"/>
                  <w:tcBorders>
                    <w:tl2br w:val="nil"/>
                    <w:tr2bl w:val="nil"/>
                  </w:tcBorders>
                  <w:vAlign w:val="center"/>
                </w:tcPr>
                <w:p w14:paraId="5EBE2BEB">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NOx</w:t>
                  </w:r>
                </w:p>
              </w:tc>
              <w:tc>
                <w:tcPr>
                  <w:tcW w:w="1054" w:type="pct"/>
                  <w:tcBorders>
                    <w:tl2br w:val="nil"/>
                    <w:tr2bl w:val="nil"/>
                  </w:tcBorders>
                  <w:vAlign w:val="center"/>
                </w:tcPr>
                <w:p w14:paraId="30681784">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0.00187kg/m</w:t>
                  </w:r>
                  <w:r>
                    <w:rPr>
                      <w:rFonts w:hint="eastAsia" w:eastAsia="仿宋" w:cs="Times New Roman"/>
                      <w:color w:val="auto"/>
                      <w:sz w:val="21"/>
                      <w:szCs w:val="21"/>
                      <w:vertAlign w:val="superscript"/>
                      <w:lang w:val="en-US" w:eastAsia="zh-CN"/>
                    </w:rPr>
                    <w:t>3</w:t>
                  </w:r>
                </w:p>
              </w:tc>
              <w:tc>
                <w:tcPr>
                  <w:tcW w:w="1729" w:type="pct"/>
                  <w:tcBorders>
                    <w:tl2br w:val="nil"/>
                    <w:tr2bl w:val="nil"/>
                  </w:tcBorders>
                  <w:vAlign w:val="center"/>
                </w:tcPr>
                <w:p w14:paraId="03CCDBB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0.187</w:t>
                  </w:r>
                </w:p>
              </w:tc>
            </w:tr>
          </w:tbl>
          <w:p w14:paraId="04162C90">
            <w:pPr>
              <w:pStyle w:val="29"/>
              <w:spacing w:line="360" w:lineRule="auto"/>
              <w:ind w:firstLine="482" w:firstLineChars="200"/>
              <w:jc w:val="both"/>
              <w:rPr>
                <w:rFonts w:hint="default" w:ascii="Times New Roman" w:hAnsi="Times New Roman" w:eastAsia="宋体" w:cs="Times New Roman"/>
                <w:b/>
                <w:bCs/>
                <w:color w:val="auto"/>
                <w:sz w:val="24"/>
                <w:szCs w:val="24"/>
                <w:highlight w:val="none"/>
              </w:rPr>
            </w:pPr>
            <w:r>
              <w:rPr>
                <w:rFonts w:hint="eastAsia" w:ascii="Times New Roman" w:cs="Times New Roman"/>
                <w:b/>
                <w:bCs/>
                <w:color w:val="auto"/>
                <w:sz w:val="24"/>
                <w:szCs w:val="24"/>
                <w:highlight w:val="none"/>
                <w:lang w:val="en-US" w:eastAsia="zh-CN"/>
              </w:rPr>
              <w:t>（2）喷粉前处理</w:t>
            </w:r>
            <w:r>
              <w:rPr>
                <w:rFonts w:hint="default" w:ascii="Times New Roman" w:hAnsi="Times New Roman" w:eastAsia="宋体" w:cs="Times New Roman"/>
                <w:b/>
                <w:bCs/>
                <w:color w:val="auto"/>
                <w:sz w:val="24"/>
                <w:szCs w:val="24"/>
                <w:highlight w:val="none"/>
              </w:rPr>
              <w:t>废气</w:t>
            </w:r>
          </w:p>
          <w:p w14:paraId="266B620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①喷粉前处理酸洗槽</w:t>
            </w:r>
          </w:p>
          <w:p w14:paraId="4AB3073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本项目喷粉前处理酸洗槽酸过程使用硫酸（浓度为98%）、盐酸（浓度为31%），使用时硫酸调配浓度为20%，盐酸调配浓度为15%，因此酸洗时硫酸浓度为19.6%，盐酸浓度为4.65%，酸洗废气产生情况参照《污染源源强核算技术指南 电镀》（HJ 984-2018）附录B的表B.1的产污系数，根据第 5.2.1 条产污系数法计算废气污染物产生情况，废气产生量按下列公式计算：</w:t>
            </w:r>
          </w:p>
          <w:p w14:paraId="0B6218B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cs="Times New Roman"/>
                <w:color w:val="auto"/>
                <w:kern w:val="0"/>
                <w:sz w:val="24"/>
                <w:szCs w:val="24"/>
                <w:highlight w:val="none"/>
                <w:lang w:val="en-US" w:eastAsia="zh-CN"/>
              </w:rPr>
            </w:pPr>
            <w:r>
              <w:rPr>
                <w:rFonts w:hint="eastAsia" w:cs="Times New Roman"/>
                <w:color w:val="auto"/>
                <w:kern w:val="0"/>
                <w:position w:val="-6"/>
                <w:sz w:val="24"/>
                <w:szCs w:val="24"/>
                <w:highlight w:val="none"/>
                <w:lang w:val="en-US" w:eastAsia="zh-CN"/>
              </w:rPr>
              <w:object>
                <v:shape id="_x0000_i1034" o:spt="75" type="#_x0000_t75" style="height:24.3pt;width:145.75pt;" o:ole="t" filled="f" o:preferrelative="t" stroked="f" coordsize="21600,21600">
                  <v:path/>
                  <v:fill on="f" focussize="0,0"/>
                  <v:stroke on="f"/>
                  <v:imagedata r:id="rId29" o:title=""/>
                  <o:lock v:ext="edit" aspectratio="t"/>
                  <w10:wrap type="none"/>
                  <w10:anchorlock/>
                </v:shape>
                <o:OLEObject Type="Embed" ProgID="Equation.KSEE3" ShapeID="_x0000_i1034" DrawAspect="Content" ObjectID="_1468075734" r:id="rId28">
                  <o:LockedField>false</o:LockedField>
                </o:OLEObject>
              </w:object>
            </w:r>
          </w:p>
          <w:p w14:paraId="53DE8A5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式中：</w:t>
            </w:r>
          </w:p>
          <w:p w14:paraId="4E8E588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D：核算时段内污染物的产生量，t；</w:t>
            </w:r>
          </w:p>
          <w:p w14:paraId="32BA562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Gs：单位渡槽液面面积单位废气污染物产生量，g/（m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·h）；硫酸取25.2，盐酸取15.8；</w:t>
            </w:r>
          </w:p>
          <w:p w14:paraId="0A8441E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A：渡槽液面面积，m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；本项目为1.5；</w:t>
            </w:r>
          </w:p>
          <w:p w14:paraId="73F8372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t：核算时段内污染物产生时间，h；本项目为3000。</w:t>
            </w:r>
          </w:p>
          <w:p w14:paraId="079E5E4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可知喷粉前处理硫酸雾产生量为0.1134t/a，氯化氢产生量为0.0711t/a。</w:t>
            </w:r>
          </w:p>
          <w:p w14:paraId="3385AA3D">
            <w:pPr>
              <w:pStyle w:val="29"/>
              <w:spacing w:line="360" w:lineRule="auto"/>
              <w:ind w:firstLine="482" w:firstLineChars="200"/>
              <w:jc w:val="both"/>
              <w:rPr>
                <w:rFonts w:hint="default" w:ascii="Times New Roman" w:hAnsi="Times New Roman" w:eastAsia="宋体" w:cs="Times New Roman"/>
                <w:b/>
                <w:bCs/>
                <w:color w:val="auto"/>
                <w:sz w:val="24"/>
                <w:szCs w:val="24"/>
                <w:highlight w:val="none"/>
              </w:rPr>
            </w:pPr>
            <w:r>
              <w:rPr>
                <w:rFonts w:hint="eastAsia" w:ascii="Times New Roman" w:cs="Times New Roman"/>
                <w:b/>
                <w:bCs/>
                <w:color w:val="auto"/>
                <w:sz w:val="24"/>
                <w:szCs w:val="24"/>
                <w:highlight w:val="none"/>
                <w:lang w:val="en-US" w:eastAsia="zh-CN"/>
              </w:rPr>
              <w:t>（3）喷粉</w:t>
            </w:r>
            <w:r>
              <w:rPr>
                <w:rFonts w:hint="default" w:ascii="Times New Roman" w:hAnsi="Times New Roman" w:eastAsia="宋体" w:cs="Times New Roman"/>
                <w:b/>
                <w:bCs/>
                <w:color w:val="auto"/>
                <w:sz w:val="24"/>
                <w:szCs w:val="24"/>
                <w:highlight w:val="none"/>
              </w:rPr>
              <w:t>废气</w:t>
            </w:r>
          </w:p>
          <w:p w14:paraId="3EA68361">
            <w:pPr>
              <w:pageBreakBefore w:val="0"/>
              <w:kinsoku/>
              <w:overflowPunct/>
              <w:topLinePunct w:val="0"/>
              <w:bidi w:val="0"/>
              <w:spacing w:line="360" w:lineRule="auto"/>
              <w:ind w:left="0" w:leftChars="0" w:right="0" w:righ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本项目喷粉室密闭，</w:t>
            </w:r>
            <w:r>
              <w:rPr>
                <w:rFonts w:hint="eastAsia" w:cs="Times New Roman"/>
                <w:color w:val="auto"/>
                <w:sz w:val="24"/>
                <w:szCs w:val="24"/>
                <w:highlight w:val="none"/>
                <w:lang w:val="en-US" w:eastAsia="zh-CN"/>
              </w:rPr>
              <w:t>塑粉</w:t>
            </w:r>
            <w:r>
              <w:rPr>
                <w:rFonts w:hint="eastAsia" w:ascii="Times New Roman" w:hAnsi="Times New Roman" w:eastAsia="宋体" w:cs="Times New Roman"/>
                <w:color w:val="auto"/>
                <w:sz w:val="24"/>
                <w:szCs w:val="24"/>
                <w:highlight w:val="none"/>
                <w:lang w:val="en-US" w:eastAsia="zh-CN"/>
              </w:rPr>
              <w:t>通过压缩空气喷到金属工件表面。本项目</w:t>
            </w:r>
            <w:r>
              <w:rPr>
                <w:rFonts w:hint="eastAsia" w:cs="Times New Roman"/>
                <w:color w:val="auto"/>
                <w:sz w:val="24"/>
                <w:szCs w:val="24"/>
                <w:highlight w:val="none"/>
                <w:lang w:val="en-US" w:eastAsia="zh-CN"/>
              </w:rPr>
              <w:t>塑粉</w:t>
            </w:r>
            <w:r>
              <w:rPr>
                <w:rFonts w:hint="eastAsia" w:ascii="Times New Roman" w:hAnsi="Times New Roman" w:eastAsia="宋体" w:cs="Times New Roman"/>
                <w:color w:val="auto"/>
                <w:sz w:val="24"/>
                <w:szCs w:val="24"/>
                <w:highlight w:val="none"/>
                <w:lang w:val="en-US" w:eastAsia="zh-CN"/>
              </w:rPr>
              <w:t>使用量约</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塑粉</w:t>
            </w:r>
            <w:r>
              <w:rPr>
                <w:rFonts w:hint="eastAsia" w:ascii="Times New Roman" w:hAnsi="Times New Roman" w:eastAsia="宋体" w:cs="Times New Roman"/>
                <w:color w:val="auto"/>
                <w:sz w:val="24"/>
                <w:szCs w:val="24"/>
                <w:highlight w:val="none"/>
                <w:lang w:val="en-US" w:eastAsia="zh-CN"/>
              </w:rPr>
              <w:t>附着效率在</w:t>
            </w:r>
            <w:r>
              <w:rPr>
                <w:rFonts w:hint="eastAsia"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左右</w:t>
            </w:r>
            <w:r>
              <w:rPr>
                <w:rFonts w:hint="eastAsia" w:eastAsia="宋体" w:cs="Times New Roman"/>
                <w:color w:val="auto"/>
                <w:sz w:val="24"/>
                <w:szCs w:val="24"/>
                <w:highlight w:val="none"/>
                <w:lang w:val="en-US" w:eastAsia="zh-CN"/>
              </w:rPr>
              <w:t>（其中工件附着64%，挂具附着1%）</w:t>
            </w:r>
            <w:r>
              <w:rPr>
                <w:rFonts w:hint="eastAsia" w:ascii="Times New Roman" w:hAnsi="Times New Roman" w:eastAsia="宋体" w:cs="Times New Roman"/>
                <w:color w:val="auto"/>
                <w:sz w:val="24"/>
                <w:szCs w:val="24"/>
                <w:highlight w:val="none"/>
                <w:lang w:val="en-US" w:eastAsia="zh-CN"/>
              </w:rPr>
              <w:t>，没有上到工件的部分（</w:t>
            </w:r>
            <w:r>
              <w:rPr>
                <w:rFonts w:hint="eastAsia" w:eastAsia="宋体" w:cs="Times New Roman"/>
                <w:color w:val="auto"/>
                <w:sz w:val="24"/>
                <w:szCs w:val="24"/>
                <w:highlight w:val="none"/>
                <w:lang w:val="en-US" w:eastAsia="zh-CN"/>
              </w:rPr>
              <w:t>35%</w:t>
            </w:r>
            <w:r>
              <w:rPr>
                <w:rFonts w:hint="eastAsia" w:ascii="Times New Roman" w:hAnsi="Times New Roman" w:eastAsia="宋体" w:cs="Times New Roman"/>
                <w:color w:val="auto"/>
                <w:sz w:val="24"/>
                <w:szCs w:val="24"/>
                <w:highlight w:val="none"/>
                <w:lang w:val="en-US" w:eastAsia="zh-CN"/>
              </w:rPr>
              <w:t>），经喷粉房</w:t>
            </w:r>
            <w:r>
              <w:rPr>
                <w:rFonts w:hint="eastAsia" w:cs="Times New Roman"/>
                <w:color w:val="auto"/>
                <w:sz w:val="24"/>
                <w:szCs w:val="24"/>
                <w:highlight w:val="none"/>
                <w:lang w:val="en-US" w:eastAsia="zh-CN"/>
              </w:rPr>
              <w:t>配备的滤芯回收系统</w:t>
            </w:r>
            <w:r>
              <w:rPr>
                <w:rFonts w:hint="eastAsia"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收集效率</w:t>
            </w:r>
            <w:r>
              <w:rPr>
                <w:rFonts w:hint="default" w:ascii="Times New Roman" w:hAnsi="Times New Roman" w:eastAsia="宋体" w:cs="Times New Roman"/>
                <w:color w:val="auto"/>
                <w:sz w:val="24"/>
                <w:szCs w:val="24"/>
                <w:highlight w:val="none"/>
                <w:lang w:val="en-US" w:eastAsia="zh-CN"/>
              </w:rPr>
              <w:t>9</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，除尘效率为</w:t>
            </w:r>
            <w:r>
              <w:rPr>
                <w:rFonts w:hint="default" w:ascii="Times New Roman" w:hAnsi="Times New Roman" w:eastAsia="宋体" w:cs="Times New Roman"/>
                <w:color w:val="auto"/>
                <w:sz w:val="24"/>
                <w:szCs w:val="24"/>
                <w:highlight w:val="none"/>
                <w:lang w:val="en-US" w:eastAsia="zh-CN"/>
              </w:rPr>
              <w:t>9</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）收集处理后</w:t>
            </w:r>
            <w:r>
              <w:rPr>
                <w:rFonts w:hint="eastAsia" w:cs="Times New Roman"/>
                <w:color w:val="auto"/>
                <w:sz w:val="24"/>
                <w:szCs w:val="24"/>
                <w:highlight w:val="none"/>
                <w:lang w:val="en-US" w:eastAsia="zh-CN"/>
              </w:rPr>
              <w:t>经DA001排气筒排放，未被收集的粉尘（5%），其中60%在车间沉降，定期干法清扫收集，40%在车间无组织排放，有组织排放量为0.133t/a，无组织排放量为0.14t/a，车间沉降量为0.21t/a</w:t>
            </w:r>
            <w:r>
              <w:rPr>
                <w:rFonts w:hint="eastAsia" w:ascii="Times New Roman" w:hAnsi="Times New Roman" w:eastAsia="宋体" w:cs="Times New Roman"/>
                <w:color w:val="auto"/>
                <w:sz w:val="24"/>
                <w:szCs w:val="24"/>
                <w:highlight w:val="none"/>
                <w:lang w:val="en-US" w:eastAsia="zh-CN"/>
              </w:rPr>
              <w:t>。</w:t>
            </w:r>
          </w:p>
          <w:p w14:paraId="387DB537">
            <w:pPr>
              <w:numPr>
                <w:ilvl w:val="0"/>
                <w:numId w:val="0"/>
              </w:numPr>
              <w:adjustRightInd/>
              <w:snapToGrid/>
              <w:spacing w:line="360" w:lineRule="auto"/>
              <w:ind w:firstLine="482" w:firstLineChars="200"/>
              <w:jc w:val="left"/>
              <w:rPr>
                <w:rFonts w:hint="eastAsia"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（4）</w:t>
            </w:r>
            <w:r>
              <w:rPr>
                <w:rFonts w:hint="eastAsia" w:cs="Times New Roman"/>
                <w:b/>
                <w:bCs/>
                <w:color w:val="auto"/>
                <w:kern w:val="0"/>
                <w:sz w:val="24"/>
                <w:szCs w:val="24"/>
                <w:highlight w:val="none"/>
                <w:lang w:val="en-US" w:eastAsia="zh-CN"/>
              </w:rPr>
              <w:t>喷粉固化烘干废气</w:t>
            </w:r>
          </w:p>
          <w:p w14:paraId="7F95DC10">
            <w:pPr>
              <w:keepNext w:val="0"/>
              <w:keepLines w:val="0"/>
              <w:pageBreakBefore w:val="0"/>
              <w:widowControl/>
              <w:suppressLineNumbers w:val="0"/>
              <w:kinsoku/>
              <w:wordWrap w:val="0"/>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粉末涂装后固化工序会产生有机废气。参照《排放源统计调查产排污核算方法和系数手册》中</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33-37，431-434机械行业系数手册</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，14涂装工段喷塑后烘干工序挥发性有机物产污系数为1.20kg/t-原料，本项目塑粉年用量为</w:t>
            </w:r>
            <w:r>
              <w:rPr>
                <w:rFonts w:hint="eastAsia"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，上粉率为</w:t>
            </w:r>
            <w:r>
              <w:rPr>
                <w:rFonts w:hint="eastAsia" w:cs="Times New Roman"/>
                <w:color w:val="auto"/>
                <w:sz w:val="24"/>
                <w:szCs w:val="24"/>
                <w:highlight w:val="none"/>
                <w:lang w:val="en-US" w:eastAsia="zh-CN"/>
              </w:rPr>
              <w:t>65</w:t>
            </w:r>
            <w:r>
              <w:rPr>
                <w:rFonts w:hint="eastAsia" w:ascii="Times New Roman" w:hAnsi="Times New Roman" w:eastAsia="宋体" w:cs="Times New Roman"/>
                <w:color w:val="auto"/>
                <w:sz w:val="24"/>
                <w:szCs w:val="24"/>
                <w:highlight w:val="none"/>
                <w:lang w:val="en-US" w:eastAsia="zh-CN"/>
              </w:rPr>
              <w:t>%，则固化工序有机废气（以非甲烷总烃计）产生量约为</w:t>
            </w:r>
            <w:r>
              <w:rPr>
                <w:rFonts w:hint="eastAsia" w:cs="Times New Roman"/>
                <w:color w:val="auto"/>
                <w:sz w:val="24"/>
                <w:szCs w:val="24"/>
                <w:highlight w:val="none"/>
                <w:lang w:val="en-US" w:eastAsia="zh-CN"/>
              </w:rPr>
              <w:t>0.0156</w:t>
            </w:r>
            <w:r>
              <w:rPr>
                <w:rFonts w:hint="eastAsia"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本项目烘箱相对密闭的空间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rPr>
              <w:t>烘箱入口设置集气罩收集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收集</w:t>
            </w:r>
            <w:r>
              <w:rPr>
                <w:rFonts w:hint="eastAsia" w:cs="Times New Roman"/>
                <w:color w:val="auto"/>
                <w:sz w:val="24"/>
                <w:szCs w:val="24"/>
                <w:highlight w:val="none"/>
                <w:lang w:val="en-US" w:eastAsia="zh-CN"/>
              </w:rPr>
              <w:t>效率</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碱性</w:t>
            </w:r>
            <w:r>
              <w:rPr>
                <w:rFonts w:hint="eastAsia" w:ascii="Times New Roman" w:hAnsi="Times New Roman" w:eastAsia="宋体" w:cs="Times New Roman"/>
                <w:color w:val="auto"/>
                <w:sz w:val="24"/>
                <w:szCs w:val="24"/>
                <w:highlight w:val="none"/>
                <w:lang w:val="en-US" w:eastAsia="zh-CN"/>
              </w:rPr>
              <w:t>喷淋塔+</w:t>
            </w:r>
            <w:r>
              <w:rPr>
                <w:rFonts w:hint="eastAsia" w:cs="Times New Roman"/>
                <w:color w:val="auto"/>
                <w:sz w:val="24"/>
                <w:szCs w:val="24"/>
                <w:highlight w:val="none"/>
                <w:lang w:val="en-US" w:eastAsia="zh-CN"/>
              </w:rPr>
              <w:t>干式过滤器+</w:t>
            </w:r>
            <w:r>
              <w:rPr>
                <w:rFonts w:hint="default" w:ascii="Times New Roman" w:hAnsi="Times New Roman" w:eastAsia="宋体" w:cs="Times New Roman"/>
                <w:color w:val="auto"/>
                <w:sz w:val="24"/>
                <w:szCs w:val="24"/>
                <w:highlight w:val="none"/>
              </w:rPr>
              <w:t>二级活性炭吸附装置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w:t>
            </w:r>
            <w:r>
              <w:rPr>
                <w:rFonts w:hint="eastAsia" w:cs="Times New Roman"/>
                <w:color w:val="auto"/>
                <w:sz w:val="24"/>
                <w:szCs w:val="24"/>
                <w:highlight w:val="none"/>
                <w:lang w:val="en-US" w:eastAsia="zh-CN"/>
              </w:rPr>
              <w:t>效率</w:t>
            </w:r>
            <w:r>
              <w:rPr>
                <w:rFonts w:hint="default" w:ascii="Times New Roman" w:hAnsi="Times New Roman" w:eastAsia="宋体" w:cs="Times New Roman"/>
                <w:color w:val="auto"/>
                <w:sz w:val="24"/>
                <w:szCs w:val="24"/>
                <w:highlight w:val="none"/>
              </w:rPr>
              <w:t>90%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处理后通过</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m高</w:t>
            </w:r>
            <w:r>
              <w:rPr>
                <w:rFonts w:hint="eastAsia" w:cs="Times New Roman"/>
                <w:color w:val="auto"/>
                <w:sz w:val="24"/>
                <w:szCs w:val="24"/>
                <w:highlight w:val="none"/>
                <w:lang w:val="en-US" w:eastAsia="zh-CN"/>
              </w:rPr>
              <w:t>DA001</w:t>
            </w:r>
            <w:r>
              <w:rPr>
                <w:rFonts w:hint="default" w:ascii="Times New Roman" w:hAnsi="Times New Roman" w:eastAsia="宋体" w:cs="Times New Roman"/>
                <w:color w:val="auto"/>
                <w:sz w:val="24"/>
                <w:szCs w:val="24"/>
                <w:highlight w:val="none"/>
              </w:rPr>
              <w:t>排气筒排放，因此非甲烷总烃的有组织排放量为</w:t>
            </w:r>
            <w:r>
              <w:rPr>
                <w:rFonts w:hint="eastAsia" w:cs="Times New Roman"/>
                <w:color w:val="auto"/>
                <w:sz w:val="24"/>
                <w:szCs w:val="24"/>
                <w:highlight w:val="none"/>
                <w:lang w:val="en-US" w:eastAsia="zh-CN"/>
              </w:rPr>
              <w:t>0.0014</w:t>
            </w:r>
            <w:r>
              <w:rPr>
                <w:rFonts w:hint="default" w:ascii="Times New Roman" w:hAnsi="Times New Roman" w:eastAsia="宋体" w:cs="Times New Roman"/>
                <w:color w:val="auto"/>
                <w:sz w:val="24"/>
                <w:szCs w:val="24"/>
                <w:highlight w:val="none"/>
              </w:rPr>
              <w:t>t/a，无组织排放量为</w:t>
            </w:r>
            <w:r>
              <w:rPr>
                <w:rFonts w:hint="eastAsia" w:ascii="Times New Roman" w:hAnsi="Times New Roman" w:eastAsia="宋体" w:cs="Times New Roman"/>
                <w:color w:val="auto"/>
                <w:sz w:val="24"/>
                <w:szCs w:val="24"/>
                <w:highlight w:val="none"/>
                <w:lang w:val="en-US" w:eastAsia="zh-CN"/>
              </w:rPr>
              <w:t>0.0</w:t>
            </w:r>
            <w:r>
              <w:rPr>
                <w:rFonts w:hint="eastAsia" w:cs="Times New Roman"/>
                <w:color w:val="auto"/>
                <w:sz w:val="24"/>
                <w:szCs w:val="24"/>
                <w:highlight w:val="none"/>
                <w:lang w:val="en-US" w:eastAsia="zh-CN"/>
              </w:rPr>
              <w:t>126</w:t>
            </w:r>
            <w:r>
              <w:rPr>
                <w:rFonts w:hint="default" w:ascii="Times New Roman" w:hAnsi="Times New Roman" w:eastAsia="宋体" w:cs="Times New Roman"/>
                <w:color w:val="auto"/>
                <w:sz w:val="24"/>
                <w:szCs w:val="24"/>
                <w:highlight w:val="none"/>
              </w:rPr>
              <w:t>t/a。</w:t>
            </w:r>
          </w:p>
          <w:p w14:paraId="38D0538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喷粉固化</w:t>
            </w:r>
            <w:r>
              <w:rPr>
                <w:rFonts w:hint="default" w:cs="Times New Roman"/>
                <w:color w:val="auto"/>
                <w:kern w:val="0"/>
                <w:sz w:val="24"/>
                <w:szCs w:val="24"/>
                <w:highlight w:val="none"/>
                <w:lang w:val="en-US" w:eastAsia="zh-CN"/>
              </w:rPr>
              <w:t>烘干工段采用天然气直接加热，天然气用量</w:t>
            </w:r>
            <w:r>
              <w:rPr>
                <w:rFonts w:hint="eastAsia" w:cs="Times New Roman"/>
                <w:color w:val="auto"/>
                <w:kern w:val="0"/>
                <w:sz w:val="24"/>
                <w:szCs w:val="24"/>
                <w:highlight w:val="none"/>
                <w:lang w:val="en-US" w:eastAsia="zh-CN"/>
              </w:rPr>
              <w:t>5</w:t>
            </w:r>
            <w:r>
              <w:rPr>
                <w:rFonts w:hint="default" w:cs="Times New Roman"/>
                <w:color w:val="auto"/>
                <w:kern w:val="0"/>
                <w:sz w:val="24"/>
                <w:szCs w:val="24"/>
                <w:highlight w:val="none"/>
                <w:lang w:val="en-US" w:eastAsia="zh-CN"/>
              </w:rPr>
              <w:t>万</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lang w:val="en-US" w:eastAsia="zh-CN"/>
              </w:rPr>
              <w:t>/a</w:t>
            </w:r>
            <w:r>
              <w:rPr>
                <w:rFonts w:hint="default" w:cs="Times New Roman"/>
                <w:color w:val="auto"/>
                <w:kern w:val="0"/>
                <w:sz w:val="24"/>
                <w:szCs w:val="24"/>
                <w:highlight w:val="none"/>
                <w:lang w:val="en-US" w:eastAsia="zh-CN"/>
              </w:rPr>
              <w:t>。根据《排放源统计调查产排污核算方法和系数手册》中排放系数：</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33-37、431-434 机械行业系数手册--14</w:t>
            </w:r>
            <w:r>
              <w:rPr>
                <w:rFonts w:hint="eastAsia" w:cs="Times New Roman"/>
                <w:color w:val="auto"/>
                <w:kern w:val="0"/>
                <w:sz w:val="24"/>
                <w:szCs w:val="24"/>
                <w:highlight w:val="none"/>
                <w:lang w:val="en-US" w:eastAsia="zh-CN"/>
              </w:rPr>
              <w:t xml:space="preserve"> </w:t>
            </w:r>
            <w:r>
              <w:rPr>
                <w:rFonts w:hint="default" w:cs="Times New Roman"/>
                <w:color w:val="auto"/>
                <w:kern w:val="0"/>
                <w:sz w:val="24"/>
                <w:szCs w:val="24"/>
                <w:highlight w:val="none"/>
                <w:lang w:val="en-US" w:eastAsia="zh-CN"/>
              </w:rPr>
              <w:t>涂装--天然气工业炉窑</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产污系数：工业废气量13.6m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-原料、颗粒物0.000286kg/m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-原料、SO</w:t>
            </w:r>
            <w:r>
              <w:rPr>
                <w:rFonts w:hint="default" w:cs="Times New Roman"/>
                <w:color w:val="auto"/>
                <w:kern w:val="0"/>
                <w:sz w:val="24"/>
                <w:szCs w:val="24"/>
                <w:highlight w:val="none"/>
                <w:vertAlign w:val="subscript"/>
                <w:lang w:val="en-US" w:eastAsia="zh-CN"/>
              </w:rPr>
              <w:t>2</w:t>
            </w:r>
            <w:r>
              <w:rPr>
                <w:rFonts w:hint="default" w:cs="Times New Roman"/>
                <w:color w:val="auto"/>
                <w:kern w:val="0"/>
                <w:sz w:val="24"/>
                <w:szCs w:val="24"/>
                <w:highlight w:val="none"/>
                <w:lang w:val="en-US" w:eastAsia="zh-CN"/>
              </w:rPr>
              <w:t>0.000002Skg/m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-原料、NOx0.00187kg/m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-原料；根据《天然气》（GB17820-2018），天然气硫含量取值100mg/m</w:t>
            </w:r>
            <w:r>
              <w:rPr>
                <w:rFonts w:hint="default"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。天然气燃烧废气核算如下：</w:t>
            </w:r>
          </w:p>
          <w:p w14:paraId="30AC1B6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项目喷粉固化烘干天然气废气产生量核算表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24"/>
              <w:gridCol w:w="1797"/>
              <w:gridCol w:w="2234"/>
              <w:gridCol w:w="3095"/>
            </w:tblGrid>
            <w:tr w14:paraId="7CEA3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48" w:type="pct"/>
                  <w:tcBorders>
                    <w:tl2br w:val="nil"/>
                    <w:tr2bl w:val="nil"/>
                  </w:tcBorders>
                  <w:vAlign w:val="center"/>
                </w:tcPr>
                <w:p w14:paraId="7CDA3938">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天然气用量（万m</w:t>
                  </w:r>
                  <w:r>
                    <w:rPr>
                      <w:rFonts w:hint="eastAsia" w:eastAsia="仿宋" w:cs="Times New Roman"/>
                      <w:b/>
                      <w:bCs/>
                      <w:color w:val="auto"/>
                      <w:sz w:val="21"/>
                      <w:szCs w:val="21"/>
                      <w:vertAlign w:val="superscript"/>
                      <w:lang w:val="en-US" w:eastAsia="zh-CN"/>
                    </w:rPr>
                    <w:t>3</w:t>
                  </w:r>
                  <w:r>
                    <w:rPr>
                      <w:rFonts w:hint="eastAsia" w:eastAsia="仿宋" w:cs="Times New Roman"/>
                      <w:b/>
                      <w:bCs/>
                      <w:color w:val="auto"/>
                      <w:sz w:val="21"/>
                      <w:szCs w:val="21"/>
                      <w:lang w:val="en-US" w:eastAsia="zh-CN"/>
                    </w:rPr>
                    <w:t>/a）</w:t>
                  </w:r>
                </w:p>
              </w:tc>
              <w:tc>
                <w:tcPr>
                  <w:tcW w:w="971" w:type="pct"/>
                  <w:tcBorders>
                    <w:tl2br w:val="nil"/>
                    <w:tr2bl w:val="nil"/>
                  </w:tcBorders>
                  <w:vAlign w:val="center"/>
                </w:tcPr>
                <w:p w14:paraId="42DD2578">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污染物</w:t>
                  </w:r>
                </w:p>
              </w:tc>
              <w:tc>
                <w:tcPr>
                  <w:tcW w:w="1207" w:type="pct"/>
                  <w:tcBorders>
                    <w:tl2br w:val="nil"/>
                    <w:tr2bl w:val="nil"/>
                  </w:tcBorders>
                  <w:vAlign w:val="center"/>
                </w:tcPr>
                <w:p w14:paraId="1D9A2D3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lang w:val="en-US" w:eastAsia="zh-CN"/>
                    </w:rPr>
                    <w:t>系数</w:t>
                  </w:r>
                </w:p>
              </w:tc>
              <w:tc>
                <w:tcPr>
                  <w:tcW w:w="1672" w:type="pct"/>
                  <w:tcBorders>
                    <w:tl2br w:val="nil"/>
                    <w:tr2bl w:val="nil"/>
                  </w:tcBorders>
                  <w:vAlign w:val="center"/>
                </w:tcPr>
                <w:p w14:paraId="6334608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default" w:ascii="Times New Roman" w:hAnsi="Times New Roman" w:eastAsia="仿宋"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电泳固化烘干-废气产生量t/a</w:t>
                  </w:r>
                </w:p>
              </w:tc>
            </w:tr>
            <w:tr w14:paraId="6E948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48" w:type="pct"/>
                  <w:vMerge w:val="restart"/>
                  <w:tcBorders>
                    <w:tl2br w:val="nil"/>
                    <w:tr2bl w:val="nil"/>
                  </w:tcBorders>
                  <w:vAlign w:val="center"/>
                </w:tcPr>
                <w:p w14:paraId="29D0B57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w:t>
                  </w:r>
                </w:p>
              </w:tc>
              <w:tc>
                <w:tcPr>
                  <w:tcW w:w="971" w:type="pct"/>
                  <w:tcBorders>
                    <w:tl2br w:val="nil"/>
                    <w:tr2bl w:val="nil"/>
                  </w:tcBorders>
                  <w:vAlign w:val="center"/>
                </w:tcPr>
                <w:p w14:paraId="25AE94A3">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废气量</w:t>
                  </w:r>
                </w:p>
              </w:tc>
              <w:tc>
                <w:tcPr>
                  <w:tcW w:w="1207" w:type="pct"/>
                  <w:tcBorders>
                    <w:tl2br w:val="nil"/>
                    <w:tr2bl w:val="nil"/>
                  </w:tcBorders>
                  <w:vAlign w:val="center"/>
                </w:tcPr>
                <w:p w14:paraId="177CE831">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13.6m</w:t>
                  </w:r>
                  <w:r>
                    <w:rPr>
                      <w:rFonts w:hint="eastAsia" w:eastAsia="仿宋" w:cs="Times New Roman"/>
                      <w:color w:val="auto"/>
                      <w:sz w:val="21"/>
                      <w:szCs w:val="21"/>
                      <w:vertAlign w:val="superscript"/>
                      <w:lang w:val="en-US" w:eastAsia="zh-CN"/>
                    </w:rPr>
                    <w:t>3</w:t>
                  </w:r>
                  <w:r>
                    <w:rPr>
                      <w:rFonts w:hint="default" w:eastAsia="仿宋" w:cs="Times New Roman"/>
                      <w:color w:val="auto"/>
                      <w:sz w:val="21"/>
                      <w:szCs w:val="21"/>
                      <w:lang w:val="en-US" w:eastAsia="zh-CN"/>
                    </w:rPr>
                    <w:t>/m</w:t>
                  </w:r>
                  <w:r>
                    <w:rPr>
                      <w:rFonts w:hint="eastAsia" w:eastAsia="仿宋" w:cs="Times New Roman"/>
                      <w:color w:val="auto"/>
                      <w:sz w:val="21"/>
                      <w:szCs w:val="21"/>
                      <w:vertAlign w:val="superscript"/>
                      <w:lang w:val="en-US" w:eastAsia="zh-CN"/>
                    </w:rPr>
                    <w:t>3</w:t>
                  </w:r>
                </w:p>
              </w:tc>
              <w:tc>
                <w:tcPr>
                  <w:tcW w:w="1672" w:type="pct"/>
                  <w:tcBorders>
                    <w:tl2br w:val="nil"/>
                    <w:tr2bl w:val="nil"/>
                  </w:tcBorders>
                  <w:vAlign w:val="center"/>
                </w:tcPr>
                <w:p w14:paraId="19D34F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68</w:t>
                  </w:r>
                  <w:r>
                    <w:rPr>
                      <w:rFonts w:hint="eastAsia" w:ascii="仿宋" w:hAnsi="仿宋" w:eastAsia="仿宋" w:cs="仿宋"/>
                      <w:i w:val="0"/>
                      <w:iCs w:val="0"/>
                      <w:color w:val="auto"/>
                      <w:kern w:val="0"/>
                      <w:sz w:val="21"/>
                      <w:szCs w:val="21"/>
                      <w:u w:val="none"/>
                      <w:lang w:val="en-US" w:eastAsia="zh-CN" w:bidi="ar"/>
                    </w:rPr>
                    <w:t>万</w:t>
                  </w:r>
                  <w:r>
                    <w:rPr>
                      <w:rFonts w:hint="default" w:eastAsia="仿宋" w:cs="Times New Roman"/>
                      <w:color w:val="auto"/>
                      <w:sz w:val="21"/>
                      <w:szCs w:val="21"/>
                      <w:lang w:val="en-US" w:eastAsia="zh-CN"/>
                    </w:rPr>
                    <w:t>m</w:t>
                  </w:r>
                  <w:r>
                    <w:rPr>
                      <w:rFonts w:hint="eastAsia" w:eastAsia="仿宋" w:cs="Times New Roman"/>
                      <w:color w:val="auto"/>
                      <w:sz w:val="21"/>
                      <w:szCs w:val="21"/>
                      <w:vertAlign w:val="superscript"/>
                      <w:lang w:val="en-US" w:eastAsia="zh-CN"/>
                    </w:rPr>
                    <w:t>3</w:t>
                  </w:r>
                  <w:r>
                    <w:rPr>
                      <w:rFonts w:hint="default" w:eastAsia="仿宋" w:cs="Times New Roman"/>
                      <w:color w:val="auto"/>
                      <w:sz w:val="21"/>
                      <w:szCs w:val="21"/>
                      <w:lang w:val="en-US" w:eastAsia="zh-CN"/>
                    </w:rPr>
                    <w:t>/</w:t>
                  </w:r>
                  <w:r>
                    <w:rPr>
                      <w:rFonts w:hint="eastAsia" w:eastAsia="仿宋" w:cs="Times New Roman"/>
                      <w:color w:val="auto"/>
                      <w:sz w:val="21"/>
                      <w:szCs w:val="21"/>
                      <w:lang w:val="en-US" w:eastAsia="zh-CN"/>
                    </w:rPr>
                    <w:t>a</w:t>
                  </w:r>
                </w:p>
              </w:tc>
            </w:tr>
            <w:tr w14:paraId="124D3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48" w:type="pct"/>
                  <w:vMerge w:val="continue"/>
                  <w:tcBorders>
                    <w:tl2br w:val="nil"/>
                    <w:tr2bl w:val="nil"/>
                  </w:tcBorders>
                  <w:vAlign w:val="center"/>
                </w:tcPr>
                <w:p w14:paraId="2249ECA1">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71" w:type="pct"/>
                  <w:tcBorders>
                    <w:tl2br w:val="nil"/>
                    <w:tr2bl w:val="nil"/>
                  </w:tcBorders>
                  <w:vAlign w:val="center"/>
                </w:tcPr>
                <w:p w14:paraId="512366F3">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颗粒物</w:t>
                  </w:r>
                </w:p>
              </w:tc>
              <w:tc>
                <w:tcPr>
                  <w:tcW w:w="1207" w:type="pct"/>
                  <w:tcBorders>
                    <w:tl2br w:val="nil"/>
                    <w:tr2bl w:val="nil"/>
                  </w:tcBorders>
                  <w:vAlign w:val="center"/>
                </w:tcPr>
                <w:p w14:paraId="4D67D388">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0.000286kg/m</w:t>
                  </w:r>
                  <w:r>
                    <w:rPr>
                      <w:rFonts w:hint="eastAsia" w:eastAsia="仿宋" w:cs="Times New Roman"/>
                      <w:color w:val="auto"/>
                      <w:sz w:val="21"/>
                      <w:szCs w:val="21"/>
                      <w:vertAlign w:val="superscript"/>
                      <w:lang w:val="en-US" w:eastAsia="zh-CN"/>
                    </w:rPr>
                    <w:t>3</w:t>
                  </w:r>
                </w:p>
              </w:tc>
              <w:tc>
                <w:tcPr>
                  <w:tcW w:w="1672" w:type="pct"/>
                  <w:tcBorders>
                    <w:tl2br w:val="nil"/>
                    <w:tr2bl w:val="nil"/>
                  </w:tcBorders>
                  <w:vAlign w:val="center"/>
                </w:tcPr>
                <w:p w14:paraId="16C20CC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0.0143</w:t>
                  </w:r>
                </w:p>
              </w:tc>
            </w:tr>
            <w:tr w14:paraId="683D7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48" w:type="pct"/>
                  <w:vMerge w:val="continue"/>
                  <w:tcBorders>
                    <w:tl2br w:val="nil"/>
                    <w:tr2bl w:val="nil"/>
                  </w:tcBorders>
                  <w:vAlign w:val="center"/>
                </w:tcPr>
                <w:p w14:paraId="071F592B">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71" w:type="pct"/>
                  <w:tcBorders>
                    <w:tl2br w:val="nil"/>
                    <w:tr2bl w:val="nil"/>
                  </w:tcBorders>
                  <w:vAlign w:val="center"/>
                </w:tcPr>
                <w:p w14:paraId="52CA5997">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1207" w:type="pct"/>
                  <w:tcBorders>
                    <w:tl2br w:val="nil"/>
                    <w:tr2bl w:val="nil"/>
                  </w:tcBorders>
                  <w:vAlign w:val="center"/>
                </w:tcPr>
                <w:p w14:paraId="6D6F1F12">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0.000002Skg/m</w:t>
                  </w:r>
                  <w:r>
                    <w:rPr>
                      <w:rFonts w:hint="eastAsia" w:eastAsia="仿宋" w:cs="Times New Roman"/>
                      <w:color w:val="auto"/>
                      <w:sz w:val="21"/>
                      <w:szCs w:val="21"/>
                      <w:vertAlign w:val="superscript"/>
                      <w:lang w:val="en-US" w:eastAsia="zh-CN"/>
                    </w:rPr>
                    <w:t>3</w:t>
                  </w:r>
                </w:p>
              </w:tc>
              <w:tc>
                <w:tcPr>
                  <w:tcW w:w="1672" w:type="pct"/>
                  <w:tcBorders>
                    <w:tl2br w:val="nil"/>
                    <w:tr2bl w:val="nil"/>
                  </w:tcBorders>
                  <w:vAlign w:val="center"/>
                </w:tcPr>
                <w:p w14:paraId="6C95A7C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1</w:t>
                  </w:r>
                </w:p>
              </w:tc>
            </w:tr>
            <w:tr w14:paraId="5D3C3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148" w:type="pct"/>
                  <w:vMerge w:val="continue"/>
                  <w:tcBorders>
                    <w:tl2br w:val="nil"/>
                    <w:tr2bl w:val="nil"/>
                  </w:tcBorders>
                  <w:vAlign w:val="center"/>
                </w:tcPr>
                <w:p w14:paraId="044C6BB9">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971" w:type="pct"/>
                  <w:tcBorders>
                    <w:tl2br w:val="nil"/>
                    <w:tr2bl w:val="nil"/>
                  </w:tcBorders>
                  <w:vAlign w:val="center"/>
                </w:tcPr>
                <w:p w14:paraId="12D875E3">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r>
                    <w:rPr>
                      <w:rFonts w:hint="default" w:eastAsia="仿宋" w:cs="Times New Roman"/>
                      <w:color w:val="auto"/>
                      <w:sz w:val="21"/>
                      <w:szCs w:val="21"/>
                      <w:lang w:val="en-US" w:eastAsia="zh-CN"/>
                    </w:rPr>
                    <w:t>NOx</w:t>
                  </w:r>
                </w:p>
              </w:tc>
              <w:tc>
                <w:tcPr>
                  <w:tcW w:w="1207" w:type="pct"/>
                  <w:tcBorders>
                    <w:tl2br w:val="nil"/>
                    <w:tr2bl w:val="nil"/>
                  </w:tcBorders>
                  <w:vAlign w:val="center"/>
                </w:tcPr>
                <w:p w14:paraId="4B61C6F4">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default" w:eastAsia="仿宋" w:cs="Times New Roman"/>
                      <w:color w:val="auto"/>
                      <w:sz w:val="21"/>
                      <w:szCs w:val="21"/>
                      <w:lang w:val="en-US" w:eastAsia="zh-CN"/>
                    </w:rPr>
                    <w:t>0.00187kg/m</w:t>
                  </w:r>
                  <w:r>
                    <w:rPr>
                      <w:rFonts w:hint="eastAsia" w:eastAsia="仿宋" w:cs="Times New Roman"/>
                      <w:color w:val="auto"/>
                      <w:sz w:val="21"/>
                      <w:szCs w:val="21"/>
                      <w:vertAlign w:val="superscript"/>
                      <w:lang w:val="en-US" w:eastAsia="zh-CN"/>
                    </w:rPr>
                    <w:t>3</w:t>
                  </w:r>
                </w:p>
              </w:tc>
              <w:tc>
                <w:tcPr>
                  <w:tcW w:w="1672" w:type="pct"/>
                  <w:tcBorders>
                    <w:tl2br w:val="nil"/>
                    <w:tr2bl w:val="nil"/>
                  </w:tcBorders>
                  <w:vAlign w:val="center"/>
                </w:tcPr>
                <w:p w14:paraId="732B1B0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0935</w:t>
                  </w:r>
                </w:p>
              </w:tc>
            </w:tr>
            <w:bookmarkEnd w:id="19"/>
          </w:tbl>
          <w:p w14:paraId="067282ED">
            <w:pPr>
              <w:numPr>
                <w:ilvl w:val="0"/>
                <w:numId w:val="0"/>
              </w:numPr>
              <w:adjustRightInd/>
              <w:snapToGrid/>
              <w:spacing w:line="360" w:lineRule="auto"/>
              <w:ind w:firstLine="482" w:firstLineChars="200"/>
              <w:jc w:val="left"/>
              <w:rPr>
                <w:rFonts w:hint="eastAsia"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（5）</w:t>
            </w:r>
            <w:r>
              <w:rPr>
                <w:rFonts w:hint="eastAsia" w:cs="Times New Roman"/>
                <w:b/>
                <w:bCs/>
                <w:color w:val="auto"/>
                <w:kern w:val="0"/>
                <w:sz w:val="24"/>
                <w:szCs w:val="24"/>
                <w:highlight w:val="none"/>
                <w:lang w:val="en-US" w:eastAsia="zh-CN"/>
              </w:rPr>
              <w:t>污水处理站废气</w:t>
            </w:r>
          </w:p>
          <w:p w14:paraId="549BE3F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厂内废水站的臭气来源为各处理单元臭气，主要为生化、污泥处理、蒸发处理；恶臭物质主要有氨、硫化氢、臭气浓度等</w:t>
            </w:r>
            <w:r>
              <w:rPr>
                <w:rFonts w:hint="eastAsia" w:cs="Times New Roman"/>
                <w:color w:val="auto"/>
                <w:kern w:val="0"/>
                <w:sz w:val="24"/>
                <w:szCs w:val="24"/>
                <w:highlight w:val="none"/>
                <w:lang w:val="en-US" w:eastAsia="zh-CN"/>
              </w:rPr>
              <w:t>，</w:t>
            </w:r>
            <w:r>
              <w:rPr>
                <w:rFonts w:hint="default" w:cs="Times New Roman"/>
                <w:color w:val="auto"/>
                <w:kern w:val="0"/>
                <w:sz w:val="24"/>
                <w:szCs w:val="24"/>
                <w:highlight w:val="none"/>
                <w:lang w:val="en-US" w:eastAsia="zh-CN"/>
              </w:rPr>
              <w:t>生产废水处理设施运行时产生</w:t>
            </w:r>
            <w:r>
              <w:rPr>
                <w:rFonts w:hint="eastAsia" w:cs="Times New Roman"/>
                <w:color w:val="auto"/>
                <w:kern w:val="0"/>
                <w:sz w:val="24"/>
                <w:szCs w:val="24"/>
                <w:highlight w:val="none"/>
                <w:lang w:val="en-US" w:eastAsia="zh-CN"/>
              </w:rPr>
              <w:t>废气量</w:t>
            </w:r>
            <w:r>
              <w:rPr>
                <w:rFonts w:hint="default" w:cs="Times New Roman"/>
                <w:color w:val="auto"/>
                <w:kern w:val="0"/>
                <w:sz w:val="24"/>
                <w:szCs w:val="24"/>
                <w:highlight w:val="none"/>
                <w:lang w:val="en-US" w:eastAsia="zh-CN"/>
              </w:rPr>
              <w:t>较少，因此，本评价不进行定量核算，</w:t>
            </w:r>
            <w:r>
              <w:rPr>
                <w:rFonts w:hint="eastAsia" w:cs="Times New Roman"/>
                <w:color w:val="auto"/>
                <w:kern w:val="0"/>
                <w:sz w:val="24"/>
                <w:szCs w:val="24"/>
                <w:highlight w:val="none"/>
                <w:lang w:val="en-US" w:eastAsia="zh-CN"/>
              </w:rPr>
              <w:t>加盖密闭，加强通风</w:t>
            </w:r>
            <w:r>
              <w:rPr>
                <w:rFonts w:hint="default" w:cs="Times New Roman"/>
                <w:color w:val="auto"/>
                <w:kern w:val="0"/>
                <w:sz w:val="24"/>
                <w:szCs w:val="24"/>
                <w:highlight w:val="none"/>
                <w:lang w:val="en-US" w:eastAsia="zh-CN"/>
              </w:rPr>
              <w:t>，对环境影响较小。</w:t>
            </w:r>
          </w:p>
          <w:p w14:paraId="0BE88FC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（6）危废贮存设施废气</w:t>
            </w:r>
          </w:p>
          <w:p w14:paraId="559D740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lang w:eastAsia="zh-CN"/>
              </w:rPr>
            </w:pPr>
            <w:r>
              <w:rPr>
                <w:rFonts w:hint="default"/>
                <w:color w:val="auto"/>
                <w:kern w:val="0"/>
                <w:sz w:val="24"/>
                <w:highlight w:val="none"/>
              </w:rPr>
              <w:t>主要为脱脂废液</w:t>
            </w:r>
            <w:r>
              <w:rPr>
                <w:rFonts w:hint="eastAsia"/>
                <w:color w:val="auto"/>
                <w:kern w:val="0"/>
                <w:sz w:val="24"/>
                <w:highlight w:val="none"/>
                <w:lang w:eastAsia="zh-CN"/>
              </w:rPr>
              <w:t>、</w:t>
            </w:r>
            <w:r>
              <w:rPr>
                <w:rFonts w:hint="default"/>
                <w:color w:val="auto"/>
                <w:kern w:val="0"/>
                <w:sz w:val="24"/>
                <w:highlight w:val="none"/>
              </w:rPr>
              <w:t>酸洗废液</w:t>
            </w:r>
            <w:r>
              <w:rPr>
                <w:rFonts w:hint="eastAsia"/>
                <w:color w:val="auto"/>
                <w:kern w:val="0"/>
                <w:sz w:val="24"/>
                <w:highlight w:val="none"/>
                <w:lang w:eastAsia="zh-CN"/>
              </w:rPr>
              <w:t>、</w:t>
            </w:r>
            <w:r>
              <w:rPr>
                <w:rFonts w:hint="default"/>
                <w:color w:val="auto"/>
                <w:kern w:val="0"/>
                <w:sz w:val="24"/>
                <w:highlight w:val="none"/>
              </w:rPr>
              <w:t>中和废液</w:t>
            </w:r>
            <w:r>
              <w:rPr>
                <w:rFonts w:hint="eastAsia"/>
                <w:color w:val="auto"/>
                <w:kern w:val="0"/>
                <w:sz w:val="24"/>
                <w:highlight w:val="none"/>
                <w:lang w:eastAsia="zh-CN"/>
              </w:rPr>
              <w:t>、</w:t>
            </w:r>
            <w:r>
              <w:rPr>
                <w:rFonts w:hint="default"/>
                <w:color w:val="auto"/>
                <w:kern w:val="0"/>
                <w:sz w:val="24"/>
                <w:highlight w:val="none"/>
              </w:rPr>
              <w:t>硅烷废液</w:t>
            </w:r>
            <w:r>
              <w:rPr>
                <w:rFonts w:hint="eastAsia"/>
                <w:color w:val="auto"/>
                <w:kern w:val="0"/>
                <w:sz w:val="24"/>
                <w:highlight w:val="none"/>
                <w:lang w:eastAsia="zh-CN"/>
              </w:rPr>
              <w:t>、</w:t>
            </w:r>
            <w:r>
              <w:rPr>
                <w:rFonts w:hint="default"/>
                <w:color w:val="auto"/>
                <w:kern w:val="0"/>
                <w:sz w:val="24"/>
                <w:highlight w:val="none"/>
              </w:rPr>
              <w:t>废超滤膜</w:t>
            </w:r>
            <w:r>
              <w:rPr>
                <w:rFonts w:hint="eastAsia"/>
                <w:color w:val="auto"/>
                <w:kern w:val="0"/>
                <w:sz w:val="24"/>
                <w:highlight w:val="none"/>
                <w:lang w:eastAsia="zh-CN"/>
              </w:rPr>
              <w:t>、</w:t>
            </w:r>
            <w:r>
              <w:rPr>
                <w:rFonts w:hint="default"/>
                <w:color w:val="auto"/>
                <w:kern w:val="0"/>
                <w:sz w:val="24"/>
                <w:highlight w:val="none"/>
              </w:rPr>
              <w:t>槽渣</w:t>
            </w:r>
            <w:r>
              <w:rPr>
                <w:rFonts w:hint="eastAsia"/>
                <w:color w:val="auto"/>
                <w:kern w:val="0"/>
                <w:sz w:val="24"/>
                <w:highlight w:val="none"/>
                <w:lang w:eastAsia="zh-CN"/>
              </w:rPr>
              <w:t>、</w:t>
            </w:r>
            <w:r>
              <w:rPr>
                <w:rFonts w:hint="default"/>
                <w:color w:val="auto"/>
                <w:kern w:val="0"/>
                <w:sz w:val="24"/>
                <w:highlight w:val="none"/>
              </w:rPr>
              <w:t>表调废液</w:t>
            </w:r>
            <w:r>
              <w:rPr>
                <w:rFonts w:hint="eastAsia"/>
                <w:color w:val="auto"/>
                <w:kern w:val="0"/>
                <w:sz w:val="24"/>
                <w:highlight w:val="none"/>
                <w:lang w:eastAsia="zh-CN"/>
              </w:rPr>
              <w:t>、</w:t>
            </w:r>
            <w:r>
              <w:rPr>
                <w:rFonts w:hint="default"/>
                <w:color w:val="auto"/>
                <w:kern w:val="0"/>
                <w:sz w:val="24"/>
                <w:highlight w:val="none"/>
              </w:rPr>
              <w:t>废包装容器</w:t>
            </w:r>
            <w:r>
              <w:rPr>
                <w:rFonts w:hint="eastAsia"/>
                <w:color w:val="auto"/>
                <w:kern w:val="0"/>
                <w:sz w:val="24"/>
                <w:highlight w:val="none"/>
                <w:lang w:eastAsia="zh-CN"/>
              </w:rPr>
              <w:t>、</w:t>
            </w:r>
            <w:r>
              <w:rPr>
                <w:rFonts w:hint="default"/>
                <w:color w:val="auto"/>
                <w:kern w:val="0"/>
                <w:sz w:val="24"/>
                <w:highlight w:val="none"/>
              </w:rPr>
              <w:t>废润滑油</w:t>
            </w:r>
            <w:r>
              <w:rPr>
                <w:rFonts w:hint="eastAsia"/>
                <w:color w:val="auto"/>
                <w:kern w:val="0"/>
                <w:sz w:val="24"/>
                <w:highlight w:val="none"/>
                <w:lang w:eastAsia="zh-CN"/>
              </w:rPr>
              <w:t>、</w:t>
            </w:r>
            <w:r>
              <w:rPr>
                <w:rFonts w:hint="default"/>
                <w:color w:val="auto"/>
                <w:kern w:val="0"/>
                <w:sz w:val="24"/>
                <w:highlight w:val="none"/>
              </w:rPr>
              <w:t>含油抹布</w:t>
            </w:r>
            <w:r>
              <w:rPr>
                <w:rFonts w:hint="eastAsia"/>
                <w:color w:val="auto"/>
                <w:kern w:val="0"/>
                <w:sz w:val="24"/>
                <w:highlight w:val="none"/>
                <w:lang w:eastAsia="zh-CN"/>
              </w:rPr>
              <w:t>、</w:t>
            </w:r>
            <w:r>
              <w:rPr>
                <w:rFonts w:hint="default"/>
                <w:color w:val="auto"/>
                <w:kern w:val="0"/>
                <w:sz w:val="24"/>
                <w:highlight w:val="none"/>
              </w:rPr>
              <w:t>废油桶</w:t>
            </w:r>
            <w:r>
              <w:rPr>
                <w:rFonts w:hint="eastAsia"/>
                <w:color w:val="auto"/>
                <w:kern w:val="0"/>
                <w:sz w:val="24"/>
                <w:highlight w:val="none"/>
                <w:lang w:eastAsia="zh-CN"/>
              </w:rPr>
              <w:t>、</w:t>
            </w:r>
            <w:r>
              <w:rPr>
                <w:rFonts w:hint="default"/>
                <w:color w:val="auto"/>
                <w:kern w:val="0"/>
                <w:sz w:val="24"/>
                <w:highlight w:val="none"/>
              </w:rPr>
              <w:t>废活性炭</w:t>
            </w:r>
            <w:r>
              <w:rPr>
                <w:rFonts w:hint="eastAsia"/>
                <w:color w:val="auto"/>
                <w:kern w:val="0"/>
                <w:sz w:val="24"/>
                <w:highlight w:val="none"/>
                <w:lang w:eastAsia="zh-CN"/>
              </w:rPr>
              <w:t>、</w:t>
            </w:r>
            <w:r>
              <w:rPr>
                <w:rFonts w:hint="default"/>
                <w:color w:val="auto"/>
                <w:kern w:val="0"/>
                <w:sz w:val="24"/>
                <w:highlight w:val="none"/>
              </w:rPr>
              <w:t>喷淋废液</w:t>
            </w:r>
            <w:r>
              <w:rPr>
                <w:rFonts w:hint="eastAsia"/>
                <w:color w:val="auto"/>
                <w:kern w:val="0"/>
                <w:sz w:val="24"/>
                <w:highlight w:val="none"/>
                <w:lang w:eastAsia="zh-CN"/>
              </w:rPr>
              <w:t>、</w:t>
            </w:r>
            <w:r>
              <w:rPr>
                <w:rFonts w:hint="default"/>
                <w:color w:val="auto"/>
                <w:kern w:val="0"/>
                <w:sz w:val="24"/>
                <w:highlight w:val="none"/>
              </w:rPr>
              <w:t>污泥等危废在危废仓库暂存过程产生的废气</w:t>
            </w:r>
            <w:r>
              <w:rPr>
                <w:rFonts w:hint="eastAsia"/>
                <w:color w:val="auto"/>
                <w:kern w:val="0"/>
                <w:sz w:val="24"/>
                <w:highlight w:val="none"/>
                <w:lang w:eastAsia="zh-CN"/>
              </w:rPr>
              <w:t>，</w:t>
            </w:r>
            <w:r>
              <w:rPr>
                <w:rFonts w:hint="eastAsia"/>
                <w:color w:val="auto"/>
                <w:kern w:val="0"/>
                <w:sz w:val="24"/>
                <w:highlight w:val="none"/>
                <w:lang w:val="en-US" w:eastAsia="zh-CN"/>
              </w:rPr>
              <w:t>废气主要硫酸雾、氯化氢、</w:t>
            </w:r>
            <w:r>
              <w:rPr>
                <w:rFonts w:hint="default" w:cs="Times New Roman"/>
                <w:color w:val="auto"/>
                <w:kern w:val="0"/>
                <w:sz w:val="24"/>
                <w:szCs w:val="24"/>
                <w:highlight w:val="none"/>
                <w:lang w:val="en-US" w:eastAsia="zh-CN"/>
              </w:rPr>
              <w:t>恶臭物质主要有氨、硫化氢、臭气浓度等</w:t>
            </w:r>
            <w:r>
              <w:rPr>
                <w:rFonts w:hint="default"/>
                <w:color w:val="auto"/>
                <w:kern w:val="0"/>
                <w:sz w:val="24"/>
                <w:highlight w:val="none"/>
              </w:rPr>
              <w:t>。危废仓库废气产生情况与各危废储存方式、周转周期等危废管理的规范性相关，在规范化管理的前提下，若各危险废物密闭暂存，且严格按周转计划进行周转管理，危废仓库废气产生微乎其微，本次评价不做定量分析</w:t>
            </w:r>
            <w:r>
              <w:rPr>
                <w:rFonts w:hint="eastAsia"/>
                <w:color w:val="auto"/>
                <w:kern w:val="0"/>
                <w:sz w:val="24"/>
                <w:highlight w:val="none"/>
                <w:lang w:eastAsia="zh-CN"/>
              </w:rPr>
              <w:t>。</w:t>
            </w:r>
          </w:p>
          <w:p w14:paraId="2D010FA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lang w:eastAsia="zh-CN"/>
              </w:rPr>
            </w:pPr>
          </w:p>
          <w:p w14:paraId="7CDEDE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lang w:eastAsia="zh-CN"/>
              </w:rPr>
            </w:pPr>
          </w:p>
          <w:p w14:paraId="2B2B815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lang w:eastAsia="zh-CN"/>
              </w:rPr>
            </w:pPr>
          </w:p>
          <w:p w14:paraId="71A6152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lang w:eastAsia="zh-CN"/>
              </w:rPr>
            </w:pPr>
          </w:p>
          <w:p w14:paraId="0F939A5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auto"/>
                <w:kern w:val="0"/>
                <w:sz w:val="24"/>
                <w:highlight w:val="none"/>
              </w:rPr>
            </w:pPr>
          </w:p>
          <w:p w14:paraId="51BF8CD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s="Times New Roman"/>
                <w:color w:val="auto"/>
                <w:kern w:val="0"/>
                <w:sz w:val="24"/>
                <w:szCs w:val="24"/>
                <w:highlight w:val="none"/>
                <w:lang w:val="en-US" w:eastAsia="zh-CN"/>
              </w:rPr>
            </w:pPr>
          </w:p>
        </w:tc>
      </w:tr>
    </w:tbl>
    <w:p w14:paraId="1F052A43">
      <w:pPr>
        <w:tabs>
          <w:tab w:val="left" w:pos="2010"/>
        </w:tabs>
        <w:adjustRightInd w:val="0"/>
        <w:snapToGrid w:val="0"/>
        <w:spacing w:line="360" w:lineRule="auto"/>
        <w:rPr>
          <w:b/>
          <w:color w:val="auto"/>
          <w:kern w:val="0"/>
          <w:sz w:val="28"/>
          <w:szCs w:val="28"/>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3758"/>
      </w:tblGrid>
      <w:tr w14:paraId="62C8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Align w:val="center"/>
          </w:tcPr>
          <w:p w14:paraId="6278EF68">
            <w:pPr>
              <w:keepNext w:val="0"/>
              <w:keepLines w:val="0"/>
              <w:pageBreakBefore w:val="0"/>
              <w:widowControl w:val="0"/>
              <w:tabs>
                <w:tab w:val="left" w:pos="2010"/>
              </w:tabs>
              <w:kinsoku/>
              <w:wordWrap/>
              <w:overflowPunct/>
              <w:topLinePunct w:val="0"/>
              <w:autoSpaceDE/>
              <w:autoSpaceDN/>
              <w:bidi w:val="0"/>
              <w:adjustRightInd w:val="0"/>
              <w:snapToGrid w:val="0"/>
              <w:spacing w:line="240" w:lineRule="auto"/>
              <w:jc w:val="center"/>
              <w:textAlignment w:val="auto"/>
              <w:rPr>
                <w:b/>
                <w:color w:val="auto"/>
                <w:kern w:val="0"/>
                <w:sz w:val="28"/>
                <w:szCs w:val="28"/>
                <w:highlight w:val="none"/>
                <w:vertAlign w:val="baseline"/>
              </w:rPr>
            </w:pPr>
            <w:r>
              <w:rPr>
                <w:bCs/>
                <w:color w:val="auto"/>
                <w:sz w:val="24"/>
                <w:szCs w:val="24"/>
                <w:highlight w:val="none"/>
              </w:rPr>
              <w:t>运营期环境影响和保护措施</w:t>
            </w:r>
          </w:p>
        </w:tc>
        <w:tc>
          <w:tcPr>
            <w:tcW w:w="13758" w:type="dxa"/>
          </w:tcPr>
          <w:p w14:paraId="3C3FEEE9">
            <w:pPr>
              <w:adjustRightInd/>
              <w:snapToGrid/>
              <w:spacing w:line="360" w:lineRule="auto"/>
              <w:ind w:firstLine="0" w:firstLineChars="0"/>
              <w:jc w:val="left"/>
              <w:rPr>
                <w:rFonts w:hint="default" w:eastAsia="宋体"/>
                <w:b/>
                <w:bCs/>
                <w:color w:val="auto"/>
                <w:sz w:val="24"/>
                <w:szCs w:val="24"/>
                <w:highlight w:val="none"/>
                <w:lang w:val="en-US" w:eastAsia="zh-CN"/>
              </w:rPr>
            </w:pPr>
            <w:r>
              <w:rPr>
                <w:rFonts w:hint="default"/>
                <w:b/>
                <w:bCs/>
                <w:color w:val="auto"/>
                <w:sz w:val="24"/>
                <w:lang w:val="en-US" w:eastAsia="zh-CN"/>
              </w:rPr>
              <w:t>1.3  废气产生与排放情况</w:t>
            </w:r>
          </w:p>
          <w:p w14:paraId="4F7A578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本项目有组织废气产生及排放情况</w:t>
            </w:r>
            <w:r>
              <w:rPr>
                <w:rFonts w:hint="default" w:cs="Times New Roman"/>
                <w:b/>
                <w:color w:val="auto"/>
                <w:kern w:val="0"/>
                <w:sz w:val="24"/>
                <w:szCs w:val="24"/>
                <w:highlight w:val="none"/>
                <w:lang w:val="en-US" w:eastAsia="zh-CN"/>
              </w:rPr>
              <w:t>一览表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825"/>
              <w:gridCol w:w="807"/>
              <w:gridCol w:w="1063"/>
              <w:gridCol w:w="1314"/>
              <w:gridCol w:w="843"/>
              <w:gridCol w:w="825"/>
              <w:gridCol w:w="900"/>
              <w:gridCol w:w="769"/>
              <w:gridCol w:w="1010"/>
              <w:gridCol w:w="694"/>
              <w:gridCol w:w="929"/>
              <w:gridCol w:w="885"/>
              <w:gridCol w:w="891"/>
              <w:gridCol w:w="677"/>
            </w:tblGrid>
            <w:tr w14:paraId="7ADEA6B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restart"/>
                  <w:tcBorders>
                    <w:tl2br w:val="nil"/>
                    <w:tr2bl w:val="nil"/>
                  </w:tcBorders>
                  <w:vAlign w:val="center"/>
                </w:tcPr>
                <w:p w14:paraId="3B13777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工序/生产线</w:t>
                  </w:r>
                </w:p>
              </w:tc>
              <w:tc>
                <w:tcPr>
                  <w:tcW w:w="305" w:type="pct"/>
                  <w:vMerge w:val="restart"/>
                  <w:tcBorders>
                    <w:tl2br w:val="nil"/>
                    <w:tr2bl w:val="nil"/>
                  </w:tcBorders>
                  <w:vAlign w:val="center"/>
                </w:tcPr>
                <w:p w14:paraId="2B92932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排气筒编号</w:t>
                  </w:r>
                </w:p>
              </w:tc>
              <w:tc>
                <w:tcPr>
                  <w:tcW w:w="298" w:type="pct"/>
                  <w:vMerge w:val="restart"/>
                  <w:tcBorders>
                    <w:tl2br w:val="nil"/>
                    <w:tr2bl w:val="nil"/>
                  </w:tcBorders>
                  <w:vAlign w:val="center"/>
                </w:tcPr>
                <w:p w14:paraId="7FF19B6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风量m</w:t>
                  </w:r>
                  <w:r>
                    <w:rPr>
                      <w:rFonts w:hint="default" w:ascii="Times New Roman" w:hAnsi="Times New Roman" w:eastAsia="仿宋" w:cs="Times New Roman"/>
                      <w:b/>
                      <w:bCs/>
                      <w:color w:val="auto"/>
                      <w:sz w:val="21"/>
                      <w:szCs w:val="21"/>
                      <w:highlight w:val="none"/>
                      <w:vertAlign w:val="superscript"/>
                      <w:lang w:val="en-US" w:eastAsia="zh-CN"/>
                    </w:rPr>
                    <w:t>3</w:t>
                  </w:r>
                  <w:r>
                    <w:rPr>
                      <w:rFonts w:hint="default" w:ascii="Times New Roman" w:hAnsi="Times New Roman" w:eastAsia="仿宋" w:cs="Times New Roman"/>
                      <w:b/>
                      <w:bCs/>
                      <w:color w:val="auto"/>
                      <w:sz w:val="21"/>
                      <w:szCs w:val="21"/>
                      <w:highlight w:val="none"/>
                      <w:lang w:val="en-US" w:eastAsia="zh-CN"/>
                    </w:rPr>
                    <w:t>/h</w:t>
                  </w:r>
                </w:p>
              </w:tc>
              <w:tc>
                <w:tcPr>
                  <w:tcW w:w="393" w:type="pct"/>
                  <w:vMerge w:val="restart"/>
                  <w:tcBorders>
                    <w:tl2br w:val="nil"/>
                    <w:tr2bl w:val="nil"/>
                  </w:tcBorders>
                  <w:vAlign w:val="center"/>
                </w:tcPr>
                <w:p w14:paraId="199B4A9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污染源</w:t>
                  </w:r>
                </w:p>
              </w:tc>
              <w:tc>
                <w:tcPr>
                  <w:tcW w:w="486" w:type="pct"/>
                  <w:vMerge w:val="restart"/>
                  <w:tcBorders>
                    <w:tl2br w:val="nil"/>
                    <w:tr2bl w:val="nil"/>
                  </w:tcBorders>
                  <w:vAlign w:val="center"/>
                </w:tcPr>
                <w:p w14:paraId="04BE528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w:t>
                  </w:r>
                </w:p>
              </w:tc>
              <w:tc>
                <w:tcPr>
                  <w:tcW w:w="950" w:type="pct"/>
                  <w:gridSpan w:val="3"/>
                  <w:tcBorders>
                    <w:tl2br w:val="nil"/>
                    <w:tr2bl w:val="nil"/>
                  </w:tcBorders>
                  <w:vAlign w:val="center"/>
                </w:tcPr>
                <w:p w14:paraId="65335E5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污染物产生情况</w:t>
                  </w:r>
                </w:p>
              </w:tc>
              <w:tc>
                <w:tcPr>
                  <w:tcW w:w="915" w:type="pct"/>
                  <w:gridSpan w:val="3"/>
                  <w:tcBorders>
                    <w:tl2br w:val="nil"/>
                    <w:tr2bl w:val="nil"/>
                  </w:tcBorders>
                  <w:vAlign w:val="center"/>
                </w:tcPr>
                <w:p w14:paraId="2FEE338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治理措施</w:t>
                  </w:r>
                </w:p>
              </w:tc>
              <w:tc>
                <w:tcPr>
                  <w:tcW w:w="1000" w:type="pct"/>
                  <w:gridSpan w:val="3"/>
                  <w:tcBorders>
                    <w:tl2br w:val="nil"/>
                    <w:tr2bl w:val="nil"/>
                  </w:tcBorders>
                  <w:vAlign w:val="center"/>
                </w:tcPr>
                <w:p w14:paraId="4C855B1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污染物排放情况</w:t>
                  </w:r>
                </w:p>
              </w:tc>
              <w:tc>
                <w:tcPr>
                  <w:tcW w:w="250" w:type="pct"/>
                  <w:vMerge w:val="restart"/>
                  <w:tcBorders>
                    <w:tl2br w:val="nil"/>
                    <w:tr2bl w:val="nil"/>
                  </w:tcBorders>
                  <w:vAlign w:val="center"/>
                </w:tcPr>
                <w:p w14:paraId="6DA8D11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排放时间h</w:t>
                  </w:r>
                </w:p>
              </w:tc>
            </w:tr>
            <w:tr w14:paraId="4EB5EDF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7FFA334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305" w:type="pct"/>
                  <w:vMerge w:val="continue"/>
                  <w:tcBorders>
                    <w:tl2br w:val="nil"/>
                    <w:tr2bl w:val="nil"/>
                  </w:tcBorders>
                  <w:vAlign w:val="center"/>
                </w:tcPr>
                <w:p w14:paraId="7D07AF0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98" w:type="pct"/>
                  <w:vMerge w:val="continue"/>
                  <w:tcBorders>
                    <w:tl2br w:val="nil"/>
                    <w:tr2bl w:val="nil"/>
                  </w:tcBorders>
                  <w:vAlign w:val="center"/>
                </w:tcPr>
                <w:p w14:paraId="5754A45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393" w:type="pct"/>
                  <w:vMerge w:val="continue"/>
                  <w:tcBorders>
                    <w:tl2br w:val="nil"/>
                    <w:tr2bl w:val="nil"/>
                  </w:tcBorders>
                  <w:vAlign w:val="center"/>
                </w:tcPr>
                <w:p w14:paraId="77E3850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486" w:type="pct"/>
                  <w:vMerge w:val="continue"/>
                  <w:tcBorders>
                    <w:tl2br w:val="nil"/>
                    <w:tr2bl w:val="nil"/>
                  </w:tcBorders>
                  <w:vAlign w:val="center"/>
                </w:tcPr>
                <w:p w14:paraId="4BC7B7D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311" w:type="pct"/>
                  <w:tcBorders>
                    <w:tl2br w:val="nil"/>
                    <w:tr2bl w:val="nil"/>
                  </w:tcBorders>
                  <w:vAlign w:val="center"/>
                </w:tcPr>
                <w:p w14:paraId="7F4520F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产生</w:t>
                  </w:r>
                  <w:r>
                    <w:rPr>
                      <w:rFonts w:hint="default" w:ascii="Times New Roman" w:hAnsi="Times New Roman" w:eastAsia="仿宋" w:cs="Times New Roman"/>
                      <w:b/>
                      <w:bCs/>
                      <w:color w:val="auto"/>
                      <w:sz w:val="21"/>
                      <w:szCs w:val="21"/>
                      <w:highlight w:val="none"/>
                    </w:rPr>
                    <w:t>量t/a</w:t>
                  </w:r>
                </w:p>
              </w:tc>
              <w:tc>
                <w:tcPr>
                  <w:tcW w:w="305" w:type="pct"/>
                  <w:tcBorders>
                    <w:tl2br w:val="nil"/>
                    <w:tr2bl w:val="nil"/>
                  </w:tcBorders>
                  <w:vAlign w:val="center"/>
                </w:tcPr>
                <w:p w14:paraId="3538278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速率kg/h</w:t>
                  </w:r>
                </w:p>
              </w:tc>
              <w:tc>
                <w:tcPr>
                  <w:tcW w:w="333" w:type="pct"/>
                  <w:tcBorders>
                    <w:tl2br w:val="nil"/>
                    <w:tr2bl w:val="nil"/>
                  </w:tcBorders>
                  <w:vAlign w:val="center"/>
                </w:tcPr>
                <w:p w14:paraId="1AA1966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浓度mg/m</w:t>
                  </w:r>
                  <w:r>
                    <w:rPr>
                      <w:rFonts w:hint="default" w:ascii="Times New Roman" w:hAnsi="Times New Roman" w:eastAsia="仿宋" w:cs="Times New Roman"/>
                      <w:b/>
                      <w:bCs/>
                      <w:color w:val="auto"/>
                      <w:sz w:val="21"/>
                      <w:szCs w:val="21"/>
                      <w:highlight w:val="none"/>
                      <w:vertAlign w:val="superscript"/>
                    </w:rPr>
                    <w:t>3</w:t>
                  </w:r>
                </w:p>
              </w:tc>
              <w:tc>
                <w:tcPr>
                  <w:tcW w:w="284" w:type="pct"/>
                  <w:tcBorders>
                    <w:tl2br w:val="nil"/>
                    <w:tr2bl w:val="nil"/>
                  </w:tcBorders>
                  <w:vAlign w:val="center"/>
                </w:tcPr>
                <w:p w14:paraId="60064CF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收集效率</w:t>
                  </w:r>
                </w:p>
              </w:tc>
              <w:tc>
                <w:tcPr>
                  <w:tcW w:w="373" w:type="pct"/>
                  <w:tcBorders>
                    <w:tl2br w:val="nil"/>
                    <w:tr2bl w:val="nil"/>
                  </w:tcBorders>
                  <w:vAlign w:val="center"/>
                </w:tcPr>
                <w:p w14:paraId="6FF7107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处理工艺</w:t>
                  </w:r>
                </w:p>
              </w:tc>
              <w:tc>
                <w:tcPr>
                  <w:tcW w:w="256" w:type="pct"/>
                  <w:tcBorders>
                    <w:tl2br w:val="nil"/>
                    <w:tr2bl w:val="nil"/>
                  </w:tcBorders>
                  <w:vAlign w:val="center"/>
                </w:tcPr>
                <w:p w14:paraId="732C293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处理效率</w:t>
                  </w:r>
                </w:p>
              </w:tc>
              <w:tc>
                <w:tcPr>
                  <w:tcW w:w="343" w:type="pct"/>
                  <w:tcBorders>
                    <w:tl2br w:val="nil"/>
                    <w:tr2bl w:val="nil"/>
                  </w:tcBorders>
                  <w:vAlign w:val="center"/>
                </w:tcPr>
                <w:p w14:paraId="0860B93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rPr>
                    <w:t>量t/a</w:t>
                  </w:r>
                </w:p>
              </w:tc>
              <w:tc>
                <w:tcPr>
                  <w:tcW w:w="327" w:type="pct"/>
                  <w:tcBorders>
                    <w:tl2br w:val="nil"/>
                    <w:tr2bl w:val="nil"/>
                  </w:tcBorders>
                  <w:vAlign w:val="center"/>
                </w:tcPr>
                <w:p w14:paraId="65F45FB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速率kg/h</w:t>
                  </w:r>
                </w:p>
              </w:tc>
              <w:tc>
                <w:tcPr>
                  <w:tcW w:w="329" w:type="pct"/>
                  <w:tcBorders>
                    <w:tl2br w:val="nil"/>
                    <w:tr2bl w:val="nil"/>
                  </w:tcBorders>
                  <w:vAlign w:val="center"/>
                </w:tcPr>
                <w:p w14:paraId="732E27C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rPr>
                    <w:t>浓度mg</w:t>
                  </w:r>
                  <w:r>
                    <w:rPr>
                      <w:rFonts w:hint="default" w:ascii="Times New Roman" w:hAnsi="Times New Roman" w:eastAsia="仿宋" w:cs="Times New Roman"/>
                      <w:b/>
                      <w:bCs/>
                      <w:color w:val="auto"/>
                      <w:sz w:val="21"/>
                      <w:szCs w:val="21"/>
                      <w:highlight w:val="none"/>
                      <w:lang w:val="en-US" w:eastAsia="zh-CN"/>
                    </w:rPr>
                    <w:t>/m</w:t>
                  </w:r>
                  <w:r>
                    <w:rPr>
                      <w:rFonts w:hint="default" w:ascii="Times New Roman" w:hAnsi="Times New Roman" w:eastAsia="仿宋" w:cs="Times New Roman"/>
                      <w:b/>
                      <w:bCs/>
                      <w:color w:val="auto"/>
                      <w:sz w:val="21"/>
                      <w:szCs w:val="21"/>
                      <w:highlight w:val="none"/>
                      <w:vertAlign w:val="superscript"/>
                      <w:lang w:val="en-US" w:eastAsia="zh-CN"/>
                    </w:rPr>
                    <w:t>3</w:t>
                  </w:r>
                </w:p>
              </w:tc>
              <w:tc>
                <w:tcPr>
                  <w:tcW w:w="250" w:type="pct"/>
                  <w:vMerge w:val="continue"/>
                  <w:tcBorders>
                    <w:tl2br w:val="nil"/>
                    <w:tr2bl w:val="nil"/>
                  </w:tcBorders>
                  <w:vAlign w:val="center"/>
                </w:tcPr>
                <w:p w14:paraId="7D1F42E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r>
            <w:tr w14:paraId="05D351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tcBorders>
                    <w:tl2br w:val="nil"/>
                    <w:tr2bl w:val="nil"/>
                  </w:tcBorders>
                  <w:vAlign w:val="center"/>
                </w:tcPr>
                <w:p w14:paraId="0E8EFB0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电泳线酸洗槽</w:t>
                  </w:r>
                </w:p>
              </w:tc>
              <w:tc>
                <w:tcPr>
                  <w:tcW w:w="305" w:type="pct"/>
                  <w:tcBorders>
                    <w:tl2br w:val="nil"/>
                    <w:tr2bl w:val="nil"/>
                  </w:tcBorders>
                  <w:vAlign w:val="center"/>
                </w:tcPr>
                <w:p w14:paraId="365214B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98" w:type="pct"/>
                  <w:tcBorders>
                    <w:tl2br w:val="nil"/>
                    <w:tr2bl w:val="nil"/>
                  </w:tcBorders>
                  <w:vAlign w:val="center"/>
                </w:tcPr>
                <w:p w14:paraId="6104A7F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93" w:type="pct"/>
                  <w:tcBorders>
                    <w:tl2br w:val="nil"/>
                    <w:tr2bl w:val="nil"/>
                  </w:tcBorders>
                  <w:vAlign w:val="center"/>
                </w:tcPr>
                <w:p w14:paraId="0305A07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电泳线酸洗废气</w:t>
                  </w:r>
                </w:p>
              </w:tc>
              <w:tc>
                <w:tcPr>
                  <w:tcW w:w="486" w:type="pct"/>
                  <w:tcBorders>
                    <w:tl2br w:val="nil"/>
                    <w:tr2bl w:val="nil"/>
                  </w:tcBorders>
                  <w:vAlign w:val="center"/>
                </w:tcPr>
                <w:p w14:paraId="085CA54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硫酸雾</w:t>
                  </w:r>
                </w:p>
              </w:tc>
              <w:tc>
                <w:tcPr>
                  <w:tcW w:w="311" w:type="pct"/>
                  <w:tcBorders>
                    <w:tl2br w:val="nil"/>
                    <w:tr2bl w:val="nil"/>
                  </w:tcBorders>
                  <w:vAlign w:val="center"/>
                </w:tcPr>
                <w:p w14:paraId="25FD1BD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05" w:type="pct"/>
                  <w:tcBorders>
                    <w:tl2br w:val="nil"/>
                    <w:tr2bl w:val="nil"/>
                  </w:tcBorders>
                  <w:vAlign w:val="center"/>
                </w:tcPr>
                <w:p w14:paraId="579EFD7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33" w:type="pct"/>
                  <w:tcBorders>
                    <w:tl2br w:val="nil"/>
                    <w:tr2bl w:val="nil"/>
                  </w:tcBorders>
                  <w:vAlign w:val="center"/>
                </w:tcPr>
                <w:p w14:paraId="48E0E29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84" w:type="pct"/>
                  <w:tcBorders>
                    <w:tl2br w:val="nil"/>
                    <w:tr2bl w:val="nil"/>
                  </w:tcBorders>
                  <w:vAlign w:val="center"/>
                </w:tcPr>
                <w:p w14:paraId="20278B0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3" w:type="pct"/>
                  <w:tcBorders>
                    <w:tl2br w:val="nil"/>
                    <w:tr2bl w:val="nil"/>
                  </w:tcBorders>
                  <w:vAlign w:val="center"/>
                </w:tcPr>
                <w:p w14:paraId="5A58B59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56" w:type="pct"/>
                  <w:tcBorders>
                    <w:tl2br w:val="nil"/>
                    <w:tr2bl w:val="nil"/>
                  </w:tcBorders>
                  <w:vAlign w:val="center"/>
                </w:tcPr>
                <w:p w14:paraId="2E0676F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3" w:type="pct"/>
                  <w:tcBorders>
                    <w:tl2br w:val="nil"/>
                    <w:tr2bl w:val="nil"/>
                  </w:tcBorders>
                  <w:vAlign w:val="center"/>
                </w:tcPr>
                <w:p w14:paraId="6A67325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27" w:type="pct"/>
                  <w:tcBorders>
                    <w:tl2br w:val="nil"/>
                    <w:tr2bl w:val="nil"/>
                  </w:tcBorders>
                  <w:vAlign w:val="center"/>
                </w:tcPr>
                <w:p w14:paraId="09F5A52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29" w:type="pct"/>
                  <w:tcBorders>
                    <w:tl2br w:val="nil"/>
                    <w:tr2bl w:val="nil"/>
                  </w:tcBorders>
                  <w:vAlign w:val="center"/>
                </w:tcPr>
                <w:p w14:paraId="6C6DEA2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50" w:type="pct"/>
                  <w:tcBorders>
                    <w:tl2br w:val="nil"/>
                    <w:tr2bl w:val="nil"/>
                  </w:tcBorders>
                  <w:vAlign w:val="center"/>
                </w:tcPr>
                <w:p w14:paraId="5C20E16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3000</w:t>
                  </w:r>
                </w:p>
              </w:tc>
            </w:tr>
            <w:tr w14:paraId="797AD1C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tcBorders>
                    <w:tl2br w:val="nil"/>
                    <w:tr2bl w:val="nil"/>
                  </w:tcBorders>
                  <w:vAlign w:val="center"/>
                </w:tcPr>
                <w:p w14:paraId="5A4F983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喷粉工序</w:t>
                  </w:r>
                </w:p>
              </w:tc>
              <w:tc>
                <w:tcPr>
                  <w:tcW w:w="305" w:type="pct"/>
                  <w:vMerge w:val="restart"/>
                  <w:tcBorders>
                    <w:tl2br w:val="nil"/>
                    <w:tr2bl w:val="nil"/>
                  </w:tcBorders>
                  <w:vAlign w:val="center"/>
                </w:tcPr>
                <w:p w14:paraId="5B15C30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298" w:type="pct"/>
                  <w:tcBorders>
                    <w:tl2br w:val="nil"/>
                    <w:tr2bl w:val="nil"/>
                  </w:tcBorders>
                  <w:vAlign w:val="center"/>
                </w:tcPr>
                <w:p w14:paraId="607671D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5000</w:t>
                  </w:r>
                </w:p>
              </w:tc>
              <w:tc>
                <w:tcPr>
                  <w:tcW w:w="393" w:type="pct"/>
                  <w:tcBorders>
                    <w:tl2br w:val="nil"/>
                    <w:tr2bl w:val="nil"/>
                  </w:tcBorders>
                  <w:shd w:val="clear" w:color="auto" w:fill="auto"/>
                  <w:vAlign w:val="center"/>
                </w:tcPr>
                <w:p w14:paraId="4CD78C7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喷粉废气</w:t>
                  </w:r>
                </w:p>
              </w:tc>
              <w:tc>
                <w:tcPr>
                  <w:tcW w:w="486" w:type="pct"/>
                  <w:tcBorders>
                    <w:tl2br w:val="nil"/>
                    <w:tr2bl w:val="nil"/>
                  </w:tcBorders>
                  <w:shd w:val="clear" w:color="auto" w:fill="auto"/>
                  <w:vAlign w:val="center"/>
                </w:tcPr>
                <w:p w14:paraId="40AF8400">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颗粒物</w:t>
                  </w:r>
                </w:p>
              </w:tc>
              <w:tc>
                <w:tcPr>
                  <w:tcW w:w="843" w:type="dxa"/>
                  <w:tcBorders>
                    <w:tl2br w:val="nil"/>
                    <w:tr2bl w:val="nil"/>
                  </w:tcBorders>
                  <w:vAlign w:val="center"/>
                </w:tcPr>
                <w:p w14:paraId="086A84B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6.65</w:t>
                  </w:r>
                </w:p>
              </w:tc>
              <w:tc>
                <w:tcPr>
                  <w:tcW w:w="825" w:type="dxa"/>
                  <w:tcBorders>
                    <w:tl2br w:val="nil"/>
                    <w:tr2bl w:val="nil"/>
                  </w:tcBorders>
                  <w:vAlign w:val="center"/>
                </w:tcPr>
                <w:p w14:paraId="0BD8C82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2.2167</w:t>
                  </w:r>
                </w:p>
              </w:tc>
              <w:tc>
                <w:tcPr>
                  <w:tcW w:w="900" w:type="dxa"/>
                  <w:tcBorders>
                    <w:tl2br w:val="nil"/>
                    <w:tr2bl w:val="nil"/>
                  </w:tcBorders>
                  <w:vAlign w:val="center"/>
                </w:tcPr>
                <w:p w14:paraId="52ADBC0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443.34</w:t>
                  </w:r>
                </w:p>
              </w:tc>
              <w:tc>
                <w:tcPr>
                  <w:tcW w:w="284" w:type="pct"/>
                  <w:tcBorders>
                    <w:tl2br w:val="nil"/>
                    <w:tr2bl w:val="nil"/>
                  </w:tcBorders>
                  <w:shd w:val="clear" w:color="auto" w:fill="auto"/>
                  <w:vAlign w:val="center"/>
                </w:tcPr>
                <w:p w14:paraId="0CBCEA2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95</w:t>
                  </w:r>
                </w:p>
              </w:tc>
              <w:tc>
                <w:tcPr>
                  <w:tcW w:w="373" w:type="pct"/>
                  <w:tcBorders>
                    <w:tl2br w:val="nil"/>
                    <w:tr2bl w:val="nil"/>
                  </w:tcBorders>
                  <w:shd w:val="clear" w:color="auto" w:fill="auto"/>
                  <w:vAlign w:val="center"/>
                </w:tcPr>
                <w:p w14:paraId="1DA876C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滤芯回收系统</w:t>
                  </w:r>
                </w:p>
              </w:tc>
              <w:tc>
                <w:tcPr>
                  <w:tcW w:w="256" w:type="pct"/>
                  <w:tcBorders>
                    <w:tl2br w:val="nil"/>
                    <w:tr2bl w:val="nil"/>
                  </w:tcBorders>
                  <w:shd w:val="clear" w:color="auto" w:fill="auto"/>
                  <w:vAlign w:val="center"/>
                </w:tcPr>
                <w:p w14:paraId="7B46428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98</w:t>
                  </w:r>
                </w:p>
              </w:tc>
              <w:tc>
                <w:tcPr>
                  <w:tcW w:w="929" w:type="dxa"/>
                  <w:tcBorders>
                    <w:tl2br w:val="nil"/>
                    <w:tr2bl w:val="nil"/>
                  </w:tcBorders>
                  <w:vAlign w:val="center"/>
                </w:tcPr>
                <w:p w14:paraId="046F32B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0.133</w:t>
                  </w:r>
                </w:p>
              </w:tc>
              <w:tc>
                <w:tcPr>
                  <w:tcW w:w="885" w:type="dxa"/>
                  <w:tcBorders>
                    <w:tl2br w:val="nil"/>
                    <w:tr2bl w:val="nil"/>
                  </w:tcBorders>
                  <w:vAlign w:val="center"/>
                </w:tcPr>
                <w:p w14:paraId="5573260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0.0443</w:t>
                  </w:r>
                </w:p>
              </w:tc>
              <w:tc>
                <w:tcPr>
                  <w:tcW w:w="891" w:type="dxa"/>
                  <w:tcBorders>
                    <w:tl2br w:val="nil"/>
                    <w:tr2bl w:val="nil"/>
                  </w:tcBorders>
                  <w:vAlign w:val="center"/>
                </w:tcPr>
                <w:p w14:paraId="78E7DFA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8.86</w:t>
                  </w:r>
                </w:p>
              </w:tc>
              <w:tc>
                <w:tcPr>
                  <w:tcW w:w="250" w:type="pct"/>
                  <w:tcBorders>
                    <w:tl2br w:val="nil"/>
                    <w:tr2bl w:val="nil"/>
                  </w:tcBorders>
                  <w:vAlign w:val="center"/>
                </w:tcPr>
                <w:p w14:paraId="154D12C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r>
            <w:tr w14:paraId="7D8609C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restart"/>
                  <w:tcBorders>
                    <w:tl2br w:val="nil"/>
                    <w:tr2bl w:val="nil"/>
                  </w:tcBorders>
                  <w:vAlign w:val="center"/>
                </w:tcPr>
                <w:p w14:paraId="3271290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电泳线电泳槽</w:t>
                  </w:r>
                </w:p>
              </w:tc>
              <w:tc>
                <w:tcPr>
                  <w:tcW w:w="305" w:type="pct"/>
                  <w:vMerge w:val="continue"/>
                  <w:tcBorders>
                    <w:tl2br w:val="nil"/>
                    <w:tr2bl w:val="nil"/>
                  </w:tcBorders>
                  <w:vAlign w:val="center"/>
                </w:tcPr>
                <w:p w14:paraId="482D8B6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restart"/>
                  <w:tcBorders>
                    <w:tl2br w:val="nil"/>
                    <w:tr2bl w:val="nil"/>
                  </w:tcBorders>
                  <w:vAlign w:val="center"/>
                </w:tcPr>
                <w:p w14:paraId="56478E7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22500</w:t>
                  </w:r>
                </w:p>
              </w:tc>
              <w:tc>
                <w:tcPr>
                  <w:tcW w:w="393" w:type="pct"/>
                  <w:vMerge w:val="restart"/>
                  <w:tcBorders>
                    <w:tl2br w:val="nil"/>
                    <w:tr2bl w:val="nil"/>
                  </w:tcBorders>
                  <w:vAlign w:val="center"/>
                </w:tcPr>
                <w:p w14:paraId="7AF426B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电泳线电泳废气</w:t>
                  </w:r>
                </w:p>
              </w:tc>
              <w:tc>
                <w:tcPr>
                  <w:tcW w:w="486" w:type="pct"/>
                  <w:tcBorders>
                    <w:tl2br w:val="nil"/>
                    <w:tr2bl w:val="nil"/>
                  </w:tcBorders>
                  <w:vAlign w:val="center"/>
                </w:tcPr>
                <w:p w14:paraId="3A6DAA1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非甲烷总烃</w:t>
                  </w:r>
                </w:p>
              </w:tc>
              <w:tc>
                <w:tcPr>
                  <w:tcW w:w="311" w:type="pct"/>
                  <w:tcBorders>
                    <w:tl2br w:val="nil"/>
                    <w:tr2bl w:val="nil"/>
                  </w:tcBorders>
                  <w:vAlign w:val="center"/>
                </w:tcPr>
                <w:p w14:paraId="49548A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305" w:type="pct"/>
                  <w:tcBorders>
                    <w:tl2br w:val="nil"/>
                    <w:tr2bl w:val="nil"/>
                  </w:tcBorders>
                  <w:vAlign w:val="center"/>
                </w:tcPr>
                <w:p w14:paraId="408EEE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333" w:type="pct"/>
                  <w:tcBorders>
                    <w:tl2br w:val="nil"/>
                    <w:tr2bl w:val="nil"/>
                  </w:tcBorders>
                  <w:vAlign w:val="center"/>
                </w:tcPr>
                <w:p w14:paraId="4B2CF3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9.7778</w:t>
                  </w:r>
                </w:p>
              </w:tc>
              <w:tc>
                <w:tcPr>
                  <w:tcW w:w="284" w:type="pct"/>
                  <w:tcBorders>
                    <w:tl2br w:val="nil"/>
                    <w:tr2bl w:val="nil"/>
                  </w:tcBorders>
                  <w:vAlign w:val="center"/>
                </w:tcPr>
                <w:p w14:paraId="58B4899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restart"/>
                  <w:tcBorders>
                    <w:tl2br w:val="nil"/>
                    <w:tr2bl w:val="nil"/>
                  </w:tcBorders>
                  <w:vAlign w:val="center"/>
                </w:tcPr>
                <w:p w14:paraId="5AD19D4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喷淋塔+</w:t>
                  </w:r>
                  <w:r>
                    <w:rPr>
                      <w:rFonts w:hint="eastAsia" w:cs="Times New Roman"/>
                      <w:color w:val="auto"/>
                      <w:sz w:val="21"/>
                      <w:szCs w:val="21"/>
                      <w:highlight w:val="none"/>
                      <w:lang w:val="en-US" w:eastAsia="zh-CN"/>
                    </w:rPr>
                    <w:t>干式过滤器</w:t>
                  </w:r>
                  <w:r>
                    <w:rPr>
                      <w:rFonts w:hint="eastAsia" w:ascii="Times New Roman" w:hAnsi="Times New Roman" w:cs="Times New Roman"/>
                      <w:color w:val="auto"/>
                      <w:sz w:val="21"/>
                      <w:szCs w:val="21"/>
                      <w:highlight w:val="none"/>
                      <w:lang w:val="en-US" w:eastAsia="zh-CN"/>
                    </w:rPr>
                    <w:t>+二级活性炭装置</w:t>
                  </w:r>
                </w:p>
              </w:tc>
              <w:tc>
                <w:tcPr>
                  <w:tcW w:w="256" w:type="pct"/>
                  <w:tcBorders>
                    <w:tl2br w:val="nil"/>
                    <w:tr2bl w:val="nil"/>
                  </w:tcBorders>
                  <w:vAlign w:val="center"/>
                </w:tcPr>
                <w:p w14:paraId="11CEAD3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343" w:type="pct"/>
                  <w:tcBorders>
                    <w:tl2br w:val="nil"/>
                    <w:tr2bl w:val="nil"/>
                  </w:tcBorders>
                  <w:vAlign w:val="center"/>
                </w:tcPr>
                <w:p w14:paraId="4C9E2A0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0.066</w:t>
                  </w:r>
                </w:p>
              </w:tc>
              <w:tc>
                <w:tcPr>
                  <w:tcW w:w="327" w:type="pct"/>
                  <w:tcBorders>
                    <w:tl2br w:val="nil"/>
                    <w:tr2bl w:val="nil"/>
                  </w:tcBorders>
                  <w:vAlign w:val="center"/>
                </w:tcPr>
                <w:p w14:paraId="3D8903D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329" w:type="pct"/>
                  <w:tcBorders>
                    <w:tl2br w:val="nil"/>
                    <w:tr2bl w:val="nil"/>
                  </w:tcBorders>
                  <w:vAlign w:val="center"/>
                </w:tcPr>
                <w:p w14:paraId="7DCC5CD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0.9778</w:t>
                  </w:r>
                </w:p>
              </w:tc>
              <w:tc>
                <w:tcPr>
                  <w:tcW w:w="250" w:type="pct"/>
                  <w:vMerge w:val="restart"/>
                  <w:tcBorders>
                    <w:tl2br w:val="nil"/>
                    <w:tr2bl w:val="nil"/>
                  </w:tcBorders>
                  <w:vAlign w:val="center"/>
                </w:tcPr>
                <w:p w14:paraId="761E7FE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3000</w:t>
                  </w:r>
                </w:p>
              </w:tc>
            </w:tr>
            <w:tr w14:paraId="1D0B1B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3B3A800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5D05BCC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298" w:type="pct"/>
                  <w:vMerge w:val="continue"/>
                  <w:tcBorders>
                    <w:tl2br w:val="nil"/>
                    <w:tr2bl w:val="nil"/>
                  </w:tcBorders>
                  <w:vAlign w:val="center"/>
                </w:tcPr>
                <w:p w14:paraId="7189373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p>
              </w:tc>
              <w:tc>
                <w:tcPr>
                  <w:tcW w:w="393" w:type="pct"/>
                  <w:vMerge w:val="continue"/>
                  <w:tcBorders>
                    <w:tl2br w:val="nil"/>
                    <w:tr2bl w:val="nil"/>
                  </w:tcBorders>
                  <w:vAlign w:val="center"/>
                </w:tcPr>
                <w:p w14:paraId="41A6E83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vAlign w:val="center"/>
                </w:tcPr>
                <w:p w14:paraId="685AFBE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TVOC</w:t>
                  </w:r>
                </w:p>
              </w:tc>
              <w:tc>
                <w:tcPr>
                  <w:tcW w:w="311" w:type="pct"/>
                  <w:tcBorders>
                    <w:tl2br w:val="nil"/>
                    <w:tr2bl w:val="nil"/>
                  </w:tcBorders>
                  <w:vAlign w:val="center"/>
                </w:tcPr>
                <w:p w14:paraId="1B61DB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305" w:type="pct"/>
                  <w:tcBorders>
                    <w:tl2br w:val="nil"/>
                    <w:tr2bl w:val="nil"/>
                  </w:tcBorders>
                  <w:vAlign w:val="center"/>
                </w:tcPr>
                <w:p w14:paraId="6650F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333" w:type="pct"/>
                  <w:tcBorders>
                    <w:tl2br w:val="nil"/>
                    <w:tr2bl w:val="nil"/>
                  </w:tcBorders>
                  <w:vAlign w:val="center"/>
                </w:tcPr>
                <w:p w14:paraId="6B22C4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9.7778</w:t>
                  </w:r>
                </w:p>
              </w:tc>
              <w:tc>
                <w:tcPr>
                  <w:tcW w:w="284" w:type="pct"/>
                  <w:tcBorders>
                    <w:tl2br w:val="nil"/>
                    <w:tr2bl w:val="nil"/>
                  </w:tcBorders>
                  <w:vAlign w:val="center"/>
                </w:tcPr>
                <w:p w14:paraId="4FD797F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77F028F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256" w:type="pct"/>
                  <w:tcBorders>
                    <w:tl2br w:val="nil"/>
                    <w:tr2bl w:val="nil"/>
                  </w:tcBorders>
                  <w:vAlign w:val="center"/>
                </w:tcPr>
                <w:p w14:paraId="6E8393B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343" w:type="pct"/>
                  <w:tcBorders>
                    <w:tl2br w:val="nil"/>
                    <w:tr2bl w:val="nil"/>
                  </w:tcBorders>
                  <w:vAlign w:val="center"/>
                </w:tcPr>
                <w:p w14:paraId="76EDE7E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0.066</w:t>
                  </w:r>
                </w:p>
              </w:tc>
              <w:tc>
                <w:tcPr>
                  <w:tcW w:w="327" w:type="pct"/>
                  <w:tcBorders>
                    <w:tl2br w:val="nil"/>
                    <w:tr2bl w:val="nil"/>
                  </w:tcBorders>
                  <w:vAlign w:val="center"/>
                </w:tcPr>
                <w:p w14:paraId="2E9E1D2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329" w:type="pct"/>
                  <w:tcBorders>
                    <w:tl2br w:val="nil"/>
                    <w:tr2bl w:val="nil"/>
                  </w:tcBorders>
                  <w:vAlign w:val="center"/>
                </w:tcPr>
                <w:p w14:paraId="3BD6D0D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0.9778</w:t>
                  </w:r>
                </w:p>
              </w:tc>
              <w:tc>
                <w:tcPr>
                  <w:tcW w:w="250" w:type="pct"/>
                  <w:vMerge w:val="continue"/>
                  <w:tcBorders>
                    <w:tl2br w:val="nil"/>
                    <w:tr2bl w:val="nil"/>
                  </w:tcBorders>
                  <w:vAlign w:val="center"/>
                </w:tcPr>
                <w:p w14:paraId="1D82077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r>
            <w:tr w14:paraId="5AC97F4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restart"/>
                  <w:tcBorders>
                    <w:tl2br w:val="nil"/>
                    <w:tr2bl w:val="nil"/>
                  </w:tcBorders>
                  <w:vAlign w:val="center"/>
                </w:tcPr>
                <w:p w14:paraId="0A85443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电泳固化烘干、天然气燃烧</w:t>
                  </w:r>
                </w:p>
              </w:tc>
              <w:tc>
                <w:tcPr>
                  <w:tcW w:w="305" w:type="pct"/>
                  <w:vMerge w:val="continue"/>
                  <w:tcBorders>
                    <w:tl2br w:val="nil"/>
                    <w:tr2bl w:val="nil"/>
                  </w:tcBorders>
                  <w:vAlign w:val="center"/>
                </w:tcPr>
                <w:p w14:paraId="7BA7A40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59986E2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restart"/>
                  <w:tcBorders>
                    <w:tl2br w:val="nil"/>
                    <w:tr2bl w:val="nil"/>
                  </w:tcBorders>
                  <w:vAlign w:val="center"/>
                </w:tcPr>
                <w:p w14:paraId="05AD68B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电泳固化烘干、天然气燃烧废气</w:t>
                  </w:r>
                </w:p>
              </w:tc>
              <w:tc>
                <w:tcPr>
                  <w:tcW w:w="486" w:type="pct"/>
                  <w:tcBorders>
                    <w:tl2br w:val="nil"/>
                    <w:tr2bl w:val="nil"/>
                  </w:tcBorders>
                  <w:vAlign w:val="center"/>
                </w:tcPr>
                <w:p w14:paraId="75D6E61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非甲烷总烃</w:t>
                  </w:r>
                </w:p>
              </w:tc>
              <w:tc>
                <w:tcPr>
                  <w:tcW w:w="311" w:type="pct"/>
                  <w:tcBorders>
                    <w:tl2br w:val="nil"/>
                    <w:tr2bl w:val="nil"/>
                  </w:tcBorders>
                  <w:vAlign w:val="center"/>
                </w:tcPr>
                <w:p w14:paraId="6A2B3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1.2257</w:t>
                  </w:r>
                </w:p>
              </w:tc>
              <w:tc>
                <w:tcPr>
                  <w:tcW w:w="305" w:type="pct"/>
                  <w:tcBorders>
                    <w:tl2br w:val="nil"/>
                    <w:tr2bl w:val="nil"/>
                  </w:tcBorders>
                  <w:vAlign w:val="center"/>
                </w:tcPr>
                <w:p w14:paraId="2FDCF4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0.4086</w:t>
                  </w:r>
                </w:p>
              </w:tc>
              <w:tc>
                <w:tcPr>
                  <w:tcW w:w="333" w:type="pct"/>
                  <w:tcBorders>
                    <w:tl2br w:val="nil"/>
                    <w:tr2bl w:val="nil"/>
                  </w:tcBorders>
                  <w:vAlign w:val="center"/>
                </w:tcPr>
                <w:p w14:paraId="7D6C0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18.16</w:t>
                  </w:r>
                </w:p>
              </w:tc>
              <w:tc>
                <w:tcPr>
                  <w:tcW w:w="284" w:type="pct"/>
                  <w:tcBorders>
                    <w:tl2br w:val="nil"/>
                    <w:tr2bl w:val="nil"/>
                  </w:tcBorders>
                  <w:vAlign w:val="center"/>
                </w:tcPr>
                <w:p w14:paraId="3A1F537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2742706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1FBC6EA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43" w:type="pct"/>
                  <w:tcBorders>
                    <w:tl2br w:val="nil"/>
                    <w:tr2bl w:val="nil"/>
                  </w:tcBorders>
                  <w:vAlign w:val="center"/>
                </w:tcPr>
                <w:p w14:paraId="3B8C948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0.1226</w:t>
                  </w:r>
                </w:p>
              </w:tc>
              <w:tc>
                <w:tcPr>
                  <w:tcW w:w="327" w:type="pct"/>
                  <w:tcBorders>
                    <w:tl2br w:val="nil"/>
                    <w:tr2bl w:val="nil"/>
                  </w:tcBorders>
                  <w:vAlign w:val="center"/>
                </w:tcPr>
                <w:p w14:paraId="357E556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0.0409</w:t>
                  </w:r>
                </w:p>
              </w:tc>
              <w:tc>
                <w:tcPr>
                  <w:tcW w:w="329" w:type="pct"/>
                  <w:tcBorders>
                    <w:tl2br w:val="nil"/>
                    <w:tr2bl w:val="nil"/>
                  </w:tcBorders>
                  <w:vAlign w:val="center"/>
                </w:tcPr>
                <w:p w14:paraId="60EE832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1.8178</w:t>
                  </w:r>
                </w:p>
              </w:tc>
              <w:tc>
                <w:tcPr>
                  <w:tcW w:w="250" w:type="pct"/>
                  <w:vMerge w:val="continue"/>
                  <w:tcBorders>
                    <w:tl2br w:val="nil"/>
                    <w:tr2bl w:val="nil"/>
                  </w:tcBorders>
                  <w:vAlign w:val="center"/>
                </w:tcPr>
                <w:p w14:paraId="36268E6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3C10606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32379B1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34EA016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400A0CE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557ADB9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shd w:val="clear" w:color="auto" w:fill="auto"/>
                  <w:vAlign w:val="center"/>
                </w:tcPr>
                <w:p w14:paraId="32558E9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TVOC</w:t>
                  </w:r>
                </w:p>
              </w:tc>
              <w:tc>
                <w:tcPr>
                  <w:tcW w:w="311" w:type="pct"/>
                  <w:tcBorders>
                    <w:tl2br w:val="nil"/>
                    <w:tr2bl w:val="nil"/>
                  </w:tcBorders>
                  <w:shd w:val="clear" w:color="auto" w:fill="auto"/>
                  <w:vAlign w:val="center"/>
                </w:tcPr>
                <w:p w14:paraId="1FE146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1.2257</w:t>
                  </w:r>
                </w:p>
              </w:tc>
              <w:tc>
                <w:tcPr>
                  <w:tcW w:w="305" w:type="pct"/>
                  <w:tcBorders>
                    <w:tl2br w:val="nil"/>
                    <w:tr2bl w:val="nil"/>
                  </w:tcBorders>
                  <w:shd w:val="clear" w:color="auto" w:fill="auto"/>
                  <w:vAlign w:val="center"/>
                </w:tcPr>
                <w:p w14:paraId="2AD894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0.4086</w:t>
                  </w:r>
                </w:p>
              </w:tc>
              <w:tc>
                <w:tcPr>
                  <w:tcW w:w="333" w:type="pct"/>
                  <w:tcBorders>
                    <w:tl2br w:val="nil"/>
                    <w:tr2bl w:val="nil"/>
                  </w:tcBorders>
                  <w:shd w:val="clear" w:color="auto" w:fill="auto"/>
                  <w:vAlign w:val="center"/>
                </w:tcPr>
                <w:p w14:paraId="174C5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18.16</w:t>
                  </w:r>
                </w:p>
              </w:tc>
              <w:tc>
                <w:tcPr>
                  <w:tcW w:w="284" w:type="pct"/>
                  <w:tcBorders>
                    <w:tl2br w:val="nil"/>
                    <w:tr2bl w:val="nil"/>
                  </w:tcBorders>
                  <w:shd w:val="clear" w:color="auto" w:fill="auto"/>
                  <w:vAlign w:val="center"/>
                </w:tcPr>
                <w:p w14:paraId="07E577F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00B4685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shd w:val="clear" w:color="auto" w:fill="auto"/>
                  <w:vAlign w:val="center"/>
                </w:tcPr>
                <w:p w14:paraId="49A0CBA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90</w:t>
                  </w:r>
                </w:p>
              </w:tc>
              <w:tc>
                <w:tcPr>
                  <w:tcW w:w="343" w:type="pct"/>
                  <w:tcBorders>
                    <w:tl2br w:val="nil"/>
                    <w:tr2bl w:val="nil"/>
                  </w:tcBorders>
                  <w:shd w:val="clear" w:color="auto" w:fill="auto"/>
                  <w:vAlign w:val="center"/>
                </w:tcPr>
                <w:p w14:paraId="718620B8">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0.1226</w:t>
                  </w:r>
                </w:p>
              </w:tc>
              <w:tc>
                <w:tcPr>
                  <w:tcW w:w="327" w:type="pct"/>
                  <w:tcBorders>
                    <w:tl2br w:val="nil"/>
                    <w:tr2bl w:val="nil"/>
                  </w:tcBorders>
                  <w:shd w:val="clear" w:color="auto" w:fill="auto"/>
                  <w:vAlign w:val="center"/>
                </w:tcPr>
                <w:p w14:paraId="16FC3DCF">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0.0409</w:t>
                  </w:r>
                </w:p>
              </w:tc>
              <w:tc>
                <w:tcPr>
                  <w:tcW w:w="329" w:type="pct"/>
                  <w:tcBorders>
                    <w:tl2br w:val="nil"/>
                    <w:tr2bl w:val="nil"/>
                  </w:tcBorders>
                  <w:shd w:val="clear" w:color="auto" w:fill="auto"/>
                  <w:vAlign w:val="center"/>
                </w:tcPr>
                <w:p w14:paraId="52F6D054">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1.8178</w:t>
                  </w:r>
                </w:p>
              </w:tc>
              <w:tc>
                <w:tcPr>
                  <w:tcW w:w="250" w:type="pct"/>
                  <w:vMerge w:val="continue"/>
                  <w:tcBorders>
                    <w:tl2br w:val="nil"/>
                    <w:tr2bl w:val="nil"/>
                  </w:tcBorders>
                  <w:shd w:val="clear" w:color="auto" w:fill="auto"/>
                  <w:vAlign w:val="center"/>
                </w:tcPr>
                <w:p w14:paraId="4425969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p>
              </w:tc>
            </w:tr>
            <w:tr w14:paraId="4EA714B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5D2D106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25287A0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00A465E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747377A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vAlign w:val="center"/>
                </w:tcPr>
                <w:p w14:paraId="61BCC59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311" w:type="pct"/>
                  <w:tcBorders>
                    <w:tl2br w:val="nil"/>
                    <w:tr2bl w:val="nil"/>
                  </w:tcBorders>
                  <w:vAlign w:val="center"/>
                </w:tcPr>
                <w:p w14:paraId="5A9AAF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0.0257</w:t>
                  </w:r>
                </w:p>
              </w:tc>
              <w:tc>
                <w:tcPr>
                  <w:tcW w:w="305" w:type="pct"/>
                  <w:tcBorders>
                    <w:tl2br w:val="nil"/>
                    <w:tr2bl w:val="nil"/>
                  </w:tcBorders>
                  <w:vAlign w:val="center"/>
                </w:tcPr>
                <w:p w14:paraId="4C2A11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333" w:type="pct"/>
                  <w:tcBorders>
                    <w:tl2br w:val="nil"/>
                    <w:tr2bl w:val="nil"/>
                  </w:tcBorders>
                  <w:vAlign w:val="center"/>
                </w:tcPr>
                <w:p w14:paraId="2DF439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0.3822</w:t>
                  </w:r>
                </w:p>
              </w:tc>
              <w:tc>
                <w:tcPr>
                  <w:tcW w:w="284" w:type="pct"/>
                  <w:tcBorders>
                    <w:tl2br w:val="nil"/>
                    <w:tr2bl w:val="nil"/>
                  </w:tcBorders>
                  <w:vAlign w:val="center"/>
                </w:tcPr>
                <w:p w14:paraId="7A8BC0A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60128DD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6D9C092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343" w:type="pct"/>
                  <w:tcBorders>
                    <w:tl2br w:val="nil"/>
                    <w:tr2bl w:val="nil"/>
                  </w:tcBorders>
                  <w:vAlign w:val="center"/>
                </w:tcPr>
                <w:p w14:paraId="4BCE06D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0.0257</w:t>
                  </w:r>
                </w:p>
              </w:tc>
              <w:tc>
                <w:tcPr>
                  <w:tcW w:w="327" w:type="pct"/>
                  <w:tcBorders>
                    <w:tl2br w:val="nil"/>
                    <w:tr2bl w:val="nil"/>
                  </w:tcBorders>
                  <w:vAlign w:val="center"/>
                </w:tcPr>
                <w:p w14:paraId="679004C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329" w:type="pct"/>
                  <w:tcBorders>
                    <w:tl2br w:val="nil"/>
                    <w:tr2bl w:val="nil"/>
                  </w:tcBorders>
                  <w:vAlign w:val="center"/>
                </w:tcPr>
                <w:p w14:paraId="19CC717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0.3822</w:t>
                  </w:r>
                </w:p>
              </w:tc>
              <w:tc>
                <w:tcPr>
                  <w:tcW w:w="250" w:type="pct"/>
                  <w:vMerge w:val="continue"/>
                  <w:tcBorders>
                    <w:tl2br w:val="nil"/>
                    <w:tr2bl w:val="nil"/>
                  </w:tcBorders>
                  <w:vAlign w:val="center"/>
                </w:tcPr>
                <w:p w14:paraId="6380955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15C5869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7B7C6A2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6148E8E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2579BE1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78463DB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vAlign w:val="center"/>
                </w:tcPr>
                <w:p w14:paraId="0D001F33">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311" w:type="pct"/>
                  <w:tcBorders>
                    <w:tl2br w:val="nil"/>
                    <w:tr2bl w:val="nil"/>
                  </w:tcBorders>
                  <w:vAlign w:val="center"/>
                </w:tcPr>
                <w:p w14:paraId="3204D4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305" w:type="pct"/>
                  <w:tcBorders>
                    <w:tl2br w:val="nil"/>
                    <w:tr2bl w:val="nil"/>
                  </w:tcBorders>
                  <w:vAlign w:val="center"/>
                </w:tcPr>
                <w:p w14:paraId="79290B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333" w:type="pct"/>
                  <w:tcBorders>
                    <w:tl2br w:val="nil"/>
                    <w:tr2bl w:val="nil"/>
                  </w:tcBorders>
                  <w:vAlign w:val="center"/>
                </w:tcPr>
                <w:p w14:paraId="7269A2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0.2667</w:t>
                  </w:r>
                </w:p>
              </w:tc>
              <w:tc>
                <w:tcPr>
                  <w:tcW w:w="284" w:type="pct"/>
                  <w:tcBorders>
                    <w:tl2br w:val="nil"/>
                    <w:tr2bl w:val="nil"/>
                  </w:tcBorders>
                  <w:vAlign w:val="center"/>
                </w:tcPr>
                <w:p w14:paraId="6B78691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57726BB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02CF835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43" w:type="pct"/>
                  <w:tcBorders>
                    <w:tl2br w:val="nil"/>
                    <w:tr2bl w:val="nil"/>
                  </w:tcBorders>
                  <w:vAlign w:val="center"/>
                </w:tcPr>
                <w:p w14:paraId="2EAFD52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327" w:type="pct"/>
                  <w:tcBorders>
                    <w:tl2br w:val="nil"/>
                    <w:tr2bl w:val="nil"/>
                  </w:tcBorders>
                  <w:vAlign w:val="center"/>
                </w:tcPr>
                <w:p w14:paraId="3A468DA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329" w:type="pct"/>
                  <w:tcBorders>
                    <w:tl2br w:val="nil"/>
                    <w:tr2bl w:val="nil"/>
                  </w:tcBorders>
                  <w:vAlign w:val="center"/>
                </w:tcPr>
                <w:p w14:paraId="2592EB1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0.2667</w:t>
                  </w:r>
                </w:p>
              </w:tc>
              <w:tc>
                <w:tcPr>
                  <w:tcW w:w="250" w:type="pct"/>
                  <w:vMerge w:val="continue"/>
                  <w:tcBorders>
                    <w:tl2br w:val="nil"/>
                    <w:tr2bl w:val="nil"/>
                  </w:tcBorders>
                  <w:vAlign w:val="center"/>
                </w:tcPr>
                <w:p w14:paraId="11AB5AD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6A941EF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386AC4B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07535B1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72D9517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5926505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vAlign w:val="center"/>
                </w:tcPr>
                <w:p w14:paraId="66AD14E5">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default" w:eastAsia="仿宋" w:cs="Times New Roman"/>
                      <w:color w:val="auto"/>
                      <w:sz w:val="21"/>
                      <w:szCs w:val="21"/>
                      <w:lang w:val="en-US" w:eastAsia="zh-CN"/>
                    </w:rPr>
                    <w:t>NOx</w:t>
                  </w:r>
                </w:p>
              </w:tc>
              <w:tc>
                <w:tcPr>
                  <w:tcW w:w="311" w:type="pct"/>
                  <w:tcBorders>
                    <w:tl2br w:val="nil"/>
                    <w:tr2bl w:val="nil"/>
                  </w:tcBorders>
                  <w:vAlign w:val="center"/>
                </w:tcPr>
                <w:p w14:paraId="55915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0.168</w:t>
                  </w:r>
                </w:p>
              </w:tc>
              <w:tc>
                <w:tcPr>
                  <w:tcW w:w="305" w:type="pct"/>
                  <w:tcBorders>
                    <w:tl2br w:val="nil"/>
                    <w:tr2bl w:val="nil"/>
                  </w:tcBorders>
                  <w:vAlign w:val="center"/>
                </w:tcPr>
                <w:p w14:paraId="3416E0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0.056</w:t>
                  </w:r>
                </w:p>
              </w:tc>
              <w:tc>
                <w:tcPr>
                  <w:tcW w:w="333" w:type="pct"/>
                  <w:tcBorders>
                    <w:tl2br w:val="nil"/>
                    <w:tr2bl w:val="nil"/>
                  </w:tcBorders>
                  <w:vAlign w:val="center"/>
                </w:tcPr>
                <w:p w14:paraId="2DACA2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2.4889</w:t>
                  </w:r>
                </w:p>
              </w:tc>
              <w:tc>
                <w:tcPr>
                  <w:tcW w:w="284" w:type="pct"/>
                  <w:tcBorders>
                    <w:tl2br w:val="nil"/>
                    <w:tr2bl w:val="nil"/>
                  </w:tcBorders>
                  <w:vAlign w:val="center"/>
                </w:tcPr>
                <w:p w14:paraId="43C2C2D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259062C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792CC93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43" w:type="pct"/>
                  <w:tcBorders>
                    <w:tl2br w:val="nil"/>
                    <w:tr2bl w:val="nil"/>
                  </w:tcBorders>
                  <w:vAlign w:val="center"/>
                </w:tcPr>
                <w:p w14:paraId="0D43BB3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0.168</w:t>
                  </w:r>
                </w:p>
              </w:tc>
              <w:tc>
                <w:tcPr>
                  <w:tcW w:w="327" w:type="pct"/>
                  <w:tcBorders>
                    <w:tl2br w:val="nil"/>
                    <w:tr2bl w:val="nil"/>
                  </w:tcBorders>
                  <w:vAlign w:val="center"/>
                </w:tcPr>
                <w:p w14:paraId="55E4BD2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0.056</w:t>
                  </w:r>
                </w:p>
              </w:tc>
              <w:tc>
                <w:tcPr>
                  <w:tcW w:w="329" w:type="pct"/>
                  <w:tcBorders>
                    <w:tl2br w:val="nil"/>
                    <w:tr2bl w:val="nil"/>
                  </w:tcBorders>
                  <w:vAlign w:val="center"/>
                </w:tcPr>
                <w:p w14:paraId="3DC2045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2.4889</w:t>
                  </w:r>
                </w:p>
              </w:tc>
              <w:tc>
                <w:tcPr>
                  <w:tcW w:w="250" w:type="pct"/>
                  <w:vMerge w:val="continue"/>
                  <w:tcBorders>
                    <w:tl2br w:val="nil"/>
                    <w:tr2bl w:val="nil"/>
                  </w:tcBorders>
                  <w:vAlign w:val="center"/>
                </w:tcPr>
                <w:p w14:paraId="0274C34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7BCE06D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restart"/>
                  <w:tcBorders>
                    <w:tl2br w:val="nil"/>
                    <w:tr2bl w:val="nil"/>
                  </w:tcBorders>
                  <w:vAlign w:val="center"/>
                </w:tcPr>
                <w:p w14:paraId="75D0BCF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喷粉前处理酸洗</w:t>
                  </w:r>
                </w:p>
              </w:tc>
              <w:tc>
                <w:tcPr>
                  <w:tcW w:w="305" w:type="pct"/>
                  <w:vMerge w:val="continue"/>
                  <w:tcBorders>
                    <w:tl2br w:val="nil"/>
                    <w:tr2bl w:val="nil"/>
                  </w:tcBorders>
                  <w:vAlign w:val="center"/>
                </w:tcPr>
                <w:p w14:paraId="28383C1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60C4F0E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restart"/>
                  <w:tcBorders>
                    <w:tl2br w:val="nil"/>
                    <w:tr2bl w:val="nil"/>
                  </w:tcBorders>
                  <w:vAlign w:val="center"/>
                </w:tcPr>
                <w:p w14:paraId="790A2A9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喷粉前处理酸洗废气</w:t>
                  </w:r>
                </w:p>
              </w:tc>
              <w:tc>
                <w:tcPr>
                  <w:tcW w:w="486" w:type="pct"/>
                  <w:tcBorders>
                    <w:tl2br w:val="nil"/>
                    <w:tr2bl w:val="nil"/>
                  </w:tcBorders>
                  <w:vAlign w:val="center"/>
                </w:tcPr>
                <w:p w14:paraId="52D4126B">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硫酸雾</w:t>
                  </w:r>
                </w:p>
              </w:tc>
              <w:tc>
                <w:tcPr>
                  <w:tcW w:w="311" w:type="pct"/>
                  <w:tcBorders>
                    <w:tl2br w:val="nil"/>
                    <w:tr2bl w:val="nil"/>
                  </w:tcBorders>
                  <w:vAlign w:val="center"/>
                </w:tcPr>
                <w:p w14:paraId="27E950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0.1021</w:t>
                  </w:r>
                </w:p>
              </w:tc>
              <w:tc>
                <w:tcPr>
                  <w:tcW w:w="305" w:type="pct"/>
                  <w:tcBorders>
                    <w:tl2br w:val="nil"/>
                    <w:tr2bl w:val="nil"/>
                  </w:tcBorders>
                  <w:vAlign w:val="center"/>
                </w:tcPr>
                <w:p w14:paraId="147217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0.034</w:t>
                  </w:r>
                </w:p>
              </w:tc>
              <w:tc>
                <w:tcPr>
                  <w:tcW w:w="333" w:type="pct"/>
                  <w:tcBorders>
                    <w:tl2br w:val="nil"/>
                    <w:tr2bl w:val="nil"/>
                  </w:tcBorders>
                  <w:vAlign w:val="center"/>
                </w:tcPr>
                <w:p w14:paraId="63AA1C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1.5111</w:t>
                  </w:r>
                </w:p>
              </w:tc>
              <w:tc>
                <w:tcPr>
                  <w:tcW w:w="284" w:type="pct"/>
                  <w:tcBorders>
                    <w:tl2br w:val="nil"/>
                    <w:tr2bl w:val="nil"/>
                  </w:tcBorders>
                  <w:vAlign w:val="center"/>
                </w:tcPr>
                <w:p w14:paraId="4F5E19C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7271877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27F10B9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43" w:type="pct"/>
                  <w:tcBorders>
                    <w:tl2br w:val="nil"/>
                    <w:tr2bl w:val="nil"/>
                  </w:tcBorders>
                  <w:vAlign w:val="center"/>
                </w:tcPr>
                <w:p w14:paraId="16B31FB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327" w:type="pct"/>
                  <w:tcBorders>
                    <w:tl2br w:val="nil"/>
                    <w:tr2bl w:val="nil"/>
                  </w:tcBorders>
                  <w:vAlign w:val="center"/>
                </w:tcPr>
                <w:p w14:paraId="42E7539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0.0068</w:t>
                  </w:r>
                </w:p>
              </w:tc>
              <w:tc>
                <w:tcPr>
                  <w:tcW w:w="329" w:type="pct"/>
                  <w:tcBorders>
                    <w:tl2br w:val="nil"/>
                    <w:tr2bl w:val="nil"/>
                  </w:tcBorders>
                  <w:vAlign w:val="center"/>
                </w:tcPr>
                <w:p w14:paraId="075C13E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0.3022</w:t>
                  </w:r>
                </w:p>
              </w:tc>
              <w:tc>
                <w:tcPr>
                  <w:tcW w:w="250" w:type="pct"/>
                  <w:vMerge w:val="continue"/>
                  <w:tcBorders>
                    <w:tl2br w:val="nil"/>
                    <w:tr2bl w:val="nil"/>
                  </w:tcBorders>
                  <w:vAlign w:val="center"/>
                </w:tcPr>
                <w:p w14:paraId="7FAF1BE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7DEF26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480DE8E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7B207ED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1BFAED8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4787C21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vAlign w:val="center"/>
                </w:tcPr>
                <w:p w14:paraId="091A4561">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氯化氢</w:t>
                  </w:r>
                </w:p>
              </w:tc>
              <w:tc>
                <w:tcPr>
                  <w:tcW w:w="311" w:type="pct"/>
                  <w:tcBorders>
                    <w:tl2br w:val="nil"/>
                    <w:tr2bl w:val="nil"/>
                  </w:tcBorders>
                  <w:vAlign w:val="center"/>
                </w:tcPr>
                <w:p w14:paraId="481276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305" w:type="pct"/>
                  <w:tcBorders>
                    <w:tl2br w:val="nil"/>
                    <w:tr2bl w:val="nil"/>
                  </w:tcBorders>
                  <w:vAlign w:val="center"/>
                </w:tcPr>
                <w:p w14:paraId="174F9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0.0213</w:t>
                  </w:r>
                </w:p>
              </w:tc>
              <w:tc>
                <w:tcPr>
                  <w:tcW w:w="333" w:type="pct"/>
                  <w:tcBorders>
                    <w:tl2br w:val="nil"/>
                    <w:tr2bl w:val="nil"/>
                  </w:tcBorders>
                  <w:vAlign w:val="center"/>
                </w:tcPr>
                <w:p w14:paraId="4E4EF3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0.9467</w:t>
                  </w:r>
                </w:p>
              </w:tc>
              <w:tc>
                <w:tcPr>
                  <w:tcW w:w="284" w:type="pct"/>
                  <w:tcBorders>
                    <w:tl2br w:val="nil"/>
                    <w:tr2bl w:val="nil"/>
                  </w:tcBorders>
                  <w:vAlign w:val="center"/>
                </w:tcPr>
                <w:p w14:paraId="1875739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6907CC1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1D216CB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43" w:type="pct"/>
                  <w:tcBorders>
                    <w:tl2br w:val="nil"/>
                    <w:tr2bl w:val="nil"/>
                  </w:tcBorders>
                  <w:vAlign w:val="center"/>
                </w:tcPr>
                <w:p w14:paraId="0B16FBA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0.0128</w:t>
                  </w:r>
                </w:p>
              </w:tc>
              <w:tc>
                <w:tcPr>
                  <w:tcW w:w="327" w:type="pct"/>
                  <w:tcBorders>
                    <w:tl2br w:val="nil"/>
                    <w:tr2bl w:val="nil"/>
                  </w:tcBorders>
                  <w:vAlign w:val="center"/>
                </w:tcPr>
                <w:p w14:paraId="64D9C7E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329" w:type="pct"/>
                  <w:tcBorders>
                    <w:tl2br w:val="nil"/>
                    <w:tr2bl w:val="nil"/>
                  </w:tcBorders>
                  <w:vAlign w:val="center"/>
                </w:tcPr>
                <w:p w14:paraId="4C7907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0.1911</w:t>
                  </w:r>
                </w:p>
              </w:tc>
              <w:tc>
                <w:tcPr>
                  <w:tcW w:w="250" w:type="pct"/>
                  <w:vMerge w:val="continue"/>
                  <w:tcBorders>
                    <w:tl2br w:val="nil"/>
                    <w:tr2bl w:val="nil"/>
                  </w:tcBorders>
                  <w:vAlign w:val="center"/>
                </w:tcPr>
                <w:p w14:paraId="067EF6E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2327CFF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restart"/>
                  <w:tcBorders>
                    <w:tl2br w:val="nil"/>
                    <w:tr2bl w:val="nil"/>
                  </w:tcBorders>
                  <w:vAlign w:val="center"/>
                </w:tcPr>
                <w:p w14:paraId="37A507F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喷粉固化烘干、天然气燃烧</w:t>
                  </w:r>
                </w:p>
              </w:tc>
              <w:tc>
                <w:tcPr>
                  <w:tcW w:w="305" w:type="pct"/>
                  <w:vMerge w:val="continue"/>
                  <w:tcBorders>
                    <w:tl2br w:val="nil"/>
                    <w:tr2bl w:val="nil"/>
                  </w:tcBorders>
                  <w:vAlign w:val="center"/>
                </w:tcPr>
                <w:p w14:paraId="3E6A32E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32C16B8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restart"/>
                  <w:tcBorders>
                    <w:tl2br w:val="nil"/>
                    <w:tr2bl w:val="nil"/>
                  </w:tcBorders>
                  <w:vAlign w:val="center"/>
                </w:tcPr>
                <w:p w14:paraId="167B70D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喷粉固化烘干废气、天然气燃烧废气</w:t>
                  </w:r>
                </w:p>
              </w:tc>
              <w:tc>
                <w:tcPr>
                  <w:tcW w:w="486" w:type="pct"/>
                  <w:tcBorders>
                    <w:tl2br w:val="nil"/>
                    <w:tr2bl w:val="nil"/>
                  </w:tcBorders>
                  <w:shd w:val="clear" w:color="auto" w:fill="auto"/>
                  <w:vAlign w:val="center"/>
                </w:tcPr>
                <w:p w14:paraId="70AB13E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非甲烷总烃</w:t>
                  </w:r>
                </w:p>
              </w:tc>
              <w:tc>
                <w:tcPr>
                  <w:tcW w:w="311" w:type="pct"/>
                  <w:tcBorders>
                    <w:tl2br w:val="nil"/>
                    <w:tr2bl w:val="nil"/>
                  </w:tcBorders>
                  <w:vAlign w:val="center"/>
                </w:tcPr>
                <w:p w14:paraId="09065C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305" w:type="pct"/>
                  <w:tcBorders>
                    <w:tl2br w:val="nil"/>
                    <w:tr2bl w:val="nil"/>
                  </w:tcBorders>
                  <w:vAlign w:val="center"/>
                </w:tcPr>
                <w:p w14:paraId="4D3296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0.0047</w:t>
                  </w:r>
                </w:p>
              </w:tc>
              <w:tc>
                <w:tcPr>
                  <w:tcW w:w="333" w:type="pct"/>
                  <w:tcBorders>
                    <w:tl2br w:val="nil"/>
                    <w:tr2bl w:val="nil"/>
                  </w:tcBorders>
                  <w:vAlign w:val="center"/>
                </w:tcPr>
                <w:p w14:paraId="4839F9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0.2089</w:t>
                  </w:r>
                </w:p>
              </w:tc>
              <w:tc>
                <w:tcPr>
                  <w:tcW w:w="284" w:type="pct"/>
                  <w:tcBorders>
                    <w:tl2br w:val="nil"/>
                    <w:tr2bl w:val="nil"/>
                  </w:tcBorders>
                  <w:vAlign w:val="center"/>
                </w:tcPr>
                <w:p w14:paraId="0300617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4B9D017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60EA0B8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343" w:type="pct"/>
                  <w:tcBorders>
                    <w:tl2br w:val="nil"/>
                    <w:tr2bl w:val="nil"/>
                  </w:tcBorders>
                  <w:vAlign w:val="center"/>
                </w:tcPr>
                <w:p w14:paraId="6D9A9CA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327" w:type="pct"/>
                  <w:tcBorders>
                    <w:tl2br w:val="nil"/>
                    <w:tr2bl w:val="nil"/>
                  </w:tcBorders>
                  <w:vAlign w:val="center"/>
                </w:tcPr>
                <w:p w14:paraId="694967D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29" w:type="pct"/>
                  <w:tcBorders>
                    <w:tl2br w:val="nil"/>
                    <w:tr2bl w:val="nil"/>
                  </w:tcBorders>
                  <w:vAlign w:val="center"/>
                </w:tcPr>
                <w:p w14:paraId="6B54F98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0.0222</w:t>
                  </w:r>
                </w:p>
              </w:tc>
              <w:tc>
                <w:tcPr>
                  <w:tcW w:w="250" w:type="pct"/>
                  <w:vMerge w:val="continue"/>
                  <w:tcBorders>
                    <w:tl2br w:val="nil"/>
                    <w:tr2bl w:val="nil"/>
                  </w:tcBorders>
                  <w:vAlign w:val="center"/>
                </w:tcPr>
                <w:p w14:paraId="40F42CF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715882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6C6B60E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617CC0F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28841A9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78452F5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shd w:val="clear" w:color="auto" w:fill="auto"/>
                  <w:vAlign w:val="center"/>
                </w:tcPr>
                <w:p w14:paraId="0F2F6C3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TVOC</w:t>
                  </w:r>
                </w:p>
              </w:tc>
              <w:tc>
                <w:tcPr>
                  <w:tcW w:w="311" w:type="pct"/>
                  <w:tcBorders>
                    <w:tl2br w:val="nil"/>
                    <w:tr2bl w:val="nil"/>
                  </w:tcBorders>
                  <w:shd w:val="clear" w:color="auto" w:fill="auto"/>
                  <w:vAlign w:val="center"/>
                </w:tcPr>
                <w:p w14:paraId="526E0B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305" w:type="pct"/>
                  <w:tcBorders>
                    <w:tl2br w:val="nil"/>
                    <w:tr2bl w:val="nil"/>
                  </w:tcBorders>
                  <w:shd w:val="clear" w:color="auto" w:fill="auto"/>
                  <w:vAlign w:val="center"/>
                </w:tcPr>
                <w:p w14:paraId="6D912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0.0047</w:t>
                  </w:r>
                </w:p>
              </w:tc>
              <w:tc>
                <w:tcPr>
                  <w:tcW w:w="333" w:type="pct"/>
                  <w:tcBorders>
                    <w:tl2br w:val="nil"/>
                    <w:tr2bl w:val="nil"/>
                  </w:tcBorders>
                  <w:shd w:val="clear" w:color="auto" w:fill="auto"/>
                  <w:vAlign w:val="center"/>
                </w:tcPr>
                <w:p w14:paraId="1E662A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0.2089</w:t>
                  </w:r>
                </w:p>
              </w:tc>
              <w:tc>
                <w:tcPr>
                  <w:tcW w:w="284" w:type="pct"/>
                  <w:tcBorders>
                    <w:tl2br w:val="nil"/>
                    <w:tr2bl w:val="nil"/>
                  </w:tcBorders>
                  <w:shd w:val="clear" w:color="auto" w:fill="auto"/>
                  <w:vAlign w:val="center"/>
                </w:tcPr>
                <w:p w14:paraId="6C1F92C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w:t>
                  </w:r>
                </w:p>
              </w:tc>
              <w:tc>
                <w:tcPr>
                  <w:tcW w:w="373" w:type="pct"/>
                  <w:vMerge w:val="continue"/>
                  <w:tcBorders>
                    <w:tl2br w:val="nil"/>
                    <w:tr2bl w:val="nil"/>
                  </w:tcBorders>
                  <w:vAlign w:val="center"/>
                </w:tcPr>
                <w:p w14:paraId="3B88BFD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shd w:val="clear" w:color="auto" w:fill="auto"/>
                  <w:vAlign w:val="center"/>
                </w:tcPr>
                <w:p w14:paraId="17AB9CF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90</w:t>
                  </w:r>
                </w:p>
              </w:tc>
              <w:tc>
                <w:tcPr>
                  <w:tcW w:w="343" w:type="pct"/>
                  <w:tcBorders>
                    <w:tl2br w:val="nil"/>
                    <w:tr2bl w:val="nil"/>
                  </w:tcBorders>
                  <w:shd w:val="clear" w:color="auto" w:fill="auto"/>
                  <w:vAlign w:val="center"/>
                </w:tcPr>
                <w:p w14:paraId="5BA26285">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327" w:type="pct"/>
                  <w:tcBorders>
                    <w:tl2br w:val="nil"/>
                    <w:tr2bl w:val="nil"/>
                  </w:tcBorders>
                  <w:shd w:val="clear" w:color="auto" w:fill="auto"/>
                  <w:vAlign w:val="center"/>
                </w:tcPr>
                <w:p w14:paraId="439AAD6E">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29" w:type="pct"/>
                  <w:tcBorders>
                    <w:tl2br w:val="nil"/>
                    <w:tr2bl w:val="nil"/>
                  </w:tcBorders>
                  <w:shd w:val="clear" w:color="auto" w:fill="auto"/>
                  <w:vAlign w:val="center"/>
                </w:tcPr>
                <w:p w14:paraId="63E01E92">
                  <w:pPr>
                    <w:keepNext w:val="0"/>
                    <w:keepLines w:val="0"/>
                    <w:widowControl/>
                    <w:suppressLineNumbers w:val="0"/>
                    <w:jc w:val="center"/>
                    <w:textAlignment w:val="center"/>
                    <w:rPr>
                      <w:rFonts w:hint="default" w:ascii="Times New Roman" w:hAnsi="Times New Roman" w:eastAsia="仿宋"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0.0222</w:t>
                  </w:r>
                </w:p>
              </w:tc>
              <w:tc>
                <w:tcPr>
                  <w:tcW w:w="250" w:type="pct"/>
                  <w:vMerge w:val="continue"/>
                  <w:tcBorders>
                    <w:tl2br w:val="nil"/>
                    <w:tr2bl w:val="nil"/>
                  </w:tcBorders>
                  <w:shd w:val="clear" w:color="auto" w:fill="auto"/>
                  <w:vAlign w:val="center"/>
                </w:tcPr>
                <w:p w14:paraId="44EE098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snapToGrid w:val="0"/>
                      <w:color w:val="auto"/>
                      <w:kern w:val="0"/>
                      <w:sz w:val="21"/>
                      <w:szCs w:val="21"/>
                      <w:highlight w:val="none"/>
                      <w:lang w:val="en-US" w:eastAsia="zh-CN" w:bidi="ar-SA"/>
                    </w:rPr>
                  </w:pPr>
                </w:p>
              </w:tc>
            </w:tr>
            <w:tr w14:paraId="06CD85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5D8628F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0DFFC01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2BF6D57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01C7B48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shd w:val="clear" w:color="auto" w:fill="auto"/>
                  <w:vAlign w:val="center"/>
                </w:tcPr>
                <w:p w14:paraId="1C1606B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颗粒物</w:t>
                  </w:r>
                </w:p>
              </w:tc>
              <w:tc>
                <w:tcPr>
                  <w:tcW w:w="311" w:type="pct"/>
                  <w:tcBorders>
                    <w:tl2br w:val="nil"/>
                    <w:tr2bl w:val="nil"/>
                  </w:tcBorders>
                  <w:vAlign w:val="center"/>
                </w:tcPr>
                <w:p w14:paraId="2BA6B6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0.0129</w:t>
                  </w:r>
                </w:p>
              </w:tc>
              <w:tc>
                <w:tcPr>
                  <w:tcW w:w="305" w:type="pct"/>
                  <w:tcBorders>
                    <w:tl2br w:val="nil"/>
                    <w:tr2bl w:val="nil"/>
                  </w:tcBorders>
                  <w:vAlign w:val="center"/>
                </w:tcPr>
                <w:p w14:paraId="3A9C0B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333" w:type="pct"/>
                  <w:tcBorders>
                    <w:tl2br w:val="nil"/>
                    <w:tr2bl w:val="nil"/>
                  </w:tcBorders>
                  <w:vAlign w:val="center"/>
                </w:tcPr>
                <w:p w14:paraId="32E56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0.1911</w:t>
                  </w:r>
                </w:p>
              </w:tc>
              <w:tc>
                <w:tcPr>
                  <w:tcW w:w="284" w:type="pct"/>
                  <w:tcBorders>
                    <w:tl2br w:val="nil"/>
                    <w:tr2bl w:val="nil"/>
                  </w:tcBorders>
                  <w:vAlign w:val="center"/>
                </w:tcPr>
                <w:p w14:paraId="4EEC41A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90</w:t>
                  </w:r>
                </w:p>
              </w:tc>
              <w:tc>
                <w:tcPr>
                  <w:tcW w:w="373" w:type="pct"/>
                  <w:vMerge w:val="continue"/>
                  <w:tcBorders>
                    <w:tl2br w:val="nil"/>
                    <w:tr2bl w:val="nil"/>
                  </w:tcBorders>
                  <w:vAlign w:val="center"/>
                </w:tcPr>
                <w:p w14:paraId="0261BBF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330C587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43" w:type="pct"/>
                  <w:tcBorders>
                    <w:tl2br w:val="nil"/>
                    <w:tr2bl w:val="nil"/>
                  </w:tcBorders>
                  <w:vAlign w:val="center"/>
                </w:tcPr>
                <w:p w14:paraId="41890CF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0.0129</w:t>
                  </w:r>
                </w:p>
              </w:tc>
              <w:tc>
                <w:tcPr>
                  <w:tcW w:w="327" w:type="pct"/>
                  <w:tcBorders>
                    <w:tl2br w:val="nil"/>
                    <w:tr2bl w:val="nil"/>
                  </w:tcBorders>
                  <w:vAlign w:val="center"/>
                </w:tcPr>
                <w:p w14:paraId="1F8491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329" w:type="pct"/>
                  <w:tcBorders>
                    <w:tl2br w:val="nil"/>
                    <w:tr2bl w:val="nil"/>
                  </w:tcBorders>
                  <w:vAlign w:val="center"/>
                </w:tcPr>
                <w:p w14:paraId="2984F34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0.1911</w:t>
                  </w:r>
                </w:p>
              </w:tc>
              <w:tc>
                <w:tcPr>
                  <w:tcW w:w="250" w:type="pct"/>
                  <w:vMerge w:val="continue"/>
                  <w:tcBorders>
                    <w:tl2br w:val="nil"/>
                    <w:tr2bl w:val="nil"/>
                  </w:tcBorders>
                  <w:vAlign w:val="center"/>
                </w:tcPr>
                <w:p w14:paraId="07A88CF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0C0268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tcBorders>
                    <w:tl2br w:val="nil"/>
                    <w:tr2bl w:val="nil"/>
                  </w:tcBorders>
                  <w:vAlign w:val="center"/>
                </w:tcPr>
                <w:p w14:paraId="6332BA0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tcBorders>
                    <w:tl2br w:val="nil"/>
                    <w:tr2bl w:val="nil"/>
                  </w:tcBorders>
                  <w:vAlign w:val="center"/>
                </w:tcPr>
                <w:p w14:paraId="30C2794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tcBorders>
                    <w:tl2br w:val="nil"/>
                    <w:tr2bl w:val="nil"/>
                  </w:tcBorders>
                  <w:vAlign w:val="center"/>
                </w:tcPr>
                <w:p w14:paraId="0A3C1C8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tcBorders>
                    <w:tl2br w:val="nil"/>
                    <w:tr2bl w:val="nil"/>
                  </w:tcBorders>
                  <w:vAlign w:val="center"/>
                </w:tcPr>
                <w:p w14:paraId="1C58AE7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tcBorders>
                    <w:tl2br w:val="nil"/>
                    <w:tr2bl w:val="nil"/>
                  </w:tcBorders>
                  <w:shd w:val="clear" w:color="auto" w:fill="auto"/>
                  <w:vAlign w:val="center"/>
                </w:tcPr>
                <w:p w14:paraId="1D85C45C">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311" w:type="pct"/>
                  <w:tcBorders>
                    <w:tl2br w:val="nil"/>
                    <w:tr2bl w:val="nil"/>
                  </w:tcBorders>
                  <w:vAlign w:val="center"/>
                </w:tcPr>
                <w:p w14:paraId="73A348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305" w:type="pct"/>
                  <w:tcBorders>
                    <w:tl2br w:val="nil"/>
                    <w:tr2bl w:val="nil"/>
                  </w:tcBorders>
                  <w:vAlign w:val="center"/>
                </w:tcPr>
                <w:p w14:paraId="4AFB1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333" w:type="pct"/>
                  <w:tcBorders>
                    <w:tl2br w:val="nil"/>
                    <w:tr2bl w:val="nil"/>
                  </w:tcBorders>
                  <w:vAlign w:val="center"/>
                </w:tcPr>
                <w:p w14:paraId="114764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0.1333</w:t>
                  </w:r>
                </w:p>
              </w:tc>
              <w:tc>
                <w:tcPr>
                  <w:tcW w:w="284" w:type="pct"/>
                  <w:tcBorders>
                    <w:tl2br w:val="nil"/>
                    <w:tr2bl w:val="nil"/>
                  </w:tcBorders>
                  <w:vAlign w:val="center"/>
                </w:tcPr>
                <w:p w14:paraId="4B88579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90</w:t>
                  </w:r>
                </w:p>
              </w:tc>
              <w:tc>
                <w:tcPr>
                  <w:tcW w:w="373" w:type="pct"/>
                  <w:vMerge w:val="continue"/>
                  <w:tcBorders>
                    <w:tl2br w:val="nil"/>
                    <w:tr2bl w:val="nil"/>
                  </w:tcBorders>
                  <w:vAlign w:val="center"/>
                </w:tcPr>
                <w:p w14:paraId="0071E32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tcBorders>
                    <w:tl2br w:val="nil"/>
                    <w:tr2bl w:val="nil"/>
                  </w:tcBorders>
                  <w:vAlign w:val="center"/>
                </w:tcPr>
                <w:p w14:paraId="19351AE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43" w:type="pct"/>
                  <w:tcBorders>
                    <w:tl2br w:val="nil"/>
                    <w:tr2bl w:val="nil"/>
                  </w:tcBorders>
                  <w:vAlign w:val="center"/>
                </w:tcPr>
                <w:p w14:paraId="1C6544D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327" w:type="pct"/>
                  <w:tcBorders>
                    <w:tl2br w:val="nil"/>
                    <w:tr2bl w:val="nil"/>
                  </w:tcBorders>
                  <w:vAlign w:val="center"/>
                </w:tcPr>
                <w:p w14:paraId="580A297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329" w:type="pct"/>
                  <w:tcBorders>
                    <w:tl2br w:val="nil"/>
                    <w:tr2bl w:val="nil"/>
                  </w:tcBorders>
                  <w:vAlign w:val="center"/>
                </w:tcPr>
                <w:p w14:paraId="7D59CBB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0.1333</w:t>
                  </w:r>
                </w:p>
              </w:tc>
              <w:tc>
                <w:tcPr>
                  <w:tcW w:w="250" w:type="pct"/>
                  <w:vMerge w:val="continue"/>
                  <w:tcBorders>
                    <w:tl2br w:val="nil"/>
                    <w:tr2bl w:val="nil"/>
                  </w:tcBorders>
                  <w:vAlign w:val="center"/>
                </w:tcPr>
                <w:p w14:paraId="6E45A82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6160147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99" w:type="pct"/>
                  <w:vMerge w:val="continue"/>
                  <w:vAlign w:val="center"/>
                </w:tcPr>
                <w:p w14:paraId="17A4A80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305" w:type="pct"/>
                  <w:vMerge w:val="continue"/>
                  <w:vAlign w:val="center"/>
                </w:tcPr>
                <w:p w14:paraId="33F5729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298" w:type="pct"/>
                  <w:vMerge w:val="continue"/>
                  <w:vAlign w:val="center"/>
                </w:tcPr>
                <w:p w14:paraId="764BE74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93" w:type="pct"/>
                  <w:vMerge w:val="continue"/>
                  <w:vAlign w:val="center"/>
                </w:tcPr>
                <w:p w14:paraId="0707FA2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p>
              </w:tc>
              <w:tc>
                <w:tcPr>
                  <w:tcW w:w="486" w:type="pct"/>
                  <w:shd w:val="clear" w:color="auto" w:fill="auto"/>
                  <w:vAlign w:val="center"/>
                </w:tcPr>
                <w:p w14:paraId="74648C8B">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仿宋" w:cs="Times New Roman"/>
                      <w:color w:val="auto"/>
                      <w:sz w:val="21"/>
                      <w:szCs w:val="21"/>
                      <w:lang w:val="en-US" w:eastAsia="zh-CN"/>
                    </w:rPr>
                    <w:t>NOx</w:t>
                  </w:r>
                </w:p>
              </w:tc>
              <w:tc>
                <w:tcPr>
                  <w:tcW w:w="311" w:type="pct"/>
                  <w:vAlign w:val="center"/>
                </w:tcPr>
                <w:p w14:paraId="1737EED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0.0842</w:t>
                  </w:r>
                </w:p>
              </w:tc>
              <w:tc>
                <w:tcPr>
                  <w:tcW w:w="305" w:type="pct"/>
                  <w:vAlign w:val="center"/>
                </w:tcPr>
                <w:p w14:paraId="04313B2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0.0281</w:t>
                  </w:r>
                </w:p>
              </w:tc>
              <w:tc>
                <w:tcPr>
                  <w:tcW w:w="333" w:type="pct"/>
                  <w:vAlign w:val="center"/>
                </w:tcPr>
                <w:p w14:paraId="22DD43C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1.2489</w:t>
                  </w:r>
                </w:p>
              </w:tc>
              <w:tc>
                <w:tcPr>
                  <w:tcW w:w="284" w:type="pct"/>
                  <w:vAlign w:val="center"/>
                </w:tcPr>
                <w:p w14:paraId="032E1B2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90</w:t>
                  </w:r>
                </w:p>
              </w:tc>
              <w:tc>
                <w:tcPr>
                  <w:tcW w:w="373" w:type="pct"/>
                  <w:vMerge w:val="continue"/>
                  <w:vAlign w:val="center"/>
                </w:tcPr>
                <w:p w14:paraId="0383CB0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256" w:type="pct"/>
                  <w:vAlign w:val="center"/>
                </w:tcPr>
                <w:p w14:paraId="2E92556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43" w:type="pct"/>
                  <w:vAlign w:val="center"/>
                </w:tcPr>
                <w:p w14:paraId="1533552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0.0842</w:t>
                  </w:r>
                </w:p>
              </w:tc>
              <w:tc>
                <w:tcPr>
                  <w:tcW w:w="327" w:type="pct"/>
                  <w:vAlign w:val="center"/>
                </w:tcPr>
                <w:p w14:paraId="271135D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0.0281</w:t>
                  </w:r>
                </w:p>
              </w:tc>
              <w:tc>
                <w:tcPr>
                  <w:tcW w:w="329" w:type="pct"/>
                  <w:vAlign w:val="center"/>
                </w:tcPr>
                <w:p w14:paraId="5D8B46D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1.2489</w:t>
                  </w:r>
                </w:p>
              </w:tc>
              <w:tc>
                <w:tcPr>
                  <w:tcW w:w="250" w:type="pct"/>
                  <w:vMerge w:val="continue"/>
                  <w:vAlign w:val="center"/>
                </w:tcPr>
                <w:p w14:paraId="63BCBF1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p>
              </w:tc>
            </w:tr>
            <w:tr w14:paraId="5FE446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15"/>
                  <w:vAlign w:val="center"/>
                </w:tcPr>
                <w:p w14:paraId="2EDA758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注：电泳线电泳废气，电泳固化烘干、天然气燃烧废气，喷粉前处理酸洗废气，喷粉固化烘干废气、天然气燃烧废气收集后经喷淋塔+干式过滤器+二级活性炭装置处理后，喷粉废气收集后经滤芯回收系统处理后，两股废气在汇合前设置采样监测口，并以采样监测口浓度作为废气达标排放依据。</w:t>
                  </w:r>
                </w:p>
              </w:tc>
            </w:tr>
          </w:tbl>
          <w:p w14:paraId="025654E2">
            <w:pPr>
              <w:tabs>
                <w:tab w:val="left" w:pos="2010"/>
              </w:tabs>
              <w:adjustRightInd w:val="0"/>
              <w:snapToGrid w:val="0"/>
              <w:spacing w:line="360" w:lineRule="auto"/>
              <w:rPr>
                <w:b/>
                <w:color w:val="auto"/>
                <w:kern w:val="0"/>
                <w:sz w:val="28"/>
                <w:szCs w:val="28"/>
                <w:highlight w:val="none"/>
                <w:vertAlign w:val="baseline"/>
              </w:rPr>
            </w:pPr>
          </w:p>
        </w:tc>
      </w:tr>
    </w:tbl>
    <w:p w14:paraId="78907F29">
      <w:pPr>
        <w:tabs>
          <w:tab w:val="left" w:pos="2010"/>
        </w:tabs>
        <w:adjustRightInd w:val="0"/>
        <w:snapToGrid w:val="0"/>
        <w:spacing w:line="360" w:lineRule="auto"/>
        <w:rPr>
          <w:b/>
          <w:color w:val="auto"/>
          <w:kern w:val="0"/>
          <w:sz w:val="28"/>
          <w:szCs w:val="28"/>
          <w:highlight w:val="none"/>
        </w:rPr>
      </w:pPr>
    </w:p>
    <w:p w14:paraId="50BFC544">
      <w:pPr>
        <w:tabs>
          <w:tab w:val="left" w:pos="2010"/>
        </w:tabs>
        <w:adjustRightInd w:val="0"/>
        <w:snapToGrid w:val="0"/>
        <w:spacing w:line="360" w:lineRule="auto"/>
        <w:rPr>
          <w:b/>
          <w:color w:val="auto"/>
          <w:kern w:val="0"/>
          <w:sz w:val="28"/>
          <w:szCs w:val="28"/>
          <w:highlight w:val="none"/>
        </w:rPr>
        <w:sectPr>
          <w:pgSz w:w="16840" w:h="11907" w:orient="landscape"/>
          <w:pgMar w:top="1797" w:right="1440" w:bottom="1797"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9741"/>
      </w:tblGrid>
      <w:tr w14:paraId="19E9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7" w:hRule="atLeast"/>
        </w:trPr>
        <w:tc>
          <w:tcPr>
            <w:tcW w:w="910" w:type="dxa"/>
          </w:tcPr>
          <w:p w14:paraId="60CDEC11">
            <w:pPr>
              <w:tabs>
                <w:tab w:val="left" w:pos="2010"/>
              </w:tabs>
              <w:adjustRightInd w:val="0"/>
              <w:snapToGrid w:val="0"/>
              <w:spacing w:line="360" w:lineRule="auto"/>
              <w:rPr>
                <w:b/>
                <w:color w:val="auto"/>
                <w:kern w:val="0"/>
                <w:sz w:val="28"/>
                <w:szCs w:val="28"/>
                <w:highlight w:val="none"/>
                <w:vertAlign w:val="baseline"/>
              </w:rPr>
            </w:pPr>
          </w:p>
        </w:tc>
        <w:tc>
          <w:tcPr>
            <w:tcW w:w="13266" w:type="dxa"/>
          </w:tcPr>
          <w:p w14:paraId="14E62AA4">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项目有组织废气排放口情况</w:t>
            </w:r>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484"/>
              <w:gridCol w:w="1462"/>
              <w:gridCol w:w="900"/>
              <w:gridCol w:w="900"/>
              <w:gridCol w:w="847"/>
              <w:gridCol w:w="885"/>
              <w:gridCol w:w="805"/>
              <w:gridCol w:w="1272"/>
            </w:tblGrid>
            <w:tr w14:paraId="66B4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vMerge w:val="restart"/>
                  <w:noWrap w:val="0"/>
                  <w:vAlign w:val="center"/>
                </w:tcPr>
                <w:p w14:paraId="2F05C4D9">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排气筒编号</w:t>
                  </w:r>
                </w:p>
              </w:tc>
              <w:tc>
                <w:tcPr>
                  <w:tcW w:w="1552" w:type="pct"/>
                  <w:gridSpan w:val="2"/>
                  <w:noWrap w:val="0"/>
                  <w:vAlign w:val="center"/>
                </w:tcPr>
                <w:p w14:paraId="3026C9A7">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排气筒底部中心坐标</w:t>
                  </w:r>
                </w:p>
              </w:tc>
              <w:tc>
                <w:tcPr>
                  <w:tcW w:w="474" w:type="pct"/>
                  <w:vMerge w:val="restart"/>
                  <w:noWrap w:val="0"/>
                  <w:vAlign w:val="center"/>
                </w:tcPr>
                <w:p w14:paraId="7D3B233E">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排气筒高度m</w:t>
                  </w:r>
                </w:p>
              </w:tc>
              <w:tc>
                <w:tcPr>
                  <w:tcW w:w="474" w:type="pct"/>
                  <w:vMerge w:val="restart"/>
                  <w:noWrap w:val="0"/>
                  <w:vAlign w:val="center"/>
                </w:tcPr>
                <w:p w14:paraId="02A23698">
                  <w:pPr>
                    <w:pStyle w:val="33"/>
                    <w:numPr>
                      <w:ilvl w:val="0"/>
                      <w:numId w:val="0"/>
                    </w:numPr>
                    <w:spacing w:line="24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烟气流速m/s</w:t>
                  </w:r>
                </w:p>
              </w:tc>
              <w:tc>
                <w:tcPr>
                  <w:tcW w:w="446" w:type="pct"/>
                  <w:vMerge w:val="restart"/>
                  <w:noWrap w:val="0"/>
                  <w:vAlign w:val="center"/>
                </w:tcPr>
                <w:p w14:paraId="443747F2">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出口内径m</w:t>
                  </w:r>
                </w:p>
              </w:tc>
              <w:tc>
                <w:tcPr>
                  <w:tcW w:w="466" w:type="pct"/>
                  <w:vMerge w:val="restart"/>
                  <w:noWrap w:val="0"/>
                  <w:vAlign w:val="center"/>
                </w:tcPr>
                <w:p w14:paraId="02D3F009">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烟气温度℃</w:t>
                  </w:r>
                </w:p>
              </w:tc>
              <w:tc>
                <w:tcPr>
                  <w:tcW w:w="424" w:type="pct"/>
                  <w:vMerge w:val="restart"/>
                  <w:noWrap w:val="0"/>
                  <w:vAlign w:val="center"/>
                </w:tcPr>
                <w:p w14:paraId="4BF174DC">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排放时间h</w:t>
                  </w:r>
                </w:p>
              </w:tc>
              <w:tc>
                <w:tcPr>
                  <w:tcW w:w="670" w:type="pct"/>
                  <w:vMerge w:val="restart"/>
                  <w:noWrap w:val="0"/>
                  <w:vAlign w:val="center"/>
                </w:tcPr>
                <w:p w14:paraId="492CA2C6">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类型</w:t>
                  </w:r>
                </w:p>
              </w:tc>
            </w:tr>
            <w:tr w14:paraId="612B8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vMerge w:val="continue"/>
                  <w:noWrap w:val="0"/>
                  <w:vAlign w:val="center"/>
                </w:tcPr>
                <w:p w14:paraId="782783E4">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782" w:type="pct"/>
                  <w:noWrap w:val="0"/>
                  <w:vAlign w:val="center"/>
                </w:tcPr>
                <w:p w14:paraId="0E5B4546">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X</w:t>
                  </w:r>
                </w:p>
              </w:tc>
              <w:tc>
                <w:tcPr>
                  <w:tcW w:w="769" w:type="pct"/>
                  <w:noWrap w:val="0"/>
                  <w:vAlign w:val="center"/>
                </w:tcPr>
                <w:p w14:paraId="38ABB9C3">
                  <w:pPr>
                    <w:pStyle w:val="33"/>
                    <w:numPr>
                      <w:ilvl w:val="0"/>
                      <w:numId w:val="0"/>
                    </w:numPr>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Y</w:t>
                  </w:r>
                </w:p>
              </w:tc>
              <w:tc>
                <w:tcPr>
                  <w:tcW w:w="474" w:type="pct"/>
                  <w:vMerge w:val="continue"/>
                  <w:noWrap w:val="0"/>
                  <w:vAlign w:val="center"/>
                </w:tcPr>
                <w:p w14:paraId="2820E8B9">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474" w:type="pct"/>
                  <w:vMerge w:val="continue"/>
                  <w:noWrap w:val="0"/>
                  <w:vAlign w:val="center"/>
                </w:tcPr>
                <w:p w14:paraId="5E973398">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446" w:type="pct"/>
                  <w:vMerge w:val="continue"/>
                  <w:noWrap w:val="0"/>
                  <w:vAlign w:val="center"/>
                </w:tcPr>
                <w:p w14:paraId="52E713AD">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466" w:type="pct"/>
                  <w:vMerge w:val="continue"/>
                  <w:noWrap w:val="0"/>
                  <w:vAlign w:val="center"/>
                </w:tcPr>
                <w:p w14:paraId="58F20DC3">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424" w:type="pct"/>
                  <w:vMerge w:val="continue"/>
                  <w:noWrap w:val="0"/>
                  <w:vAlign w:val="center"/>
                </w:tcPr>
                <w:p w14:paraId="55E24E6B">
                  <w:pPr>
                    <w:pStyle w:val="33"/>
                    <w:numPr>
                      <w:ilvl w:val="0"/>
                      <w:numId w:val="0"/>
                    </w:numPr>
                    <w:spacing w:line="240" w:lineRule="auto"/>
                    <w:rPr>
                      <w:rFonts w:hint="default" w:ascii="Times New Roman" w:hAnsi="Times New Roman" w:eastAsia="仿宋" w:cs="Times New Roman"/>
                      <w:b w:val="0"/>
                      <w:bCs/>
                      <w:color w:val="auto"/>
                      <w:sz w:val="21"/>
                      <w:szCs w:val="21"/>
                    </w:rPr>
                  </w:pPr>
                </w:p>
              </w:tc>
              <w:tc>
                <w:tcPr>
                  <w:tcW w:w="670" w:type="pct"/>
                  <w:vMerge w:val="continue"/>
                  <w:noWrap w:val="0"/>
                  <w:vAlign w:val="center"/>
                </w:tcPr>
                <w:p w14:paraId="40FB9785">
                  <w:pPr>
                    <w:pStyle w:val="33"/>
                    <w:numPr>
                      <w:ilvl w:val="0"/>
                      <w:numId w:val="0"/>
                    </w:numPr>
                    <w:spacing w:line="240" w:lineRule="auto"/>
                    <w:rPr>
                      <w:rFonts w:hint="default" w:ascii="Times New Roman" w:hAnsi="Times New Roman" w:eastAsia="仿宋" w:cs="Times New Roman"/>
                      <w:b w:val="0"/>
                      <w:bCs/>
                      <w:color w:val="auto"/>
                      <w:sz w:val="21"/>
                      <w:szCs w:val="21"/>
                    </w:rPr>
                  </w:pPr>
                </w:p>
              </w:tc>
            </w:tr>
            <w:tr w14:paraId="6E2B4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noWrap w:val="0"/>
                  <w:vAlign w:val="center"/>
                </w:tcPr>
                <w:p w14:paraId="2EACB4AE">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DA001</w:t>
                  </w:r>
                </w:p>
              </w:tc>
              <w:tc>
                <w:tcPr>
                  <w:tcW w:w="782" w:type="pct"/>
                  <w:noWrap w:val="0"/>
                  <w:vAlign w:val="center"/>
                </w:tcPr>
                <w:p w14:paraId="2672792F">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120°41′0.</w:t>
                  </w:r>
                  <w:r>
                    <w:rPr>
                      <w:rFonts w:hint="eastAsia" w:eastAsia="仿宋" w:cs="Times New Roman"/>
                      <w:b w:val="0"/>
                      <w:bCs/>
                      <w:color w:val="auto"/>
                      <w:sz w:val="21"/>
                      <w:szCs w:val="21"/>
                      <w:lang w:val="en-US" w:eastAsia="zh-CN"/>
                    </w:rPr>
                    <w:t>565</w:t>
                  </w:r>
                  <w:r>
                    <w:rPr>
                      <w:rFonts w:hint="default" w:ascii="Times New Roman" w:hAnsi="Times New Roman" w:eastAsia="仿宋" w:cs="Times New Roman"/>
                      <w:b w:val="0"/>
                      <w:bCs/>
                      <w:color w:val="auto"/>
                      <w:sz w:val="21"/>
                      <w:szCs w:val="21"/>
                      <w:lang w:val="en-US" w:eastAsia="zh-CN"/>
                    </w:rPr>
                    <w:t>″</w:t>
                  </w:r>
                </w:p>
              </w:tc>
              <w:tc>
                <w:tcPr>
                  <w:tcW w:w="769" w:type="pct"/>
                  <w:noWrap w:val="0"/>
                  <w:vAlign w:val="center"/>
                </w:tcPr>
                <w:p w14:paraId="386BB145">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31°25′43.</w:t>
                  </w:r>
                  <w:r>
                    <w:rPr>
                      <w:rFonts w:hint="eastAsia" w:eastAsia="仿宋" w:cs="Times New Roman"/>
                      <w:b w:val="0"/>
                      <w:bCs/>
                      <w:color w:val="auto"/>
                      <w:sz w:val="21"/>
                      <w:szCs w:val="21"/>
                      <w:lang w:val="en-US" w:eastAsia="zh-CN"/>
                    </w:rPr>
                    <w:t>326</w:t>
                  </w:r>
                  <w:r>
                    <w:rPr>
                      <w:rFonts w:hint="default" w:ascii="Times New Roman" w:hAnsi="Times New Roman" w:eastAsia="仿宋" w:cs="Times New Roman"/>
                      <w:b w:val="0"/>
                      <w:bCs/>
                      <w:color w:val="auto"/>
                      <w:sz w:val="21"/>
                      <w:szCs w:val="21"/>
                      <w:lang w:val="en-US" w:eastAsia="zh-CN"/>
                    </w:rPr>
                    <w:t>″</w:t>
                  </w:r>
                </w:p>
              </w:tc>
              <w:tc>
                <w:tcPr>
                  <w:tcW w:w="474" w:type="pct"/>
                  <w:noWrap w:val="0"/>
                  <w:vAlign w:val="center"/>
                </w:tcPr>
                <w:p w14:paraId="349A8C6B">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w:t>
                  </w:r>
                  <w:r>
                    <w:rPr>
                      <w:rFonts w:hint="eastAsia" w:ascii="Times New Roman" w:hAnsi="Times New Roman" w:eastAsia="仿宋" w:cs="Times New Roman"/>
                      <w:b w:val="0"/>
                      <w:bCs/>
                      <w:color w:val="auto"/>
                      <w:sz w:val="21"/>
                      <w:szCs w:val="21"/>
                      <w:lang w:val="en-US" w:eastAsia="zh-CN"/>
                    </w:rPr>
                    <w:t>5</w:t>
                  </w:r>
                </w:p>
              </w:tc>
              <w:tc>
                <w:tcPr>
                  <w:tcW w:w="474" w:type="pct"/>
                  <w:noWrap w:val="0"/>
                  <w:vAlign w:val="center"/>
                </w:tcPr>
                <w:p w14:paraId="2617FD77">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15.2</w:t>
                  </w:r>
                </w:p>
              </w:tc>
              <w:tc>
                <w:tcPr>
                  <w:tcW w:w="446" w:type="pct"/>
                  <w:noWrap w:val="0"/>
                  <w:vAlign w:val="center"/>
                </w:tcPr>
                <w:p w14:paraId="2E517772">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eastAsia" w:eastAsia="仿宋" w:cs="Times New Roman"/>
                      <w:b w:val="0"/>
                      <w:bCs/>
                      <w:color w:val="auto"/>
                      <w:sz w:val="21"/>
                      <w:szCs w:val="21"/>
                      <w:lang w:val="en-US" w:eastAsia="zh-CN"/>
                    </w:rPr>
                    <w:t>0.8</w:t>
                  </w:r>
                </w:p>
              </w:tc>
              <w:tc>
                <w:tcPr>
                  <w:tcW w:w="466" w:type="pct"/>
                  <w:noWrap w:val="0"/>
                  <w:vAlign w:val="center"/>
                </w:tcPr>
                <w:p w14:paraId="2CBFC9BF">
                  <w:pPr>
                    <w:pStyle w:val="33"/>
                    <w:numPr>
                      <w:ilvl w:val="0"/>
                      <w:numId w:val="0"/>
                    </w:numPr>
                    <w:spacing w:line="240" w:lineRule="auto"/>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lang w:val="en-US" w:eastAsia="zh-CN"/>
                    </w:rPr>
                    <w:t>25</w:t>
                  </w:r>
                </w:p>
              </w:tc>
              <w:tc>
                <w:tcPr>
                  <w:tcW w:w="424" w:type="pct"/>
                  <w:noWrap w:val="0"/>
                  <w:vAlign w:val="center"/>
                </w:tcPr>
                <w:p w14:paraId="44F2DF39">
                  <w:pPr>
                    <w:pStyle w:val="33"/>
                    <w:numPr>
                      <w:ilvl w:val="0"/>
                      <w:numId w:val="0"/>
                    </w:numPr>
                    <w:spacing w:line="240" w:lineRule="auto"/>
                    <w:rPr>
                      <w:rFonts w:hint="default" w:ascii="Times New Roman" w:hAnsi="Times New Roman" w:eastAsia="仿宋" w:cs="Times New Roman"/>
                      <w:b w:val="0"/>
                      <w:bCs/>
                      <w:color w:val="auto"/>
                      <w:sz w:val="21"/>
                      <w:szCs w:val="21"/>
                      <w:lang w:val="en-US"/>
                    </w:rPr>
                  </w:pPr>
                  <w:r>
                    <w:rPr>
                      <w:rFonts w:hint="eastAsia" w:eastAsia="仿宋" w:cs="Times New Roman"/>
                      <w:b w:val="0"/>
                      <w:bCs/>
                      <w:color w:val="auto"/>
                      <w:sz w:val="21"/>
                      <w:szCs w:val="21"/>
                      <w:lang w:val="en-US" w:eastAsia="zh-CN"/>
                    </w:rPr>
                    <w:t>3000</w:t>
                  </w:r>
                </w:p>
              </w:tc>
              <w:tc>
                <w:tcPr>
                  <w:tcW w:w="670" w:type="pct"/>
                  <w:noWrap w:val="0"/>
                  <w:vAlign w:val="center"/>
                </w:tcPr>
                <w:p w14:paraId="46AAA34D">
                  <w:pPr>
                    <w:pStyle w:val="33"/>
                    <w:numPr>
                      <w:ilvl w:val="0"/>
                      <w:numId w:val="0"/>
                    </w:numPr>
                    <w:spacing w:line="240" w:lineRule="auto"/>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一般排放口</w:t>
                  </w:r>
                </w:p>
              </w:tc>
            </w:tr>
          </w:tbl>
          <w:p w14:paraId="45D13C2F">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无组织</w:t>
            </w:r>
            <w:r>
              <w:rPr>
                <w:rFonts w:hint="default" w:cs="Times New Roman"/>
                <w:b/>
                <w:color w:val="auto"/>
                <w:kern w:val="0"/>
                <w:sz w:val="24"/>
                <w:szCs w:val="24"/>
                <w:highlight w:val="none"/>
                <w:lang w:val="en-US" w:eastAsia="zh-CN"/>
              </w:rPr>
              <w:t>废气</w:t>
            </w:r>
            <w:r>
              <w:rPr>
                <w:rFonts w:hint="eastAsia" w:cs="Times New Roman"/>
                <w:b/>
                <w:color w:val="auto"/>
                <w:kern w:val="0"/>
                <w:sz w:val="24"/>
                <w:szCs w:val="24"/>
                <w:highlight w:val="none"/>
                <w:lang w:val="en-US" w:eastAsia="zh-CN"/>
              </w:rPr>
              <w:t>产生及排放情况</w:t>
            </w:r>
            <w:r>
              <w:rPr>
                <w:rFonts w:hint="default" w:cs="Times New Roman"/>
                <w:b/>
                <w:color w:val="auto"/>
                <w:kern w:val="0"/>
                <w:sz w:val="24"/>
                <w:szCs w:val="24"/>
                <w:highlight w:val="none"/>
                <w:lang w:val="en-US" w:eastAsia="zh-CN"/>
              </w:rPr>
              <w:t>一览表</w:t>
            </w:r>
          </w:p>
          <w:tbl>
            <w:tblPr>
              <w:tblStyle w:val="20"/>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17"/>
              <w:gridCol w:w="551"/>
              <w:gridCol w:w="1284"/>
              <w:gridCol w:w="794"/>
              <w:gridCol w:w="961"/>
              <w:gridCol w:w="837"/>
              <w:gridCol w:w="919"/>
              <w:gridCol w:w="809"/>
              <w:gridCol w:w="900"/>
              <w:gridCol w:w="902"/>
            </w:tblGrid>
            <w:tr w14:paraId="765AEB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restart"/>
                  <w:tcBorders>
                    <w:tl2br w:val="nil"/>
                    <w:tr2bl w:val="nil"/>
                  </w:tcBorders>
                  <w:vAlign w:val="center"/>
                </w:tcPr>
                <w:p w14:paraId="610DBAC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工序/生产线</w:t>
                  </w:r>
                </w:p>
              </w:tc>
              <w:tc>
                <w:tcPr>
                  <w:tcW w:w="430" w:type="pct"/>
                  <w:vMerge w:val="restart"/>
                  <w:tcBorders>
                    <w:tl2br w:val="nil"/>
                    <w:tr2bl w:val="nil"/>
                  </w:tcBorders>
                  <w:vAlign w:val="center"/>
                </w:tcPr>
                <w:p w14:paraId="77C52A9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污染源位置</w:t>
                  </w:r>
                </w:p>
              </w:tc>
              <w:tc>
                <w:tcPr>
                  <w:tcW w:w="290" w:type="pct"/>
                  <w:vMerge w:val="restart"/>
                  <w:tcBorders>
                    <w:tl2br w:val="nil"/>
                    <w:tr2bl w:val="nil"/>
                  </w:tcBorders>
                  <w:vAlign w:val="center"/>
                </w:tcPr>
                <w:p w14:paraId="17454BB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污染源</w:t>
                  </w:r>
                </w:p>
              </w:tc>
              <w:tc>
                <w:tcPr>
                  <w:tcW w:w="676" w:type="pct"/>
                  <w:vMerge w:val="restart"/>
                  <w:tcBorders>
                    <w:tl2br w:val="nil"/>
                    <w:tr2bl w:val="nil"/>
                  </w:tcBorders>
                  <w:vAlign w:val="center"/>
                </w:tcPr>
                <w:p w14:paraId="46E90C9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w:t>
                  </w:r>
                </w:p>
              </w:tc>
              <w:tc>
                <w:tcPr>
                  <w:tcW w:w="924" w:type="pct"/>
                  <w:gridSpan w:val="2"/>
                  <w:tcBorders>
                    <w:tl2br w:val="nil"/>
                    <w:tr2bl w:val="nil"/>
                  </w:tcBorders>
                  <w:vAlign w:val="center"/>
                </w:tcPr>
                <w:p w14:paraId="2E71D21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污染物产生情况</w:t>
                  </w:r>
                </w:p>
              </w:tc>
              <w:tc>
                <w:tcPr>
                  <w:tcW w:w="925" w:type="pct"/>
                  <w:gridSpan w:val="2"/>
                  <w:tcBorders>
                    <w:tl2br w:val="nil"/>
                    <w:tr2bl w:val="nil"/>
                  </w:tcBorders>
                  <w:vAlign w:val="center"/>
                </w:tcPr>
                <w:p w14:paraId="4F2E0F6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污染物排放情况</w:t>
                  </w:r>
                </w:p>
              </w:tc>
              <w:tc>
                <w:tcPr>
                  <w:tcW w:w="426" w:type="pct"/>
                  <w:vMerge w:val="restart"/>
                  <w:tcBorders>
                    <w:tl2br w:val="nil"/>
                    <w:tr2bl w:val="nil"/>
                  </w:tcBorders>
                  <w:vAlign w:val="center"/>
                </w:tcPr>
                <w:p w14:paraId="1E79EBF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排放时间h</w:t>
                  </w:r>
                </w:p>
              </w:tc>
              <w:tc>
                <w:tcPr>
                  <w:tcW w:w="474" w:type="pct"/>
                  <w:vMerge w:val="restart"/>
                  <w:tcBorders>
                    <w:tl2br w:val="nil"/>
                    <w:tr2bl w:val="nil"/>
                  </w:tcBorders>
                  <w:vAlign w:val="center"/>
                </w:tcPr>
                <w:p w14:paraId="745260D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面源面积（m</w:t>
                  </w:r>
                  <w:r>
                    <w:rPr>
                      <w:rFonts w:hint="default" w:ascii="Times New Roman" w:hAnsi="Times New Roman" w:eastAsia="仿宋" w:cs="Times New Roman"/>
                      <w:b/>
                      <w:bCs/>
                      <w:color w:val="auto"/>
                      <w:sz w:val="21"/>
                      <w:szCs w:val="21"/>
                      <w:highlight w:val="none"/>
                      <w:vertAlign w:val="superscript"/>
                      <w:lang w:val="en-US" w:eastAsia="zh-CN"/>
                    </w:rPr>
                    <w:t>2</w:t>
                  </w:r>
                  <w:r>
                    <w:rPr>
                      <w:rFonts w:hint="default" w:ascii="Times New Roman" w:hAnsi="Times New Roman" w:eastAsia="仿宋" w:cs="Times New Roman"/>
                      <w:b/>
                      <w:bCs/>
                      <w:color w:val="auto"/>
                      <w:sz w:val="21"/>
                      <w:szCs w:val="21"/>
                      <w:highlight w:val="none"/>
                      <w:lang w:val="en-US" w:eastAsia="zh-CN"/>
                    </w:rPr>
                    <w:t>）</w:t>
                  </w:r>
                </w:p>
              </w:tc>
              <w:tc>
                <w:tcPr>
                  <w:tcW w:w="475" w:type="pct"/>
                  <w:vMerge w:val="restart"/>
                  <w:tcBorders>
                    <w:tl2br w:val="nil"/>
                    <w:tr2bl w:val="nil"/>
                  </w:tcBorders>
                  <w:vAlign w:val="center"/>
                </w:tcPr>
                <w:p w14:paraId="2A64FFD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面源</w:t>
                  </w:r>
                  <w:r>
                    <w:rPr>
                      <w:rFonts w:hint="eastAsia" w:cs="Times New Roman"/>
                      <w:b/>
                      <w:bCs/>
                      <w:color w:val="auto"/>
                      <w:sz w:val="21"/>
                      <w:szCs w:val="21"/>
                      <w:highlight w:val="none"/>
                      <w:lang w:val="en-US" w:eastAsia="zh-CN"/>
                    </w:rPr>
                    <w:t>海拔</w:t>
                  </w:r>
                  <w:r>
                    <w:rPr>
                      <w:rFonts w:hint="default" w:ascii="Times New Roman" w:hAnsi="Times New Roman" w:eastAsia="仿宋" w:cs="Times New Roman"/>
                      <w:b/>
                      <w:bCs/>
                      <w:color w:val="auto"/>
                      <w:sz w:val="21"/>
                      <w:szCs w:val="21"/>
                      <w:highlight w:val="none"/>
                      <w:lang w:val="en-US" w:eastAsia="zh-CN"/>
                    </w:rPr>
                    <w:t>高度（m）</w:t>
                  </w:r>
                </w:p>
              </w:tc>
            </w:tr>
            <w:tr w14:paraId="53C2FC7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76AFDFE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430" w:type="pct"/>
                  <w:vMerge w:val="continue"/>
                  <w:tcBorders>
                    <w:tl2br w:val="nil"/>
                    <w:tr2bl w:val="nil"/>
                  </w:tcBorders>
                  <w:vAlign w:val="center"/>
                </w:tcPr>
                <w:p w14:paraId="2620A90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290" w:type="pct"/>
                  <w:vMerge w:val="continue"/>
                  <w:tcBorders>
                    <w:tl2br w:val="nil"/>
                    <w:tr2bl w:val="nil"/>
                  </w:tcBorders>
                  <w:vAlign w:val="center"/>
                </w:tcPr>
                <w:p w14:paraId="1DB84C5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676" w:type="pct"/>
                  <w:vMerge w:val="continue"/>
                  <w:tcBorders>
                    <w:tl2br w:val="nil"/>
                    <w:tr2bl w:val="nil"/>
                  </w:tcBorders>
                  <w:vAlign w:val="center"/>
                </w:tcPr>
                <w:p w14:paraId="359C679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418" w:type="pct"/>
                  <w:tcBorders>
                    <w:tl2br w:val="nil"/>
                    <w:tr2bl w:val="nil"/>
                  </w:tcBorders>
                  <w:vAlign w:val="center"/>
                </w:tcPr>
                <w:p w14:paraId="63670D8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产生</w:t>
                  </w:r>
                  <w:r>
                    <w:rPr>
                      <w:rFonts w:hint="default" w:ascii="Times New Roman" w:hAnsi="Times New Roman" w:eastAsia="仿宋" w:cs="Times New Roman"/>
                      <w:b/>
                      <w:bCs/>
                      <w:color w:val="auto"/>
                      <w:sz w:val="21"/>
                      <w:szCs w:val="21"/>
                      <w:highlight w:val="none"/>
                    </w:rPr>
                    <w:t>量t/a</w:t>
                  </w:r>
                </w:p>
              </w:tc>
              <w:tc>
                <w:tcPr>
                  <w:tcW w:w="506" w:type="pct"/>
                  <w:tcBorders>
                    <w:tl2br w:val="nil"/>
                    <w:tr2bl w:val="nil"/>
                  </w:tcBorders>
                  <w:vAlign w:val="center"/>
                </w:tcPr>
                <w:p w14:paraId="380B701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速率kg/h</w:t>
                  </w:r>
                </w:p>
              </w:tc>
              <w:tc>
                <w:tcPr>
                  <w:tcW w:w="441" w:type="pct"/>
                  <w:tcBorders>
                    <w:tl2br w:val="nil"/>
                    <w:tr2bl w:val="nil"/>
                  </w:tcBorders>
                  <w:vAlign w:val="center"/>
                </w:tcPr>
                <w:p w14:paraId="12143A1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排放</w:t>
                  </w:r>
                  <w:r>
                    <w:rPr>
                      <w:rFonts w:hint="default" w:ascii="Times New Roman" w:hAnsi="Times New Roman" w:eastAsia="仿宋" w:cs="Times New Roman"/>
                      <w:b/>
                      <w:bCs/>
                      <w:color w:val="auto"/>
                      <w:sz w:val="21"/>
                      <w:szCs w:val="21"/>
                      <w:highlight w:val="none"/>
                    </w:rPr>
                    <w:t>量t/a</w:t>
                  </w:r>
                </w:p>
              </w:tc>
              <w:tc>
                <w:tcPr>
                  <w:tcW w:w="483" w:type="pct"/>
                  <w:tcBorders>
                    <w:tl2br w:val="nil"/>
                    <w:tr2bl w:val="nil"/>
                  </w:tcBorders>
                  <w:vAlign w:val="center"/>
                </w:tcPr>
                <w:p w14:paraId="587555C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速率kg/h</w:t>
                  </w:r>
                </w:p>
              </w:tc>
              <w:tc>
                <w:tcPr>
                  <w:tcW w:w="426" w:type="pct"/>
                  <w:vMerge w:val="continue"/>
                  <w:tcBorders>
                    <w:tl2br w:val="nil"/>
                    <w:tr2bl w:val="nil"/>
                  </w:tcBorders>
                  <w:vAlign w:val="center"/>
                </w:tcPr>
                <w:p w14:paraId="3EB1589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474" w:type="pct"/>
                  <w:vMerge w:val="continue"/>
                  <w:tcBorders>
                    <w:tl2br w:val="nil"/>
                    <w:tr2bl w:val="nil"/>
                  </w:tcBorders>
                  <w:vAlign w:val="center"/>
                </w:tcPr>
                <w:p w14:paraId="65EC420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c>
                <w:tcPr>
                  <w:tcW w:w="475" w:type="pct"/>
                  <w:vMerge w:val="continue"/>
                  <w:tcBorders>
                    <w:tl2br w:val="nil"/>
                    <w:tr2bl w:val="nil"/>
                  </w:tcBorders>
                  <w:vAlign w:val="center"/>
                </w:tcPr>
                <w:p w14:paraId="613F136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rPr>
                  </w:pPr>
                </w:p>
              </w:tc>
            </w:tr>
            <w:tr w14:paraId="77D862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restart"/>
                  <w:tcBorders>
                    <w:tl2br w:val="nil"/>
                    <w:tr2bl w:val="nil"/>
                  </w:tcBorders>
                  <w:vAlign w:val="center"/>
                </w:tcPr>
                <w:p w14:paraId="454EB7B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新能源汽车冷却系统零部件</w:t>
                  </w:r>
                </w:p>
              </w:tc>
              <w:tc>
                <w:tcPr>
                  <w:tcW w:w="430" w:type="pct"/>
                  <w:vMerge w:val="restart"/>
                  <w:tcBorders>
                    <w:tl2br w:val="nil"/>
                    <w:tr2bl w:val="nil"/>
                  </w:tcBorders>
                  <w:vAlign w:val="center"/>
                </w:tcPr>
                <w:p w14:paraId="629CB89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车间</w:t>
                  </w:r>
                </w:p>
              </w:tc>
              <w:tc>
                <w:tcPr>
                  <w:tcW w:w="290" w:type="pct"/>
                  <w:vMerge w:val="restart"/>
                  <w:tcBorders>
                    <w:tl2br w:val="nil"/>
                    <w:tr2bl w:val="nil"/>
                  </w:tcBorders>
                  <w:vAlign w:val="center"/>
                </w:tcPr>
                <w:p w14:paraId="000D8A5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无组织</w:t>
                  </w:r>
                </w:p>
              </w:tc>
              <w:tc>
                <w:tcPr>
                  <w:tcW w:w="676" w:type="pct"/>
                  <w:tcBorders>
                    <w:tl2br w:val="nil"/>
                    <w:tr2bl w:val="nil"/>
                  </w:tcBorders>
                  <w:shd w:val="clear" w:color="auto" w:fill="auto"/>
                  <w:vAlign w:val="center"/>
                </w:tcPr>
                <w:p w14:paraId="0BB5796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非甲烷总烃</w:t>
                  </w:r>
                </w:p>
              </w:tc>
              <w:tc>
                <w:tcPr>
                  <w:tcW w:w="794" w:type="dxa"/>
                  <w:tcBorders>
                    <w:tl2br w:val="nil"/>
                    <w:tr2bl w:val="nil"/>
                  </w:tcBorders>
                  <w:vAlign w:val="center"/>
                </w:tcPr>
                <w:p w14:paraId="12A8DCE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961" w:type="dxa"/>
                  <w:tcBorders>
                    <w:tl2br w:val="nil"/>
                    <w:tr2bl w:val="nil"/>
                  </w:tcBorders>
                  <w:vAlign w:val="center"/>
                </w:tcPr>
                <w:p w14:paraId="33BFA73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0.0704</w:t>
                  </w:r>
                </w:p>
              </w:tc>
              <w:tc>
                <w:tcPr>
                  <w:tcW w:w="837" w:type="dxa"/>
                  <w:tcBorders>
                    <w:tl2br w:val="nil"/>
                    <w:tr2bl w:val="nil"/>
                  </w:tcBorders>
                  <w:vAlign w:val="center"/>
                </w:tcPr>
                <w:p w14:paraId="4C7FC8E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919" w:type="dxa"/>
                  <w:tcBorders>
                    <w:tl2br w:val="nil"/>
                    <w:tr2bl w:val="nil"/>
                  </w:tcBorders>
                  <w:vAlign w:val="center"/>
                </w:tcPr>
                <w:p w14:paraId="6A52301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0.0704</w:t>
                  </w:r>
                </w:p>
              </w:tc>
              <w:tc>
                <w:tcPr>
                  <w:tcW w:w="426" w:type="pct"/>
                  <w:vMerge w:val="restart"/>
                  <w:tcBorders>
                    <w:tl2br w:val="nil"/>
                    <w:tr2bl w:val="nil"/>
                  </w:tcBorders>
                  <w:vAlign w:val="center"/>
                </w:tcPr>
                <w:p w14:paraId="2C658A2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3000</w:t>
                  </w:r>
                </w:p>
              </w:tc>
              <w:tc>
                <w:tcPr>
                  <w:tcW w:w="474" w:type="pct"/>
                  <w:vMerge w:val="restart"/>
                  <w:tcBorders>
                    <w:tl2br w:val="nil"/>
                    <w:tr2bl w:val="nil"/>
                  </w:tcBorders>
                  <w:vAlign w:val="center"/>
                </w:tcPr>
                <w:p w14:paraId="788DF8B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4000</w:t>
                  </w:r>
                </w:p>
              </w:tc>
              <w:tc>
                <w:tcPr>
                  <w:tcW w:w="475" w:type="pct"/>
                  <w:vMerge w:val="restart"/>
                  <w:tcBorders>
                    <w:tl2br w:val="nil"/>
                    <w:tr2bl w:val="nil"/>
                  </w:tcBorders>
                  <w:vAlign w:val="center"/>
                </w:tcPr>
                <w:p w14:paraId="46D9ADB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14:paraId="012C19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0CE0B36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p>
              </w:tc>
              <w:tc>
                <w:tcPr>
                  <w:tcW w:w="430" w:type="pct"/>
                  <w:vMerge w:val="continue"/>
                  <w:tcBorders>
                    <w:tl2br w:val="nil"/>
                    <w:tr2bl w:val="nil"/>
                  </w:tcBorders>
                  <w:vAlign w:val="center"/>
                </w:tcPr>
                <w:p w14:paraId="75388A0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290" w:type="pct"/>
                  <w:vMerge w:val="continue"/>
                  <w:tcBorders>
                    <w:tl2br w:val="nil"/>
                    <w:tr2bl w:val="nil"/>
                  </w:tcBorders>
                  <w:vAlign w:val="center"/>
                </w:tcPr>
                <w:p w14:paraId="4E039E9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676" w:type="pct"/>
                  <w:tcBorders>
                    <w:tl2br w:val="nil"/>
                    <w:tr2bl w:val="nil"/>
                  </w:tcBorders>
                  <w:shd w:val="clear" w:color="auto" w:fill="auto"/>
                  <w:vAlign w:val="center"/>
                </w:tcPr>
                <w:p w14:paraId="32E24A6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颗粒物</w:t>
                  </w:r>
                </w:p>
              </w:tc>
              <w:tc>
                <w:tcPr>
                  <w:tcW w:w="794" w:type="dxa"/>
                  <w:tcBorders>
                    <w:tl2br w:val="nil"/>
                    <w:tr2bl w:val="nil"/>
                  </w:tcBorders>
                  <w:vAlign w:val="center"/>
                </w:tcPr>
                <w:p w14:paraId="6DC6B8E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0.3543</w:t>
                  </w:r>
                </w:p>
              </w:tc>
              <w:tc>
                <w:tcPr>
                  <w:tcW w:w="961" w:type="dxa"/>
                  <w:tcBorders>
                    <w:tl2br w:val="nil"/>
                    <w:tr2bl w:val="nil"/>
                  </w:tcBorders>
                  <w:vAlign w:val="center"/>
                </w:tcPr>
                <w:p w14:paraId="0220C2C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0.1181</w:t>
                  </w:r>
                </w:p>
              </w:tc>
              <w:tc>
                <w:tcPr>
                  <w:tcW w:w="837" w:type="dxa"/>
                  <w:tcBorders>
                    <w:tl2br w:val="nil"/>
                    <w:tr2bl w:val="nil"/>
                  </w:tcBorders>
                  <w:vAlign w:val="center"/>
                </w:tcPr>
                <w:p w14:paraId="54806C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0.1443</w:t>
                  </w:r>
                </w:p>
              </w:tc>
              <w:tc>
                <w:tcPr>
                  <w:tcW w:w="919" w:type="dxa"/>
                  <w:tcBorders>
                    <w:tl2br w:val="nil"/>
                    <w:tr2bl w:val="nil"/>
                  </w:tcBorders>
                  <w:vAlign w:val="center"/>
                </w:tcPr>
                <w:p w14:paraId="0571919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0.0481</w:t>
                  </w:r>
                </w:p>
              </w:tc>
              <w:tc>
                <w:tcPr>
                  <w:tcW w:w="426" w:type="pct"/>
                  <w:vMerge w:val="continue"/>
                  <w:tcBorders>
                    <w:tl2br w:val="nil"/>
                    <w:tr2bl w:val="nil"/>
                  </w:tcBorders>
                  <w:vAlign w:val="center"/>
                </w:tcPr>
                <w:p w14:paraId="0BE86B2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4" w:type="pct"/>
                  <w:vMerge w:val="continue"/>
                  <w:tcBorders>
                    <w:tl2br w:val="nil"/>
                    <w:tr2bl w:val="nil"/>
                  </w:tcBorders>
                  <w:vAlign w:val="center"/>
                </w:tcPr>
                <w:p w14:paraId="3A9F325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5" w:type="pct"/>
                  <w:vMerge w:val="continue"/>
                  <w:tcBorders>
                    <w:tl2br w:val="nil"/>
                    <w:tr2bl w:val="nil"/>
                  </w:tcBorders>
                  <w:vAlign w:val="center"/>
                </w:tcPr>
                <w:p w14:paraId="000463A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r>
            <w:tr w14:paraId="4E6185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7890696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p>
              </w:tc>
              <w:tc>
                <w:tcPr>
                  <w:tcW w:w="430" w:type="pct"/>
                  <w:vMerge w:val="continue"/>
                  <w:tcBorders>
                    <w:tl2br w:val="nil"/>
                    <w:tr2bl w:val="nil"/>
                  </w:tcBorders>
                  <w:vAlign w:val="center"/>
                </w:tcPr>
                <w:p w14:paraId="5B0C5BF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290" w:type="pct"/>
                  <w:vMerge w:val="continue"/>
                  <w:tcBorders>
                    <w:tl2br w:val="nil"/>
                    <w:tr2bl w:val="nil"/>
                  </w:tcBorders>
                  <w:vAlign w:val="center"/>
                </w:tcPr>
                <w:p w14:paraId="4D2BF44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676" w:type="pct"/>
                  <w:tcBorders>
                    <w:tl2br w:val="nil"/>
                    <w:tr2bl w:val="nil"/>
                  </w:tcBorders>
                  <w:shd w:val="clear" w:color="auto" w:fill="auto"/>
                  <w:vAlign w:val="center"/>
                </w:tcPr>
                <w:p w14:paraId="0980D94D">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794" w:type="dxa"/>
                  <w:tcBorders>
                    <w:tl2br w:val="nil"/>
                    <w:tr2bl w:val="nil"/>
                  </w:tcBorders>
                  <w:vAlign w:val="center"/>
                </w:tcPr>
                <w:p w14:paraId="72FD145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961" w:type="dxa"/>
                  <w:tcBorders>
                    <w:tl2br w:val="nil"/>
                    <w:tr2bl w:val="nil"/>
                  </w:tcBorders>
                  <w:vAlign w:val="center"/>
                </w:tcPr>
                <w:p w14:paraId="05D716C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837" w:type="dxa"/>
                  <w:tcBorders>
                    <w:tl2br w:val="nil"/>
                    <w:tr2bl w:val="nil"/>
                  </w:tcBorders>
                  <w:vAlign w:val="center"/>
                </w:tcPr>
                <w:p w14:paraId="01079FD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919" w:type="dxa"/>
                  <w:tcBorders>
                    <w:tl2br w:val="nil"/>
                    <w:tr2bl w:val="nil"/>
                  </w:tcBorders>
                  <w:vAlign w:val="center"/>
                </w:tcPr>
                <w:p w14:paraId="3FD67CE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426" w:type="pct"/>
                  <w:vMerge w:val="continue"/>
                  <w:tcBorders>
                    <w:tl2br w:val="nil"/>
                    <w:tr2bl w:val="nil"/>
                  </w:tcBorders>
                  <w:vAlign w:val="center"/>
                </w:tcPr>
                <w:p w14:paraId="6FCF70E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4" w:type="pct"/>
                  <w:vMerge w:val="continue"/>
                  <w:tcBorders>
                    <w:tl2br w:val="nil"/>
                    <w:tr2bl w:val="nil"/>
                  </w:tcBorders>
                  <w:vAlign w:val="center"/>
                </w:tcPr>
                <w:p w14:paraId="136C2DC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5" w:type="pct"/>
                  <w:vMerge w:val="continue"/>
                  <w:tcBorders>
                    <w:tl2br w:val="nil"/>
                    <w:tr2bl w:val="nil"/>
                  </w:tcBorders>
                  <w:vAlign w:val="center"/>
                </w:tcPr>
                <w:p w14:paraId="6C5F3FD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r>
            <w:tr w14:paraId="02F3141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762519D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p>
              </w:tc>
              <w:tc>
                <w:tcPr>
                  <w:tcW w:w="430" w:type="pct"/>
                  <w:vMerge w:val="continue"/>
                  <w:tcBorders>
                    <w:tl2br w:val="nil"/>
                    <w:tr2bl w:val="nil"/>
                  </w:tcBorders>
                  <w:vAlign w:val="center"/>
                </w:tcPr>
                <w:p w14:paraId="69D63F1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290" w:type="pct"/>
                  <w:vMerge w:val="continue"/>
                  <w:tcBorders>
                    <w:tl2br w:val="nil"/>
                    <w:tr2bl w:val="nil"/>
                  </w:tcBorders>
                  <w:vAlign w:val="center"/>
                </w:tcPr>
                <w:p w14:paraId="45DD1A2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676" w:type="pct"/>
                  <w:tcBorders>
                    <w:tl2br w:val="nil"/>
                    <w:tr2bl w:val="nil"/>
                  </w:tcBorders>
                  <w:shd w:val="clear" w:color="auto" w:fill="auto"/>
                  <w:vAlign w:val="center"/>
                </w:tcPr>
                <w:p w14:paraId="138B5EAD">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仿宋" w:cs="Times New Roman"/>
                      <w:color w:val="auto"/>
                      <w:sz w:val="21"/>
                      <w:szCs w:val="21"/>
                      <w:lang w:val="en-US" w:eastAsia="zh-CN"/>
                    </w:rPr>
                    <w:t>NOx</w:t>
                  </w:r>
                </w:p>
              </w:tc>
              <w:tc>
                <w:tcPr>
                  <w:tcW w:w="794" w:type="dxa"/>
                  <w:tcBorders>
                    <w:tl2br w:val="nil"/>
                    <w:tr2bl w:val="nil"/>
                  </w:tcBorders>
                  <w:vAlign w:val="center"/>
                </w:tcPr>
                <w:p w14:paraId="0FEEAB2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961" w:type="dxa"/>
                  <w:tcBorders>
                    <w:tl2br w:val="nil"/>
                    <w:tr2bl w:val="nil"/>
                  </w:tcBorders>
                  <w:vAlign w:val="center"/>
                </w:tcPr>
                <w:p w14:paraId="38E7418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0.0094</w:t>
                  </w:r>
                </w:p>
              </w:tc>
              <w:tc>
                <w:tcPr>
                  <w:tcW w:w="837" w:type="dxa"/>
                  <w:tcBorders>
                    <w:tl2br w:val="nil"/>
                    <w:tr2bl w:val="nil"/>
                  </w:tcBorders>
                  <w:vAlign w:val="center"/>
                </w:tcPr>
                <w:p w14:paraId="6FD0812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919" w:type="dxa"/>
                  <w:tcBorders>
                    <w:tl2br w:val="nil"/>
                    <w:tr2bl w:val="nil"/>
                  </w:tcBorders>
                  <w:vAlign w:val="center"/>
                </w:tcPr>
                <w:p w14:paraId="2C14C3B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0.0094</w:t>
                  </w:r>
                </w:p>
              </w:tc>
              <w:tc>
                <w:tcPr>
                  <w:tcW w:w="426" w:type="pct"/>
                  <w:vMerge w:val="continue"/>
                  <w:tcBorders>
                    <w:tl2br w:val="nil"/>
                    <w:tr2bl w:val="nil"/>
                  </w:tcBorders>
                  <w:vAlign w:val="center"/>
                </w:tcPr>
                <w:p w14:paraId="4501263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4" w:type="pct"/>
                  <w:vMerge w:val="continue"/>
                  <w:tcBorders>
                    <w:tl2br w:val="nil"/>
                    <w:tr2bl w:val="nil"/>
                  </w:tcBorders>
                  <w:vAlign w:val="center"/>
                </w:tcPr>
                <w:p w14:paraId="7F37003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5" w:type="pct"/>
                  <w:vMerge w:val="continue"/>
                  <w:tcBorders>
                    <w:tl2br w:val="nil"/>
                    <w:tr2bl w:val="nil"/>
                  </w:tcBorders>
                  <w:vAlign w:val="center"/>
                </w:tcPr>
                <w:p w14:paraId="68B8B57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r>
            <w:tr w14:paraId="6E0A106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207F70F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p>
              </w:tc>
              <w:tc>
                <w:tcPr>
                  <w:tcW w:w="430" w:type="pct"/>
                  <w:vMerge w:val="continue"/>
                  <w:tcBorders>
                    <w:tl2br w:val="nil"/>
                    <w:tr2bl w:val="nil"/>
                  </w:tcBorders>
                  <w:vAlign w:val="center"/>
                </w:tcPr>
                <w:p w14:paraId="1BDA4E1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290" w:type="pct"/>
                  <w:vMerge w:val="continue"/>
                  <w:tcBorders>
                    <w:tl2br w:val="nil"/>
                    <w:tr2bl w:val="nil"/>
                  </w:tcBorders>
                  <w:vAlign w:val="center"/>
                </w:tcPr>
                <w:p w14:paraId="168343E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676" w:type="pct"/>
                  <w:tcBorders>
                    <w:tl2br w:val="nil"/>
                    <w:tr2bl w:val="nil"/>
                  </w:tcBorders>
                  <w:shd w:val="clear" w:color="auto" w:fill="auto"/>
                  <w:vAlign w:val="center"/>
                </w:tcPr>
                <w:p w14:paraId="57462712">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硫酸雾</w:t>
                  </w:r>
                </w:p>
              </w:tc>
              <w:tc>
                <w:tcPr>
                  <w:tcW w:w="794" w:type="dxa"/>
                  <w:tcBorders>
                    <w:tl2br w:val="nil"/>
                    <w:tr2bl w:val="nil"/>
                  </w:tcBorders>
                  <w:vAlign w:val="center"/>
                </w:tcPr>
                <w:p w14:paraId="129F795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961" w:type="dxa"/>
                  <w:tcBorders>
                    <w:tl2br w:val="nil"/>
                    <w:tr2bl w:val="nil"/>
                  </w:tcBorders>
                  <w:vAlign w:val="center"/>
                </w:tcPr>
                <w:p w14:paraId="09D79BC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0.0038</w:t>
                  </w:r>
                </w:p>
              </w:tc>
              <w:tc>
                <w:tcPr>
                  <w:tcW w:w="837" w:type="dxa"/>
                  <w:tcBorders>
                    <w:tl2br w:val="nil"/>
                    <w:tr2bl w:val="nil"/>
                  </w:tcBorders>
                  <w:vAlign w:val="center"/>
                </w:tcPr>
                <w:p w14:paraId="56418B7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919" w:type="dxa"/>
                  <w:tcBorders>
                    <w:tl2br w:val="nil"/>
                    <w:tr2bl w:val="nil"/>
                  </w:tcBorders>
                  <w:vAlign w:val="center"/>
                </w:tcPr>
                <w:p w14:paraId="5BD9BED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0.0038</w:t>
                  </w:r>
                </w:p>
              </w:tc>
              <w:tc>
                <w:tcPr>
                  <w:tcW w:w="426" w:type="pct"/>
                  <w:vMerge w:val="continue"/>
                  <w:tcBorders>
                    <w:tl2br w:val="nil"/>
                    <w:tr2bl w:val="nil"/>
                  </w:tcBorders>
                  <w:vAlign w:val="center"/>
                </w:tcPr>
                <w:p w14:paraId="16C2F01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4" w:type="pct"/>
                  <w:vMerge w:val="continue"/>
                  <w:tcBorders>
                    <w:tl2br w:val="nil"/>
                    <w:tr2bl w:val="nil"/>
                  </w:tcBorders>
                  <w:vAlign w:val="center"/>
                </w:tcPr>
                <w:p w14:paraId="0358F4F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5" w:type="pct"/>
                  <w:vMerge w:val="continue"/>
                  <w:tcBorders>
                    <w:tl2br w:val="nil"/>
                    <w:tr2bl w:val="nil"/>
                  </w:tcBorders>
                  <w:vAlign w:val="center"/>
                </w:tcPr>
                <w:p w14:paraId="75A67FCD">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r>
            <w:tr w14:paraId="6A3ADBD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75" w:type="pct"/>
                  <w:vMerge w:val="continue"/>
                  <w:tcBorders>
                    <w:tl2br w:val="nil"/>
                    <w:tr2bl w:val="nil"/>
                  </w:tcBorders>
                  <w:vAlign w:val="center"/>
                </w:tcPr>
                <w:p w14:paraId="1FA90BF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p>
              </w:tc>
              <w:tc>
                <w:tcPr>
                  <w:tcW w:w="430" w:type="pct"/>
                  <w:vMerge w:val="continue"/>
                  <w:tcBorders>
                    <w:tl2br w:val="nil"/>
                    <w:tr2bl w:val="nil"/>
                  </w:tcBorders>
                  <w:vAlign w:val="center"/>
                </w:tcPr>
                <w:p w14:paraId="5325CBF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290" w:type="pct"/>
                  <w:vMerge w:val="continue"/>
                  <w:tcBorders>
                    <w:tl2br w:val="nil"/>
                    <w:tr2bl w:val="nil"/>
                  </w:tcBorders>
                  <w:vAlign w:val="center"/>
                </w:tcPr>
                <w:p w14:paraId="3351326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676" w:type="pct"/>
                  <w:tcBorders>
                    <w:tl2br w:val="nil"/>
                    <w:tr2bl w:val="nil"/>
                  </w:tcBorders>
                  <w:shd w:val="clear" w:color="auto" w:fill="auto"/>
                  <w:vAlign w:val="center"/>
                </w:tcPr>
                <w:p w14:paraId="7D70410B">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sz w:val="21"/>
                      <w:szCs w:val="21"/>
                      <w:lang w:val="en-US" w:eastAsia="zh-CN"/>
                    </w:rPr>
                    <w:t>氯化氢</w:t>
                  </w:r>
                </w:p>
              </w:tc>
              <w:tc>
                <w:tcPr>
                  <w:tcW w:w="794" w:type="dxa"/>
                  <w:tcBorders>
                    <w:tl2br w:val="nil"/>
                    <w:tr2bl w:val="nil"/>
                  </w:tcBorders>
                  <w:vAlign w:val="center"/>
                </w:tcPr>
                <w:p w14:paraId="4CCEEB8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961" w:type="dxa"/>
                  <w:tcBorders>
                    <w:tl2br w:val="nil"/>
                    <w:tr2bl w:val="nil"/>
                  </w:tcBorders>
                  <w:vAlign w:val="center"/>
                </w:tcPr>
                <w:p w14:paraId="4E15A8B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837" w:type="dxa"/>
                  <w:tcBorders>
                    <w:tl2br w:val="nil"/>
                    <w:tr2bl w:val="nil"/>
                  </w:tcBorders>
                  <w:vAlign w:val="center"/>
                </w:tcPr>
                <w:p w14:paraId="3D81E68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919" w:type="dxa"/>
                  <w:tcBorders>
                    <w:tl2br w:val="nil"/>
                    <w:tr2bl w:val="nil"/>
                  </w:tcBorders>
                  <w:vAlign w:val="center"/>
                </w:tcPr>
                <w:p w14:paraId="198B137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426" w:type="pct"/>
                  <w:vMerge w:val="continue"/>
                  <w:tcBorders>
                    <w:tl2br w:val="nil"/>
                    <w:tr2bl w:val="nil"/>
                  </w:tcBorders>
                  <w:vAlign w:val="center"/>
                </w:tcPr>
                <w:p w14:paraId="0A77478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4" w:type="pct"/>
                  <w:vMerge w:val="continue"/>
                  <w:tcBorders>
                    <w:tl2br w:val="nil"/>
                    <w:tr2bl w:val="nil"/>
                  </w:tcBorders>
                  <w:vAlign w:val="center"/>
                </w:tcPr>
                <w:p w14:paraId="5F0F8C5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c>
                <w:tcPr>
                  <w:tcW w:w="475" w:type="pct"/>
                  <w:vMerge w:val="continue"/>
                  <w:tcBorders>
                    <w:tl2br w:val="nil"/>
                    <w:tr2bl w:val="nil"/>
                  </w:tcBorders>
                  <w:vAlign w:val="center"/>
                </w:tcPr>
                <w:p w14:paraId="5484B73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仿宋" w:cs="Times New Roman"/>
                      <w:color w:val="auto"/>
                      <w:sz w:val="21"/>
                      <w:szCs w:val="21"/>
                      <w:highlight w:val="none"/>
                      <w:lang w:val="en-US" w:eastAsia="zh-CN"/>
                    </w:rPr>
                  </w:pPr>
                </w:p>
              </w:tc>
            </w:tr>
          </w:tbl>
          <w:p w14:paraId="3696ED57">
            <w:pPr>
              <w:pStyle w:val="35"/>
              <w:keepNext w:val="0"/>
              <w:keepLines w:val="0"/>
              <w:pageBreakBefore w:val="0"/>
              <w:widowControl/>
              <w:kinsoku/>
              <w:wordWrap/>
              <w:overflowPunct/>
              <w:topLinePunct w:val="0"/>
              <w:autoSpaceDE/>
              <w:autoSpaceDN/>
              <w:bidi w:val="0"/>
              <w:adjustRightInd/>
              <w:snapToGrid/>
              <w:spacing w:before="120" w:beforeLines="50" w:line="360" w:lineRule="auto"/>
              <w:ind w:left="0" w:leftChars="0" w:firstLine="0" w:firstLineChars="0"/>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1.4  有组织废气排放达标性</w:t>
            </w:r>
            <w:r>
              <w:rPr>
                <w:rFonts w:hint="eastAsia" w:ascii="Times New Roman" w:hAnsi="Times New Roman" w:eastAsia="宋体" w:cs="Times New Roman"/>
                <w:b/>
                <w:bCs w:val="0"/>
                <w:color w:val="auto"/>
                <w:lang w:val="en-US" w:eastAsia="zh-CN"/>
              </w:rPr>
              <w:t>判定</w:t>
            </w:r>
          </w:p>
          <w:p w14:paraId="432DE1F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本项目有组织废气达标性判定一览表</w:t>
            </w:r>
          </w:p>
          <w:tbl>
            <w:tblPr>
              <w:tblStyle w:val="2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68"/>
              <w:gridCol w:w="1154"/>
              <w:gridCol w:w="735"/>
              <w:gridCol w:w="987"/>
              <w:gridCol w:w="968"/>
              <w:gridCol w:w="1272"/>
              <w:gridCol w:w="911"/>
              <w:gridCol w:w="2259"/>
              <w:gridCol w:w="532"/>
            </w:tblGrid>
            <w:tr w14:paraId="4A8A3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restart"/>
                  <w:tcBorders>
                    <w:tl2br w:val="nil"/>
                    <w:tr2bl w:val="nil"/>
                  </w:tcBorders>
                  <w:vAlign w:val="center"/>
                </w:tcPr>
                <w:p w14:paraId="0CC543DC">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污染源</w:t>
                  </w:r>
                </w:p>
              </w:tc>
              <w:tc>
                <w:tcPr>
                  <w:tcW w:w="608" w:type="pct"/>
                  <w:vMerge w:val="restart"/>
                  <w:tcBorders>
                    <w:tl2br w:val="nil"/>
                    <w:tr2bl w:val="nil"/>
                  </w:tcBorders>
                  <w:vAlign w:val="center"/>
                </w:tcPr>
                <w:p w14:paraId="539A8313">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污染因子</w:t>
                  </w:r>
                </w:p>
              </w:tc>
              <w:tc>
                <w:tcPr>
                  <w:tcW w:w="387" w:type="pct"/>
                  <w:vMerge w:val="restart"/>
                  <w:tcBorders>
                    <w:tl2br w:val="nil"/>
                    <w:tr2bl w:val="nil"/>
                  </w:tcBorders>
                  <w:vAlign w:val="center"/>
                </w:tcPr>
                <w:p w14:paraId="5D90AB09">
                  <w:pPr>
                    <w:pStyle w:val="31"/>
                    <w:keepNext w:val="0"/>
                    <w:keepLines w:val="0"/>
                    <w:suppressLineNumbers w:val="0"/>
                    <w:spacing w:before="0" w:beforeAutospacing="0" w:after="0" w:afterAutospacing="0"/>
                    <w:ind w:left="0" w:right="0"/>
                    <w:rPr>
                      <w:rFonts w:hint="eastAsia" w:eastAsia="仿宋" w:cs="Times New Roman"/>
                      <w:b/>
                      <w:bCs/>
                      <w:color w:val="auto"/>
                      <w:sz w:val="21"/>
                      <w:szCs w:val="21"/>
                      <w:lang w:val="en-US" w:eastAsia="zh-CN"/>
                    </w:rPr>
                  </w:pPr>
                  <w:r>
                    <w:rPr>
                      <w:rFonts w:hint="eastAsia" w:eastAsia="仿宋" w:cs="Times New Roman"/>
                      <w:b/>
                      <w:bCs/>
                      <w:color w:val="auto"/>
                      <w:sz w:val="21"/>
                      <w:szCs w:val="21"/>
                      <w:lang w:val="en-US" w:eastAsia="zh-CN"/>
                    </w:rPr>
                    <w:t>风量</w:t>
                  </w:r>
                </w:p>
                <w:p w14:paraId="4651FD38">
                  <w:pPr>
                    <w:pStyle w:val="31"/>
                    <w:keepNext w:val="0"/>
                    <w:keepLines w:val="0"/>
                    <w:suppressLineNumbers w:val="0"/>
                    <w:spacing w:before="0" w:beforeAutospacing="0" w:after="0" w:afterAutospacing="0"/>
                    <w:ind w:left="0" w:right="0"/>
                    <w:rPr>
                      <w:rFonts w:hint="eastAsia"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highlight w:val="none"/>
                      <w:lang w:val="en-US" w:eastAsia="zh-CN"/>
                    </w:rPr>
                    <w:t>m</w:t>
                  </w:r>
                  <w:r>
                    <w:rPr>
                      <w:rFonts w:hint="default" w:ascii="Times New Roman" w:hAnsi="Times New Roman" w:eastAsia="仿宋" w:cs="Times New Roman"/>
                      <w:b/>
                      <w:bCs/>
                      <w:color w:val="auto"/>
                      <w:sz w:val="21"/>
                      <w:szCs w:val="21"/>
                      <w:highlight w:val="none"/>
                      <w:vertAlign w:val="superscript"/>
                      <w:lang w:val="en-US" w:eastAsia="zh-CN"/>
                    </w:rPr>
                    <w:t>3</w:t>
                  </w:r>
                  <w:r>
                    <w:rPr>
                      <w:rFonts w:hint="default" w:ascii="Times New Roman" w:hAnsi="Times New Roman" w:eastAsia="仿宋" w:cs="Times New Roman"/>
                      <w:b/>
                      <w:bCs/>
                      <w:color w:val="auto"/>
                      <w:sz w:val="21"/>
                      <w:szCs w:val="21"/>
                      <w:highlight w:val="none"/>
                      <w:lang w:val="en-US" w:eastAsia="zh-CN"/>
                    </w:rPr>
                    <w:t>/h</w:t>
                  </w:r>
                </w:p>
              </w:tc>
              <w:tc>
                <w:tcPr>
                  <w:tcW w:w="1030" w:type="pct"/>
                  <w:gridSpan w:val="2"/>
                  <w:tcBorders>
                    <w:tl2br w:val="nil"/>
                    <w:tr2bl w:val="nil"/>
                  </w:tcBorders>
                  <w:vAlign w:val="center"/>
                </w:tcPr>
                <w:p w14:paraId="39EA6914">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排放情况</w:t>
                  </w:r>
                </w:p>
              </w:tc>
              <w:tc>
                <w:tcPr>
                  <w:tcW w:w="1150" w:type="pct"/>
                  <w:gridSpan w:val="2"/>
                  <w:tcBorders>
                    <w:tl2br w:val="nil"/>
                    <w:tr2bl w:val="nil"/>
                  </w:tcBorders>
                  <w:vAlign w:val="center"/>
                </w:tcPr>
                <w:p w14:paraId="5FB44B34">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排放标准</w:t>
                  </w:r>
                </w:p>
              </w:tc>
              <w:tc>
                <w:tcPr>
                  <w:tcW w:w="1190" w:type="pct"/>
                  <w:vMerge w:val="restart"/>
                  <w:tcBorders>
                    <w:tl2br w:val="nil"/>
                    <w:tr2bl w:val="nil"/>
                  </w:tcBorders>
                  <w:vAlign w:val="center"/>
                </w:tcPr>
                <w:p w14:paraId="45A0C795">
                  <w:pPr>
                    <w:pStyle w:val="31"/>
                    <w:keepNext w:val="0"/>
                    <w:keepLines w:val="0"/>
                    <w:suppressLineNumbers w:val="0"/>
                    <w:spacing w:before="0" w:beforeAutospacing="0" w:after="0" w:afterAutospacing="0"/>
                    <w:ind w:left="0" w:right="0"/>
                    <w:rPr>
                      <w:rFonts w:hint="eastAsia"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执行标准</w:t>
                  </w:r>
                </w:p>
              </w:tc>
              <w:tc>
                <w:tcPr>
                  <w:tcW w:w="280" w:type="pct"/>
                  <w:vMerge w:val="restart"/>
                  <w:tcBorders>
                    <w:tl2br w:val="nil"/>
                    <w:tr2bl w:val="nil"/>
                  </w:tcBorders>
                  <w:vAlign w:val="center"/>
                </w:tcPr>
                <w:p w14:paraId="7198C0A1">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达标情况</w:t>
                  </w:r>
                </w:p>
              </w:tc>
            </w:tr>
            <w:tr w14:paraId="2526E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31F9180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vMerge w:val="continue"/>
                  <w:tcBorders>
                    <w:tl2br w:val="nil"/>
                    <w:tr2bl w:val="nil"/>
                  </w:tcBorders>
                  <w:vAlign w:val="center"/>
                </w:tcPr>
                <w:p w14:paraId="0D4792D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387" w:type="pct"/>
                  <w:vMerge w:val="continue"/>
                  <w:tcBorders>
                    <w:tl2br w:val="nil"/>
                    <w:tr2bl w:val="nil"/>
                  </w:tcBorders>
                  <w:vAlign w:val="center"/>
                </w:tcPr>
                <w:p w14:paraId="05EF5A7E">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p>
              </w:tc>
              <w:tc>
                <w:tcPr>
                  <w:tcW w:w="520" w:type="pct"/>
                  <w:tcBorders>
                    <w:tl2br w:val="nil"/>
                    <w:tr2bl w:val="nil"/>
                  </w:tcBorders>
                  <w:vAlign w:val="center"/>
                </w:tcPr>
                <w:p w14:paraId="38EE7E11">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w:t>
                  </w:r>
                </w:p>
                <w:p w14:paraId="64829A76">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（kg/h）</w:t>
                  </w:r>
                </w:p>
              </w:tc>
              <w:tc>
                <w:tcPr>
                  <w:tcW w:w="510" w:type="pct"/>
                  <w:tcBorders>
                    <w:tl2br w:val="nil"/>
                    <w:tr2bl w:val="nil"/>
                  </w:tcBorders>
                  <w:vAlign w:val="center"/>
                </w:tcPr>
                <w:p w14:paraId="428346AC">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w:t>
                  </w:r>
                </w:p>
                <w:p w14:paraId="4884BDB4">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（mg/m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670" w:type="pct"/>
                  <w:tcBorders>
                    <w:tl2br w:val="nil"/>
                    <w:tr2bl w:val="nil"/>
                  </w:tcBorders>
                  <w:vAlign w:val="center"/>
                </w:tcPr>
                <w:p w14:paraId="4583E826">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最高允许排放浓度</w:t>
                  </w:r>
                </w:p>
                <w:p w14:paraId="7BB44DAA">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（mg/m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480" w:type="pct"/>
                  <w:tcBorders>
                    <w:tl2br w:val="nil"/>
                    <w:tr2bl w:val="nil"/>
                  </w:tcBorders>
                  <w:vAlign w:val="center"/>
                </w:tcPr>
                <w:p w14:paraId="4059B7AE">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最高允许排放速率（kg/h）</w:t>
                  </w:r>
                </w:p>
              </w:tc>
              <w:tc>
                <w:tcPr>
                  <w:tcW w:w="1190" w:type="pct"/>
                  <w:vMerge w:val="continue"/>
                  <w:tcBorders>
                    <w:tl2br w:val="nil"/>
                    <w:tr2bl w:val="nil"/>
                  </w:tcBorders>
                  <w:vAlign w:val="center"/>
                </w:tcPr>
                <w:p w14:paraId="6B7D598E">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vMerge w:val="continue"/>
                  <w:tcBorders>
                    <w:tl2br w:val="nil"/>
                    <w:tr2bl w:val="nil"/>
                  </w:tcBorders>
                  <w:vAlign w:val="center"/>
                </w:tcPr>
                <w:p w14:paraId="54E5FFFD">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r>
            <w:tr w14:paraId="7D3B0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restart"/>
                  <w:tcBorders>
                    <w:tl2br w:val="nil"/>
                    <w:tr2bl w:val="nil"/>
                  </w:tcBorders>
                  <w:vAlign w:val="center"/>
                </w:tcPr>
                <w:p w14:paraId="66B81B55">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DA00</w:t>
                  </w:r>
                  <w:r>
                    <w:rPr>
                      <w:rFonts w:hint="default" w:ascii="Times New Roman" w:hAnsi="Times New Roman" w:eastAsia="仿宋" w:cs="Times New Roman"/>
                      <w:color w:val="auto"/>
                      <w:sz w:val="21"/>
                      <w:szCs w:val="21"/>
                      <w:lang w:val="en-US" w:eastAsia="zh-CN"/>
                    </w:rPr>
                    <w:t>1</w:t>
                  </w:r>
                </w:p>
              </w:tc>
              <w:tc>
                <w:tcPr>
                  <w:tcW w:w="608" w:type="pct"/>
                  <w:tcBorders>
                    <w:tl2br w:val="nil"/>
                    <w:tr2bl w:val="nil"/>
                  </w:tcBorders>
                  <w:vAlign w:val="center"/>
                </w:tcPr>
                <w:p w14:paraId="1570B7D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387" w:type="pct"/>
                  <w:tcBorders>
                    <w:tl2br w:val="nil"/>
                    <w:tr2bl w:val="nil"/>
                  </w:tcBorders>
                  <w:vAlign w:val="center"/>
                </w:tcPr>
                <w:p w14:paraId="41EFB1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5000</w:t>
                  </w:r>
                </w:p>
              </w:tc>
              <w:tc>
                <w:tcPr>
                  <w:tcW w:w="987" w:type="dxa"/>
                  <w:tcBorders>
                    <w:tl2br w:val="nil"/>
                    <w:tr2bl w:val="nil"/>
                  </w:tcBorders>
                  <w:vAlign w:val="center"/>
                </w:tcPr>
                <w:p w14:paraId="3E8E8B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0.0443</w:t>
                  </w:r>
                </w:p>
              </w:tc>
              <w:tc>
                <w:tcPr>
                  <w:tcW w:w="968" w:type="dxa"/>
                  <w:tcBorders>
                    <w:tl2br w:val="nil"/>
                    <w:tr2bl w:val="nil"/>
                  </w:tcBorders>
                  <w:vAlign w:val="center"/>
                </w:tcPr>
                <w:p w14:paraId="5DAD05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8.86</w:t>
                  </w:r>
                </w:p>
              </w:tc>
              <w:tc>
                <w:tcPr>
                  <w:tcW w:w="670" w:type="pct"/>
                  <w:tcBorders>
                    <w:tl2br w:val="nil"/>
                    <w:tr2bl w:val="nil"/>
                  </w:tcBorders>
                  <w:vAlign w:val="center"/>
                </w:tcPr>
                <w:p w14:paraId="776D59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w:t>
                  </w:r>
                </w:p>
              </w:tc>
              <w:tc>
                <w:tcPr>
                  <w:tcW w:w="480" w:type="pct"/>
                  <w:tcBorders>
                    <w:tl2br w:val="nil"/>
                    <w:tr2bl w:val="nil"/>
                  </w:tcBorders>
                  <w:vAlign w:val="center"/>
                </w:tcPr>
                <w:p w14:paraId="26BF9A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w:t>
                  </w:r>
                </w:p>
              </w:tc>
              <w:tc>
                <w:tcPr>
                  <w:tcW w:w="1190" w:type="pct"/>
                  <w:vMerge w:val="restart"/>
                  <w:tcBorders>
                    <w:tl2br w:val="nil"/>
                    <w:tr2bl w:val="nil"/>
                  </w:tcBorders>
                  <w:vAlign w:val="center"/>
                </w:tcPr>
                <w:p w14:paraId="6C23C013">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《表面涂装（汽车零部件）大气污染物排放标准》（DB</w:t>
                  </w:r>
                  <w:r>
                    <w:rPr>
                      <w:rFonts w:hint="eastAsia"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32/3966-2021）</w:t>
                  </w:r>
                </w:p>
              </w:tc>
              <w:tc>
                <w:tcPr>
                  <w:tcW w:w="280" w:type="pct"/>
                  <w:tcBorders>
                    <w:tl2br w:val="nil"/>
                    <w:tr2bl w:val="nil"/>
                  </w:tcBorders>
                  <w:vAlign w:val="center"/>
                </w:tcPr>
                <w:p w14:paraId="40D30A2D">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6DCC2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24D0EE08">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lang w:val="en-US" w:eastAsia="zh-CN"/>
                    </w:rPr>
                  </w:pPr>
                </w:p>
              </w:tc>
              <w:tc>
                <w:tcPr>
                  <w:tcW w:w="608" w:type="pct"/>
                  <w:tcBorders>
                    <w:tl2br w:val="nil"/>
                    <w:tr2bl w:val="nil"/>
                  </w:tcBorders>
                  <w:vAlign w:val="center"/>
                </w:tcPr>
                <w:p w14:paraId="5CF004F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cs="Times New Roman"/>
                      <w:color w:val="auto"/>
                      <w:sz w:val="21"/>
                      <w:szCs w:val="21"/>
                      <w:highlight w:val="none"/>
                      <w:lang w:val="en-US" w:eastAsia="zh-CN"/>
                    </w:rPr>
                    <w:t>非甲烷总烃</w:t>
                  </w:r>
                </w:p>
              </w:tc>
              <w:tc>
                <w:tcPr>
                  <w:tcW w:w="387" w:type="pct"/>
                  <w:vMerge w:val="restart"/>
                  <w:tcBorders>
                    <w:tl2br w:val="nil"/>
                    <w:tr2bl w:val="nil"/>
                  </w:tcBorders>
                  <w:vAlign w:val="center"/>
                </w:tcPr>
                <w:p w14:paraId="595849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22500</w:t>
                  </w:r>
                </w:p>
              </w:tc>
              <w:tc>
                <w:tcPr>
                  <w:tcW w:w="520" w:type="pct"/>
                  <w:tcBorders>
                    <w:tl2br w:val="nil"/>
                    <w:tr2bl w:val="nil"/>
                  </w:tcBorders>
                  <w:vAlign w:val="center"/>
                </w:tcPr>
                <w:p w14:paraId="11A457F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0.0413</w:t>
                  </w:r>
                </w:p>
              </w:tc>
              <w:tc>
                <w:tcPr>
                  <w:tcW w:w="510" w:type="pct"/>
                  <w:tcBorders>
                    <w:tl2br w:val="nil"/>
                    <w:tr2bl w:val="nil"/>
                  </w:tcBorders>
                  <w:vAlign w:val="center"/>
                </w:tcPr>
                <w:p w14:paraId="4F9DAD9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1.8356</w:t>
                  </w:r>
                </w:p>
              </w:tc>
              <w:tc>
                <w:tcPr>
                  <w:tcW w:w="670" w:type="pct"/>
                  <w:tcBorders>
                    <w:tl2br w:val="nil"/>
                    <w:tr2bl w:val="nil"/>
                  </w:tcBorders>
                  <w:vAlign w:val="center"/>
                </w:tcPr>
                <w:p w14:paraId="1794B5D3">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80" w:type="pct"/>
                  <w:tcBorders>
                    <w:tl2br w:val="nil"/>
                    <w:tr2bl w:val="nil"/>
                  </w:tcBorders>
                  <w:vAlign w:val="center"/>
                </w:tcPr>
                <w:p w14:paraId="482EAFA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190" w:type="pct"/>
                  <w:vMerge w:val="continue"/>
                  <w:tcBorders>
                    <w:tl2br w:val="nil"/>
                    <w:tr2bl w:val="nil"/>
                  </w:tcBorders>
                  <w:vAlign w:val="center"/>
                </w:tcPr>
                <w:p w14:paraId="22D1ED4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tcBorders>
                    <w:tl2br w:val="nil"/>
                    <w:tr2bl w:val="nil"/>
                  </w:tcBorders>
                  <w:vAlign w:val="center"/>
                </w:tcPr>
                <w:p w14:paraId="5A6054F0">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25651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0FCFB7A8">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79F2EBD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TVOC</w:t>
                  </w:r>
                </w:p>
              </w:tc>
              <w:tc>
                <w:tcPr>
                  <w:tcW w:w="387" w:type="pct"/>
                  <w:vMerge w:val="continue"/>
                  <w:tcBorders>
                    <w:tl2br w:val="nil"/>
                    <w:tr2bl w:val="nil"/>
                  </w:tcBorders>
                  <w:vAlign w:val="center"/>
                </w:tcPr>
                <w:p w14:paraId="11155C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4B5CF2C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0.0413</w:t>
                  </w:r>
                </w:p>
              </w:tc>
              <w:tc>
                <w:tcPr>
                  <w:tcW w:w="510" w:type="pct"/>
                  <w:tcBorders>
                    <w:tl2br w:val="nil"/>
                    <w:tr2bl w:val="nil"/>
                  </w:tcBorders>
                  <w:vAlign w:val="center"/>
                </w:tcPr>
                <w:p w14:paraId="230DCE9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1.8356</w:t>
                  </w:r>
                </w:p>
              </w:tc>
              <w:tc>
                <w:tcPr>
                  <w:tcW w:w="670" w:type="pct"/>
                  <w:tcBorders>
                    <w:tl2br w:val="nil"/>
                    <w:tr2bl w:val="nil"/>
                  </w:tcBorders>
                  <w:vAlign w:val="center"/>
                </w:tcPr>
                <w:p w14:paraId="3B52CB1C">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80" w:type="pct"/>
                  <w:tcBorders>
                    <w:tl2br w:val="nil"/>
                    <w:tr2bl w:val="nil"/>
                  </w:tcBorders>
                  <w:vAlign w:val="center"/>
                </w:tcPr>
                <w:p w14:paraId="57E2C9F1">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90" w:type="pct"/>
                  <w:vMerge w:val="continue"/>
                  <w:tcBorders>
                    <w:tl2br w:val="nil"/>
                    <w:tr2bl w:val="nil"/>
                  </w:tcBorders>
                  <w:vAlign w:val="center"/>
                </w:tcPr>
                <w:p w14:paraId="6911F72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tcBorders>
                    <w:tl2br w:val="nil"/>
                    <w:tr2bl w:val="nil"/>
                  </w:tcBorders>
                  <w:vAlign w:val="center"/>
                </w:tcPr>
                <w:p w14:paraId="5D0EA54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7B3A2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2D5D647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315A69D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颗粒物</w:t>
                  </w:r>
                </w:p>
              </w:tc>
              <w:tc>
                <w:tcPr>
                  <w:tcW w:w="387" w:type="pct"/>
                  <w:vMerge w:val="continue"/>
                  <w:tcBorders>
                    <w:tl2br w:val="nil"/>
                    <w:tr2bl w:val="nil"/>
                  </w:tcBorders>
                  <w:vAlign w:val="center"/>
                </w:tcPr>
                <w:p w14:paraId="279E4E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624FD5D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0.0129</w:t>
                  </w:r>
                </w:p>
              </w:tc>
              <w:tc>
                <w:tcPr>
                  <w:tcW w:w="510" w:type="pct"/>
                  <w:tcBorders>
                    <w:tl2br w:val="nil"/>
                    <w:tr2bl w:val="nil"/>
                  </w:tcBorders>
                  <w:vAlign w:val="center"/>
                </w:tcPr>
                <w:p w14:paraId="0D6CEF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0.5733</w:t>
                  </w:r>
                </w:p>
              </w:tc>
              <w:tc>
                <w:tcPr>
                  <w:tcW w:w="670" w:type="pct"/>
                  <w:tcBorders>
                    <w:tl2br w:val="nil"/>
                    <w:tr2bl w:val="nil"/>
                  </w:tcBorders>
                  <w:vAlign w:val="center"/>
                </w:tcPr>
                <w:p w14:paraId="26A2399F">
                  <w:pPr>
                    <w:widowControl/>
                    <w:jc w:val="center"/>
                    <w:textAlignment w:val="center"/>
                    <w:rPr>
                      <w:color w:val="auto"/>
                      <w:kern w:val="0"/>
                      <w:szCs w:val="21"/>
                      <w:u w:val="none"/>
                      <w:lang w:bidi="ar"/>
                    </w:rPr>
                  </w:pPr>
                  <w:r>
                    <w:rPr>
                      <w:rFonts w:hint="default" w:cs="Times New Roman"/>
                      <w:i w:val="0"/>
                      <w:iCs w:val="0"/>
                      <w:color w:val="auto"/>
                      <w:kern w:val="0"/>
                      <w:sz w:val="21"/>
                      <w:szCs w:val="21"/>
                      <w:u w:val="none"/>
                      <w:lang w:val="en-US" w:eastAsia="zh-CN" w:bidi="ar"/>
                    </w:rPr>
                    <w:t>10</w:t>
                  </w:r>
                </w:p>
              </w:tc>
              <w:tc>
                <w:tcPr>
                  <w:tcW w:w="480" w:type="pct"/>
                  <w:tcBorders>
                    <w:tl2br w:val="nil"/>
                    <w:tr2bl w:val="nil"/>
                  </w:tcBorders>
                  <w:vAlign w:val="center"/>
                </w:tcPr>
                <w:p w14:paraId="201CD4B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0.6</w:t>
                  </w:r>
                </w:p>
              </w:tc>
              <w:tc>
                <w:tcPr>
                  <w:tcW w:w="1190" w:type="pct"/>
                  <w:vMerge w:val="continue"/>
                  <w:tcBorders>
                    <w:tl2br w:val="nil"/>
                    <w:tr2bl w:val="nil"/>
                  </w:tcBorders>
                  <w:vAlign w:val="center"/>
                </w:tcPr>
                <w:p w14:paraId="53D08DA6">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tcBorders>
                    <w:tl2br w:val="nil"/>
                    <w:tr2bl w:val="nil"/>
                  </w:tcBorders>
                  <w:vAlign w:val="center"/>
                </w:tcPr>
                <w:p w14:paraId="463F83BE">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1310E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62BA8307">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6F8F0205">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color w:val="auto"/>
                      <w:sz w:val="21"/>
                      <w:szCs w:val="21"/>
                      <w:lang w:val="en-US" w:eastAsia="zh-CN"/>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387" w:type="pct"/>
                  <w:vMerge w:val="continue"/>
                  <w:tcBorders>
                    <w:tl2br w:val="nil"/>
                    <w:tr2bl w:val="nil"/>
                  </w:tcBorders>
                  <w:vAlign w:val="center"/>
                </w:tcPr>
                <w:p w14:paraId="2AF719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5464C0B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510" w:type="pct"/>
                  <w:tcBorders>
                    <w:tl2br w:val="nil"/>
                    <w:tr2bl w:val="nil"/>
                  </w:tcBorders>
                  <w:vAlign w:val="center"/>
                </w:tcPr>
                <w:p w14:paraId="33179CF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w:t>
                  </w:r>
                </w:p>
              </w:tc>
              <w:tc>
                <w:tcPr>
                  <w:tcW w:w="670" w:type="pct"/>
                  <w:tcBorders>
                    <w:tl2br w:val="nil"/>
                    <w:tr2bl w:val="nil"/>
                  </w:tcBorders>
                  <w:vAlign w:val="center"/>
                </w:tcPr>
                <w:p w14:paraId="0E3F2516">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80" w:type="pct"/>
                  <w:tcBorders>
                    <w:tl2br w:val="nil"/>
                    <w:tr2bl w:val="nil"/>
                  </w:tcBorders>
                  <w:vAlign w:val="center"/>
                </w:tcPr>
                <w:p w14:paraId="2DB9065B">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90" w:type="pct"/>
                  <w:vMerge w:val="restart"/>
                  <w:tcBorders>
                    <w:tl2br w:val="nil"/>
                    <w:tr2bl w:val="nil"/>
                  </w:tcBorders>
                  <w:vAlign w:val="center"/>
                </w:tcPr>
                <w:p w14:paraId="36C918F9">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《工业炉窑大气污染物排放标准》（DB 32/3728-2020</w:t>
                  </w:r>
                  <w:r>
                    <w:rPr>
                      <w:rFonts w:hint="eastAsia" w:eastAsia="仿宋" w:cs="Times New Roman"/>
                      <w:color w:val="auto"/>
                      <w:sz w:val="21"/>
                      <w:szCs w:val="21"/>
                      <w:lang w:eastAsia="zh-CN"/>
                    </w:rPr>
                    <w:t>）</w:t>
                  </w:r>
                </w:p>
              </w:tc>
              <w:tc>
                <w:tcPr>
                  <w:tcW w:w="280" w:type="pct"/>
                  <w:tcBorders>
                    <w:tl2br w:val="nil"/>
                    <w:tr2bl w:val="nil"/>
                  </w:tcBorders>
                  <w:vAlign w:val="center"/>
                </w:tcPr>
                <w:p w14:paraId="28E8C7F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724FE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5A9666D9">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34AF3998">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color w:val="auto"/>
                      <w:sz w:val="21"/>
                      <w:szCs w:val="21"/>
                      <w:lang w:val="en-US" w:eastAsia="zh-CN"/>
                    </w:rPr>
                  </w:pPr>
                  <w:r>
                    <w:rPr>
                      <w:rFonts w:hint="default" w:eastAsia="仿宋" w:cs="Times New Roman"/>
                      <w:color w:val="auto"/>
                      <w:sz w:val="21"/>
                      <w:szCs w:val="21"/>
                      <w:lang w:val="en-US" w:eastAsia="zh-CN"/>
                    </w:rPr>
                    <w:t>NOx</w:t>
                  </w:r>
                </w:p>
              </w:tc>
              <w:tc>
                <w:tcPr>
                  <w:tcW w:w="387" w:type="pct"/>
                  <w:vMerge w:val="continue"/>
                  <w:tcBorders>
                    <w:tl2br w:val="nil"/>
                    <w:tr2bl w:val="nil"/>
                  </w:tcBorders>
                  <w:vAlign w:val="center"/>
                </w:tcPr>
                <w:p w14:paraId="0DAE8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17709C3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0.0841</w:t>
                  </w:r>
                </w:p>
              </w:tc>
              <w:tc>
                <w:tcPr>
                  <w:tcW w:w="510" w:type="pct"/>
                  <w:tcBorders>
                    <w:tl2br w:val="nil"/>
                    <w:tr2bl w:val="nil"/>
                  </w:tcBorders>
                  <w:vAlign w:val="center"/>
                </w:tcPr>
                <w:p w14:paraId="5170870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3.7378</w:t>
                  </w:r>
                </w:p>
              </w:tc>
              <w:tc>
                <w:tcPr>
                  <w:tcW w:w="670" w:type="pct"/>
                  <w:tcBorders>
                    <w:tl2br w:val="nil"/>
                    <w:tr2bl w:val="nil"/>
                  </w:tcBorders>
                  <w:vAlign w:val="center"/>
                </w:tcPr>
                <w:p w14:paraId="547A405C">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480" w:type="pct"/>
                  <w:tcBorders>
                    <w:tl2br w:val="nil"/>
                    <w:tr2bl w:val="nil"/>
                  </w:tcBorders>
                  <w:vAlign w:val="center"/>
                </w:tcPr>
                <w:p w14:paraId="4AC1D828">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90" w:type="pct"/>
                  <w:vMerge w:val="continue"/>
                  <w:tcBorders>
                    <w:tl2br w:val="nil"/>
                    <w:tr2bl w:val="nil"/>
                  </w:tcBorders>
                  <w:vAlign w:val="center"/>
                </w:tcPr>
                <w:p w14:paraId="0814D718">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tcBorders>
                    <w:tl2br w:val="nil"/>
                    <w:tr2bl w:val="nil"/>
                  </w:tcBorders>
                  <w:vAlign w:val="center"/>
                </w:tcPr>
                <w:p w14:paraId="0AC9B6E8">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13468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690E2B5D">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41474B6B">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硫酸雾</w:t>
                  </w:r>
                </w:p>
              </w:tc>
              <w:tc>
                <w:tcPr>
                  <w:tcW w:w="387" w:type="pct"/>
                  <w:vMerge w:val="continue"/>
                  <w:tcBorders>
                    <w:tl2br w:val="nil"/>
                    <w:tr2bl w:val="nil"/>
                  </w:tcBorders>
                  <w:vAlign w:val="center"/>
                </w:tcPr>
                <w:p w14:paraId="6AC453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1E23C61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0.0068</w:t>
                  </w:r>
                </w:p>
              </w:tc>
              <w:tc>
                <w:tcPr>
                  <w:tcW w:w="510" w:type="pct"/>
                  <w:tcBorders>
                    <w:tl2br w:val="nil"/>
                    <w:tr2bl w:val="nil"/>
                  </w:tcBorders>
                  <w:vAlign w:val="center"/>
                </w:tcPr>
                <w:p w14:paraId="6621763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0.3022</w:t>
                  </w:r>
                </w:p>
              </w:tc>
              <w:tc>
                <w:tcPr>
                  <w:tcW w:w="670" w:type="pct"/>
                  <w:tcBorders>
                    <w:tl2br w:val="nil"/>
                    <w:tr2bl w:val="nil"/>
                  </w:tcBorders>
                  <w:vAlign w:val="center"/>
                </w:tcPr>
                <w:p w14:paraId="08851113">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480" w:type="pct"/>
                  <w:tcBorders>
                    <w:tl2br w:val="nil"/>
                    <w:tr2bl w:val="nil"/>
                  </w:tcBorders>
                  <w:vAlign w:val="center"/>
                </w:tcPr>
                <w:p w14:paraId="1158AD07">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190" w:type="pct"/>
                  <w:vMerge w:val="restart"/>
                  <w:tcBorders>
                    <w:tl2br w:val="nil"/>
                    <w:tr2bl w:val="nil"/>
                  </w:tcBorders>
                  <w:vAlign w:val="center"/>
                </w:tcPr>
                <w:p w14:paraId="48B56F1E">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w:t>
                  </w:r>
                  <w:r>
                    <w:rPr>
                      <w:rFonts w:hint="eastAsia"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32/4041-2021）</w:t>
                  </w:r>
                </w:p>
              </w:tc>
              <w:tc>
                <w:tcPr>
                  <w:tcW w:w="280" w:type="pct"/>
                  <w:tcBorders>
                    <w:tl2br w:val="nil"/>
                    <w:tr2bl w:val="nil"/>
                  </w:tcBorders>
                  <w:vAlign w:val="center"/>
                </w:tcPr>
                <w:p w14:paraId="5CF726AA">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3BD37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2" w:type="pct"/>
                  <w:vMerge w:val="continue"/>
                  <w:tcBorders>
                    <w:tl2br w:val="nil"/>
                    <w:tr2bl w:val="nil"/>
                  </w:tcBorders>
                  <w:vAlign w:val="center"/>
                </w:tcPr>
                <w:p w14:paraId="4444F494">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608" w:type="pct"/>
                  <w:tcBorders>
                    <w:tl2br w:val="nil"/>
                    <w:tr2bl w:val="nil"/>
                  </w:tcBorders>
                  <w:vAlign w:val="center"/>
                </w:tcPr>
                <w:p w14:paraId="7A5F8E05">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氯化氢</w:t>
                  </w:r>
                </w:p>
              </w:tc>
              <w:tc>
                <w:tcPr>
                  <w:tcW w:w="387" w:type="pct"/>
                  <w:vMerge w:val="continue"/>
                  <w:tcBorders>
                    <w:tl2br w:val="nil"/>
                    <w:tr2bl w:val="nil"/>
                  </w:tcBorders>
                  <w:vAlign w:val="center"/>
                </w:tcPr>
                <w:p w14:paraId="2AC2EB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20" w:type="pct"/>
                  <w:tcBorders>
                    <w:tl2br w:val="nil"/>
                    <w:tr2bl w:val="nil"/>
                  </w:tcBorders>
                  <w:vAlign w:val="center"/>
                </w:tcPr>
                <w:p w14:paraId="2F833DA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510" w:type="pct"/>
                  <w:tcBorders>
                    <w:tl2br w:val="nil"/>
                    <w:tr2bl w:val="nil"/>
                  </w:tcBorders>
                  <w:vAlign w:val="center"/>
                </w:tcPr>
                <w:p w14:paraId="244DB8B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0.1911</w:t>
                  </w:r>
                </w:p>
              </w:tc>
              <w:tc>
                <w:tcPr>
                  <w:tcW w:w="670" w:type="pct"/>
                  <w:tcBorders>
                    <w:tl2br w:val="nil"/>
                    <w:tr2bl w:val="nil"/>
                  </w:tcBorders>
                  <w:vAlign w:val="center"/>
                </w:tcPr>
                <w:p w14:paraId="5F5A163A">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0" w:type="pct"/>
                  <w:tcBorders>
                    <w:tl2br w:val="nil"/>
                    <w:tr2bl w:val="nil"/>
                  </w:tcBorders>
                  <w:vAlign w:val="center"/>
                </w:tcPr>
                <w:p w14:paraId="661177A4">
                  <w:pPr>
                    <w:keepNext w:val="0"/>
                    <w:keepLines w:val="0"/>
                    <w:widowControl/>
                    <w:suppressLineNumbers w:val="0"/>
                    <w:jc w:val="center"/>
                    <w:textAlignment w:val="center"/>
                    <w:rPr>
                      <w:rFonts w:hint="eastAsia"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190" w:type="pct"/>
                  <w:vMerge w:val="continue"/>
                  <w:tcBorders>
                    <w:tl2br w:val="nil"/>
                    <w:tr2bl w:val="nil"/>
                  </w:tcBorders>
                  <w:vAlign w:val="center"/>
                </w:tcPr>
                <w:p w14:paraId="5519091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p>
              </w:tc>
              <w:tc>
                <w:tcPr>
                  <w:tcW w:w="280" w:type="pct"/>
                  <w:tcBorders>
                    <w:tl2br w:val="nil"/>
                    <w:tr2bl w:val="nil"/>
                  </w:tcBorders>
                  <w:vAlign w:val="center"/>
                </w:tcPr>
                <w:p w14:paraId="710F2807">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bl>
          <w:p w14:paraId="5026DAFB">
            <w:pPr>
              <w:pStyle w:val="35"/>
              <w:keepNext w:val="0"/>
              <w:keepLines w:val="0"/>
              <w:pageBreakBefore w:val="0"/>
              <w:widowControl/>
              <w:kinsoku/>
              <w:wordWrap/>
              <w:overflowPunct/>
              <w:topLinePunct w:val="0"/>
              <w:autoSpaceDE/>
              <w:autoSpaceDN/>
              <w:bidi w:val="0"/>
              <w:adjustRightInd/>
              <w:snapToGrid/>
              <w:spacing w:before="120" w:beforeLines="50" w:line="360" w:lineRule="auto"/>
              <w:ind w:left="0" w:leftChars="0" w:firstLine="0" w:firstLineChars="0"/>
              <w:textAlignment w:val="auto"/>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bCs w:val="0"/>
                <w:color w:val="auto"/>
                <w:lang w:val="en-US" w:eastAsia="zh-CN"/>
              </w:rPr>
              <w:t xml:space="preserve">1.5  </w:t>
            </w:r>
            <w:r>
              <w:rPr>
                <w:rFonts w:hint="default" w:ascii="Times New Roman" w:hAnsi="Times New Roman" w:eastAsia="宋体" w:cs="Times New Roman"/>
                <w:b/>
                <w:bCs w:val="0"/>
                <w:color w:val="auto"/>
              </w:rPr>
              <w:t>非正</w:t>
            </w:r>
            <w:r>
              <w:rPr>
                <w:rFonts w:hint="default" w:ascii="Times New Roman" w:hAnsi="Times New Roman" w:eastAsia="宋体" w:cs="Times New Roman"/>
                <w:b/>
                <w:bCs w:val="0"/>
                <w:color w:val="auto"/>
                <w:highlight w:val="none"/>
              </w:rPr>
              <w:t>常工况</w:t>
            </w:r>
          </w:p>
          <w:p w14:paraId="023A46D8">
            <w:pPr>
              <w:pStyle w:val="35"/>
              <w:spacing w:line="360" w:lineRule="auto"/>
              <w:ind w:firstLine="480"/>
              <w:rPr>
                <w:rFonts w:hint="default" w:ascii="Times New Roman" w:hAnsi="Times New Roman" w:cs="Times New Roman"/>
                <w:bCs w:val="0"/>
                <w:color w:val="auto"/>
                <w:sz w:val="24"/>
                <w:szCs w:val="24"/>
                <w:highlight w:val="none"/>
              </w:rPr>
            </w:pPr>
            <w:r>
              <w:rPr>
                <w:rFonts w:hint="default" w:ascii="Times New Roman" w:hAnsi="Times New Roman" w:cs="Times New Roman"/>
                <w:bCs w:val="0"/>
                <w:color w:val="auto"/>
                <w:sz w:val="24"/>
                <w:szCs w:val="24"/>
                <w:highlight w:val="none"/>
              </w:rPr>
              <w:t>非正常排放一般包括开停车、检修、环保设施不达标三种情况。</w:t>
            </w:r>
          </w:p>
          <w:p w14:paraId="36DDF203">
            <w:pPr>
              <w:spacing w:line="360" w:lineRule="auto"/>
              <w:ind w:firstLine="480" w:firstLineChars="200"/>
              <w:rPr>
                <w:rFonts w:hint="default" w:ascii="Times New Roman" w:hAnsi="Times New Roman" w:cs="Times New Roman"/>
                <w:b/>
                <w:bCs/>
                <w:color w:val="auto"/>
                <w:sz w:val="24"/>
                <w:szCs w:val="24"/>
                <w:highlight w:val="none"/>
              </w:rPr>
            </w:pPr>
            <w:r>
              <w:rPr>
                <w:rFonts w:hint="default" w:ascii="Times New Roman" w:hAnsi="Times New Roman" w:eastAsia="Calibri" w:cs="Times New Roman"/>
                <w:color w:val="auto"/>
                <w:sz w:val="24"/>
                <w:szCs w:val="24"/>
                <w:highlight w:val="none"/>
              </w:rPr>
              <w:t>设备检修以及突发性故障（如：区域性停电时的停车），企业会事先调整生产计划。因此，本项目非正常工况考虑废气环保设施运行不正常的情况，本报告按最不利的情况考虑</w:t>
            </w:r>
            <w:r>
              <w:rPr>
                <w:rFonts w:hint="default" w:ascii="Times New Roman" w:hAnsi="Times New Roman" w:cs="Times New Roman"/>
                <w:color w:val="auto"/>
                <w:sz w:val="24"/>
                <w:szCs w:val="24"/>
                <w:highlight w:val="none"/>
              </w:rPr>
              <w:t>，即废气处理设施完全失效，处理效率下降至0%。</w:t>
            </w:r>
            <w:r>
              <w:rPr>
                <w:rFonts w:hint="default" w:ascii="Times New Roman" w:hAnsi="Times New Roman" w:eastAsia="宋体" w:cs="Times New Roman"/>
                <w:color w:val="auto"/>
                <w:sz w:val="24"/>
                <w:szCs w:val="24"/>
                <w:highlight w:val="none"/>
              </w:rPr>
              <w:t>本项目非正常工况为各废气处理装置发生故障，事故持续时间以60min（1h）计。</w:t>
            </w:r>
            <w:r>
              <w:rPr>
                <w:rFonts w:hint="default" w:ascii="Times New Roman" w:hAnsi="Times New Roman" w:cs="Times New Roman"/>
                <w:color w:val="auto"/>
                <w:sz w:val="24"/>
                <w:szCs w:val="24"/>
                <w:highlight w:val="none"/>
              </w:rPr>
              <w:t>则非正常工况下，本项目污染物排放情况见下表。</w:t>
            </w:r>
          </w:p>
          <w:p w14:paraId="66B55A7D">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本项目废气非正常工况排放情况</w:t>
            </w:r>
          </w:p>
          <w:tbl>
            <w:tblPr>
              <w:tblStyle w:val="21"/>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105"/>
              <w:gridCol w:w="830"/>
              <w:gridCol w:w="1192"/>
              <w:gridCol w:w="1276"/>
              <w:gridCol w:w="1312"/>
              <w:gridCol w:w="786"/>
              <w:gridCol w:w="767"/>
              <w:gridCol w:w="1369"/>
            </w:tblGrid>
            <w:tr w14:paraId="2E0BFDE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tcBorders>
                    <w:tl2br w:val="nil"/>
                    <w:tr2bl w:val="nil"/>
                  </w:tcBorders>
                  <w:noWrap w:val="0"/>
                  <w:vAlign w:val="center"/>
                </w:tcPr>
                <w:p w14:paraId="68B3E5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非正常排放源</w:t>
                  </w:r>
                </w:p>
              </w:tc>
              <w:tc>
                <w:tcPr>
                  <w:tcW w:w="582" w:type="pct"/>
                  <w:tcBorders>
                    <w:tl2br w:val="nil"/>
                    <w:tr2bl w:val="nil"/>
                  </w:tcBorders>
                  <w:noWrap w:val="0"/>
                  <w:vAlign w:val="center"/>
                </w:tcPr>
                <w:p w14:paraId="6695C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非正常排放原因</w:t>
                  </w:r>
                </w:p>
              </w:tc>
              <w:tc>
                <w:tcPr>
                  <w:tcW w:w="437" w:type="pct"/>
                  <w:tcBorders>
                    <w:tl2br w:val="nil"/>
                    <w:tr2bl w:val="nil"/>
                  </w:tcBorders>
                  <w:noWrap w:val="0"/>
                  <w:vAlign w:val="center"/>
                </w:tcPr>
                <w:p w14:paraId="0251D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eastAsia="仿宋" w:cs="Times New Roman"/>
                      <w:b/>
                      <w:bCs/>
                      <w:color w:val="auto"/>
                      <w:spacing w:val="-6"/>
                      <w:sz w:val="21"/>
                      <w:szCs w:val="21"/>
                      <w:highlight w:val="none"/>
                      <w:u w:val="none"/>
                      <w:vertAlign w:val="baseline"/>
                      <w:lang w:val="en-US" w:eastAsia="zh-CN"/>
                    </w:rPr>
                    <w:t>风量</w:t>
                  </w:r>
                  <w:r>
                    <w:rPr>
                      <w:rFonts w:hint="default" w:ascii="Times New Roman" w:hAnsi="Times New Roman" w:eastAsia="仿宋" w:cs="Times New Roman"/>
                      <w:b/>
                      <w:bCs/>
                      <w:color w:val="auto"/>
                      <w:sz w:val="21"/>
                      <w:szCs w:val="21"/>
                      <w:highlight w:val="none"/>
                      <w:lang w:val="en-US" w:eastAsia="zh-CN"/>
                    </w:rPr>
                    <w:t>m</w:t>
                  </w:r>
                  <w:r>
                    <w:rPr>
                      <w:rFonts w:hint="default" w:ascii="Times New Roman" w:hAnsi="Times New Roman" w:eastAsia="仿宋" w:cs="Times New Roman"/>
                      <w:b/>
                      <w:bCs/>
                      <w:color w:val="auto"/>
                      <w:sz w:val="21"/>
                      <w:szCs w:val="21"/>
                      <w:highlight w:val="none"/>
                      <w:vertAlign w:val="superscript"/>
                      <w:lang w:val="en-US" w:eastAsia="zh-CN"/>
                    </w:rPr>
                    <w:t>3</w:t>
                  </w:r>
                  <w:r>
                    <w:rPr>
                      <w:rFonts w:hint="default" w:ascii="Times New Roman" w:hAnsi="Times New Roman" w:eastAsia="仿宋" w:cs="Times New Roman"/>
                      <w:b/>
                      <w:bCs/>
                      <w:color w:val="auto"/>
                      <w:sz w:val="21"/>
                      <w:szCs w:val="21"/>
                      <w:highlight w:val="none"/>
                      <w:lang w:val="en-US" w:eastAsia="zh-CN"/>
                    </w:rPr>
                    <w:t>/h</w:t>
                  </w:r>
                </w:p>
              </w:tc>
              <w:tc>
                <w:tcPr>
                  <w:tcW w:w="628" w:type="pct"/>
                  <w:tcBorders>
                    <w:tl2br w:val="nil"/>
                    <w:tr2bl w:val="nil"/>
                  </w:tcBorders>
                  <w:noWrap w:val="0"/>
                  <w:vAlign w:val="center"/>
                </w:tcPr>
                <w:p w14:paraId="31669F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污染物</w:t>
                  </w:r>
                </w:p>
              </w:tc>
              <w:tc>
                <w:tcPr>
                  <w:tcW w:w="672" w:type="pct"/>
                  <w:tcBorders>
                    <w:tl2br w:val="nil"/>
                    <w:tr2bl w:val="nil"/>
                  </w:tcBorders>
                  <w:noWrap w:val="0"/>
                  <w:vAlign w:val="center"/>
                </w:tcPr>
                <w:p w14:paraId="7A873839">
                  <w:pPr>
                    <w:pStyle w:val="2"/>
                    <w:pageBreakBefore w:val="0"/>
                    <w:kinsoku/>
                    <w:overflowPunct/>
                    <w:topLinePunct w:val="0"/>
                    <w:bidi w:val="0"/>
                    <w:spacing w:before="0" w:after="0" w:line="240" w:lineRule="auto"/>
                    <w:ind w:left="0" w:leftChars="0" w:right="0" w:rightChars="0"/>
                    <w:jc w:val="center"/>
                    <w:rPr>
                      <w:rFonts w:hint="default" w:ascii="Times New Roman" w:hAnsi="Times New Roman" w:eastAsia="仿宋" w:cs="Times New Roman"/>
                      <w:b/>
                      <w:bCs/>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bCs/>
                      <w:color w:val="auto"/>
                      <w:sz w:val="21"/>
                      <w:szCs w:val="21"/>
                      <w:highlight w:val="none"/>
                    </w:rPr>
                    <w:t>非正常排放速率（kg/h）</w:t>
                  </w:r>
                </w:p>
              </w:tc>
              <w:tc>
                <w:tcPr>
                  <w:tcW w:w="691" w:type="pct"/>
                  <w:tcBorders>
                    <w:tl2br w:val="nil"/>
                    <w:tr2bl w:val="nil"/>
                  </w:tcBorders>
                  <w:noWrap w:val="0"/>
                  <w:vAlign w:val="center"/>
                </w:tcPr>
                <w:p w14:paraId="43733E6B">
                  <w:pPr>
                    <w:pStyle w:val="2"/>
                    <w:pageBreakBefore w:val="0"/>
                    <w:kinsoku/>
                    <w:overflowPunct/>
                    <w:topLinePunct w:val="0"/>
                    <w:bidi w:val="0"/>
                    <w:spacing w:before="0" w:after="0" w:line="240" w:lineRule="auto"/>
                    <w:ind w:left="0" w:leftChars="0" w:right="0" w:rightChars="0"/>
                    <w:jc w:val="center"/>
                    <w:rPr>
                      <w:rFonts w:hint="default" w:ascii="Times New Roman" w:hAnsi="Times New Roman" w:eastAsia="仿宋" w:cs="Times New Roman"/>
                      <w:b/>
                      <w:bCs/>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bCs/>
                      <w:color w:val="auto"/>
                      <w:sz w:val="21"/>
                      <w:szCs w:val="21"/>
                      <w:highlight w:val="none"/>
                    </w:rPr>
                    <w:t>非正常排放浓度（mg/m</w:t>
                  </w:r>
                  <w:r>
                    <w:rPr>
                      <w:rFonts w:hint="default" w:ascii="Times New Roman" w:hAnsi="Times New Roman" w:eastAsia="仿宋" w:cs="Times New Roman"/>
                      <w:b/>
                      <w:bCs/>
                      <w:color w:val="auto"/>
                      <w:sz w:val="21"/>
                      <w:szCs w:val="21"/>
                      <w:highlight w:val="none"/>
                      <w:vertAlign w:val="superscript"/>
                    </w:rPr>
                    <w:t>3</w:t>
                  </w:r>
                  <w:r>
                    <w:rPr>
                      <w:rFonts w:hint="default" w:ascii="Times New Roman" w:hAnsi="Times New Roman" w:eastAsia="仿宋" w:cs="Times New Roman"/>
                      <w:b/>
                      <w:bCs/>
                      <w:color w:val="auto"/>
                      <w:sz w:val="21"/>
                      <w:szCs w:val="21"/>
                      <w:highlight w:val="none"/>
                    </w:rPr>
                    <w:t>）</w:t>
                  </w:r>
                </w:p>
              </w:tc>
              <w:tc>
                <w:tcPr>
                  <w:tcW w:w="414" w:type="pct"/>
                  <w:tcBorders>
                    <w:tl2br w:val="nil"/>
                    <w:tr2bl w:val="nil"/>
                  </w:tcBorders>
                  <w:noWrap w:val="0"/>
                  <w:vAlign w:val="center"/>
                </w:tcPr>
                <w:p w14:paraId="6A1D62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单次持续时间/h</w:t>
                  </w:r>
                </w:p>
              </w:tc>
              <w:tc>
                <w:tcPr>
                  <w:tcW w:w="404" w:type="pct"/>
                  <w:tcBorders>
                    <w:tl2br w:val="nil"/>
                    <w:tr2bl w:val="nil"/>
                  </w:tcBorders>
                  <w:noWrap w:val="0"/>
                  <w:vAlign w:val="center"/>
                </w:tcPr>
                <w:p w14:paraId="7EADF1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年发生频次/次</w:t>
                  </w:r>
                </w:p>
              </w:tc>
              <w:tc>
                <w:tcPr>
                  <w:tcW w:w="721" w:type="pct"/>
                  <w:tcBorders>
                    <w:tl2br w:val="nil"/>
                    <w:tr2bl w:val="nil"/>
                  </w:tcBorders>
                  <w:noWrap w:val="0"/>
                  <w:vAlign w:val="center"/>
                </w:tcPr>
                <w:p w14:paraId="376126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pacing w:val="-6"/>
                      <w:sz w:val="21"/>
                      <w:szCs w:val="21"/>
                      <w:highlight w:val="none"/>
                      <w:u w:val="none"/>
                      <w:vertAlign w:val="baseline"/>
                      <w:lang w:val="en-US" w:eastAsia="zh-CN"/>
                    </w:rPr>
                  </w:pPr>
                  <w:r>
                    <w:rPr>
                      <w:rFonts w:hint="default" w:ascii="Times New Roman" w:hAnsi="Times New Roman" w:eastAsia="仿宋" w:cs="Times New Roman"/>
                      <w:b/>
                      <w:bCs/>
                      <w:color w:val="auto"/>
                      <w:spacing w:val="-6"/>
                      <w:sz w:val="21"/>
                      <w:szCs w:val="21"/>
                      <w:highlight w:val="none"/>
                      <w:u w:val="none"/>
                      <w:vertAlign w:val="baseline"/>
                      <w:lang w:val="en-US" w:eastAsia="zh-CN"/>
                    </w:rPr>
                    <w:t>应对措施</w:t>
                  </w:r>
                </w:p>
              </w:tc>
            </w:tr>
            <w:tr w14:paraId="59CCF14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restart"/>
                  <w:tcBorders>
                    <w:tl2br w:val="nil"/>
                    <w:tr2bl w:val="nil"/>
                  </w:tcBorders>
                  <w:noWrap w:val="0"/>
                  <w:vAlign w:val="center"/>
                </w:tcPr>
                <w:p w14:paraId="660865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t>DA001排气筒</w:t>
                  </w:r>
                </w:p>
              </w:tc>
              <w:tc>
                <w:tcPr>
                  <w:tcW w:w="582" w:type="pct"/>
                  <w:vMerge w:val="restart"/>
                  <w:tcBorders>
                    <w:tl2br w:val="nil"/>
                    <w:tr2bl w:val="nil"/>
                  </w:tcBorders>
                  <w:noWrap w:val="0"/>
                  <w:vAlign w:val="center"/>
                </w:tcPr>
                <w:p w14:paraId="4C52F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废气处理装置开停车、检修、运转异常</w:t>
                  </w:r>
                </w:p>
              </w:tc>
              <w:tc>
                <w:tcPr>
                  <w:tcW w:w="437" w:type="pct"/>
                  <w:tcBorders>
                    <w:tl2br w:val="nil"/>
                    <w:tr2bl w:val="nil"/>
                  </w:tcBorders>
                  <w:noWrap w:val="0"/>
                  <w:vAlign w:val="center"/>
                </w:tcPr>
                <w:p w14:paraId="5E8FC9A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b w:val="0"/>
                      <w:bCs w:val="0"/>
                      <w:color w:val="auto"/>
                      <w:spacing w:val="-6"/>
                      <w:sz w:val="21"/>
                      <w:szCs w:val="21"/>
                      <w:highlight w:val="none"/>
                      <w:u w:val="none"/>
                      <w:vertAlign w:val="baseline"/>
                      <w:lang w:val="en-US" w:eastAsia="zh-CN"/>
                    </w:rPr>
                  </w:pPr>
                  <w:r>
                    <w:rPr>
                      <w:rFonts w:hint="eastAsia" w:cs="Times New Roman"/>
                      <w:b w:val="0"/>
                      <w:bCs w:val="0"/>
                      <w:color w:val="auto"/>
                      <w:spacing w:val="-6"/>
                      <w:sz w:val="21"/>
                      <w:szCs w:val="21"/>
                      <w:highlight w:val="none"/>
                      <w:u w:val="none"/>
                      <w:vertAlign w:val="baseline"/>
                      <w:lang w:val="en-US" w:eastAsia="zh-CN"/>
                    </w:rPr>
                    <w:t>5000</w:t>
                  </w:r>
                </w:p>
              </w:tc>
              <w:tc>
                <w:tcPr>
                  <w:tcW w:w="628" w:type="pct"/>
                  <w:tcBorders>
                    <w:tl2br w:val="nil"/>
                    <w:tr2bl w:val="nil"/>
                  </w:tcBorders>
                  <w:noWrap w:val="0"/>
                  <w:vAlign w:val="center"/>
                </w:tcPr>
                <w:p w14:paraId="35631EB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eastAsia" w:cs="Times New Roman"/>
                      <w:b w:val="0"/>
                      <w:bCs w:val="0"/>
                      <w:color w:val="auto"/>
                      <w:spacing w:val="-6"/>
                      <w:sz w:val="21"/>
                      <w:szCs w:val="21"/>
                      <w:highlight w:val="none"/>
                      <w:u w:val="none"/>
                      <w:vertAlign w:val="baseline"/>
                      <w:lang w:val="en-US" w:eastAsia="zh-CN"/>
                    </w:rPr>
                    <w:t>颗粒物</w:t>
                  </w:r>
                </w:p>
              </w:tc>
              <w:tc>
                <w:tcPr>
                  <w:tcW w:w="672" w:type="pct"/>
                  <w:tcBorders>
                    <w:tl2br w:val="nil"/>
                    <w:tr2bl w:val="nil"/>
                  </w:tcBorders>
                  <w:noWrap w:val="0"/>
                  <w:vAlign w:val="center"/>
                </w:tcPr>
                <w:p w14:paraId="5EB5B1DD">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eastAsia" w:eastAsia="仿宋" w:cs="Times New Roman"/>
                      <w:b w:val="0"/>
                      <w:bCs w:val="0"/>
                      <w:color w:val="auto"/>
                      <w:spacing w:val="-6"/>
                      <w:kern w:val="2"/>
                      <w:sz w:val="21"/>
                      <w:szCs w:val="21"/>
                      <w:highlight w:val="none"/>
                      <w:u w:val="none"/>
                      <w:vertAlign w:val="baseline"/>
                      <w:lang w:val="en-US" w:eastAsia="zh-CN" w:bidi="ar-SA"/>
                    </w:rPr>
                    <w:t>6.65</w:t>
                  </w:r>
                </w:p>
              </w:tc>
              <w:tc>
                <w:tcPr>
                  <w:tcW w:w="691" w:type="pct"/>
                  <w:tcBorders>
                    <w:tl2br w:val="nil"/>
                    <w:tr2bl w:val="nil"/>
                  </w:tcBorders>
                  <w:noWrap w:val="0"/>
                  <w:vAlign w:val="center"/>
                </w:tcPr>
                <w:p w14:paraId="7D00594B">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eastAsia" w:eastAsia="仿宋" w:cs="Times New Roman"/>
                      <w:b w:val="0"/>
                      <w:bCs w:val="0"/>
                      <w:color w:val="auto"/>
                      <w:spacing w:val="-6"/>
                      <w:kern w:val="2"/>
                      <w:sz w:val="21"/>
                      <w:szCs w:val="21"/>
                      <w:highlight w:val="none"/>
                      <w:u w:val="none"/>
                      <w:vertAlign w:val="baseline"/>
                      <w:lang w:val="en-US" w:eastAsia="zh-CN" w:bidi="ar-SA"/>
                    </w:rPr>
                    <w:t>443.34</w:t>
                  </w:r>
                </w:p>
              </w:tc>
              <w:tc>
                <w:tcPr>
                  <w:tcW w:w="414" w:type="pct"/>
                  <w:tcBorders>
                    <w:tl2br w:val="nil"/>
                    <w:tr2bl w:val="nil"/>
                  </w:tcBorders>
                  <w:shd w:val="clear" w:color="auto" w:fill="auto"/>
                  <w:noWrap w:val="0"/>
                  <w:vAlign w:val="center"/>
                </w:tcPr>
                <w:p w14:paraId="613F9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eastAsia" w:eastAsia="仿宋" w:cs="Times New Roman"/>
                      <w:b w:val="0"/>
                      <w:bCs w:val="0"/>
                      <w:color w:val="auto"/>
                      <w:spacing w:val="-6"/>
                      <w:kern w:val="2"/>
                      <w:sz w:val="21"/>
                      <w:szCs w:val="21"/>
                      <w:highlight w:val="none"/>
                      <w:u w:val="none"/>
                      <w:vertAlign w:val="baseline"/>
                      <w:lang w:val="en-US" w:eastAsia="zh-CN" w:bidi="ar-SA"/>
                    </w:rPr>
                    <w:t>1</w:t>
                  </w:r>
                </w:p>
              </w:tc>
              <w:tc>
                <w:tcPr>
                  <w:tcW w:w="404" w:type="pct"/>
                  <w:tcBorders>
                    <w:tl2br w:val="nil"/>
                    <w:tr2bl w:val="nil"/>
                  </w:tcBorders>
                  <w:shd w:val="clear" w:color="auto" w:fill="auto"/>
                  <w:noWrap w:val="0"/>
                  <w:vAlign w:val="center"/>
                </w:tcPr>
                <w:p w14:paraId="1355AA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eastAsia" w:eastAsia="仿宋" w:cs="Times New Roman"/>
                      <w:b w:val="0"/>
                      <w:bCs w:val="0"/>
                      <w:color w:val="auto"/>
                      <w:spacing w:val="-6"/>
                      <w:kern w:val="2"/>
                      <w:sz w:val="21"/>
                      <w:szCs w:val="21"/>
                      <w:highlight w:val="none"/>
                      <w:u w:val="none"/>
                      <w:vertAlign w:val="baseline"/>
                      <w:lang w:val="en-US" w:eastAsia="zh-CN" w:bidi="ar-SA"/>
                    </w:rPr>
                    <w:t>1次</w:t>
                  </w:r>
                </w:p>
              </w:tc>
              <w:tc>
                <w:tcPr>
                  <w:tcW w:w="721" w:type="pct"/>
                  <w:vMerge w:val="restart"/>
                  <w:tcBorders>
                    <w:tl2br w:val="nil"/>
                    <w:tr2bl w:val="nil"/>
                  </w:tcBorders>
                  <w:noWrap w:val="0"/>
                  <w:vAlign w:val="center"/>
                </w:tcPr>
                <w:p w14:paraId="68AE2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定期进行设备维护和保养，废气处理装置出现故障不能短时间恢复时停止生产</w:t>
                  </w:r>
                </w:p>
              </w:tc>
            </w:tr>
            <w:tr w14:paraId="41E50CD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3C6CB0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5AA1FE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restart"/>
                  <w:tcBorders>
                    <w:tl2br w:val="nil"/>
                    <w:tr2bl w:val="nil"/>
                  </w:tcBorders>
                  <w:shd w:val="clear" w:color="auto" w:fill="auto"/>
                  <w:noWrap w:val="0"/>
                  <w:vAlign w:val="center"/>
                </w:tcPr>
                <w:p w14:paraId="4E8C379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22500</w:t>
                  </w:r>
                </w:p>
              </w:tc>
              <w:tc>
                <w:tcPr>
                  <w:tcW w:w="628" w:type="pct"/>
                  <w:tcBorders>
                    <w:tl2br w:val="nil"/>
                    <w:tr2bl w:val="nil"/>
                  </w:tcBorders>
                  <w:shd w:val="clear" w:color="auto" w:fill="auto"/>
                  <w:noWrap w:val="0"/>
                  <w:vAlign w:val="center"/>
                </w:tcPr>
                <w:p w14:paraId="362CE03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仿宋" w:cs="Times New Roman"/>
                      <w:b w:val="0"/>
                      <w:bCs w:val="0"/>
                      <w:snapToGrid w:val="0"/>
                      <w:color w:val="auto"/>
                      <w:spacing w:val="-6"/>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lang w:val="en-US" w:eastAsia="zh-CN"/>
                    </w:rPr>
                    <w:t>非甲烷总烃</w:t>
                  </w:r>
                </w:p>
              </w:tc>
              <w:tc>
                <w:tcPr>
                  <w:tcW w:w="672" w:type="pct"/>
                  <w:tcBorders>
                    <w:tl2br w:val="nil"/>
                    <w:tr2bl w:val="nil"/>
                  </w:tcBorders>
                  <w:shd w:val="clear" w:color="auto" w:fill="auto"/>
                  <w:noWrap w:val="0"/>
                  <w:vAlign w:val="center"/>
                </w:tcPr>
                <w:p w14:paraId="744BDEFE">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0.6332</w:t>
                  </w:r>
                </w:p>
              </w:tc>
              <w:tc>
                <w:tcPr>
                  <w:tcW w:w="691" w:type="pct"/>
                  <w:tcBorders>
                    <w:tl2br w:val="nil"/>
                    <w:tr2bl w:val="nil"/>
                  </w:tcBorders>
                  <w:shd w:val="clear" w:color="auto" w:fill="auto"/>
                  <w:noWrap w:val="0"/>
                  <w:vAlign w:val="center"/>
                </w:tcPr>
                <w:p w14:paraId="7984D882">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28.1422</w:t>
                  </w:r>
                </w:p>
              </w:tc>
              <w:tc>
                <w:tcPr>
                  <w:tcW w:w="414" w:type="pct"/>
                  <w:tcBorders>
                    <w:tl2br w:val="nil"/>
                    <w:tr2bl w:val="nil"/>
                  </w:tcBorders>
                  <w:shd w:val="clear" w:color="auto" w:fill="auto"/>
                  <w:noWrap w:val="0"/>
                  <w:vAlign w:val="center"/>
                </w:tcPr>
                <w:p w14:paraId="71C4C1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448E1F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2B5F80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5EC02AA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25CCA4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30821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noWrap w:val="0"/>
                  <w:vAlign w:val="center"/>
                </w:tcPr>
                <w:p w14:paraId="2FCC908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628" w:type="pct"/>
                  <w:tcBorders>
                    <w:tl2br w:val="nil"/>
                    <w:tr2bl w:val="nil"/>
                  </w:tcBorders>
                  <w:noWrap w:val="0"/>
                  <w:vAlign w:val="center"/>
                </w:tcPr>
                <w:p w14:paraId="567A44A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eastAsia" w:cs="Times New Roman"/>
                      <w:color w:val="auto"/>
                      <w:sz w:val="21"/>
                      <w:szCs w:val="21"/>
                      <w:highlight w:val="none"/>
                      <w:lang w:val="en-US" w:eastAsia="zh-CN"/>
                    </w:rPr>
                    <w:t>TVOC</w:t>
                  </w:r>
                </w:p>
              </w:tc>
              <w:tc>
                <w:tcPr>
                  <w:tcW w:w="672" w:type="pct"/>
                  <w:tcBorders>
                    <w:tl2br w:val="nil"/>
                    <w:tr2bl w:val="nil"/>
                  </w:tcBorders>
                  <w:noWrap w:val="0"/>
                  <w:vAlign w:val="center"/>
                </w:tcPr>
                <w:p w14:paraId="1497918D">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0.6332</w:t>
                  </w:r>
                </w:p>
              </w:tc>
              <w:tc>
                <w:tcPr>
                  <w:tcW w:w="691" w:type="pct"/>
                  <w:tcBorders>
                    <w:tl2br w:val="nil"/>
                    <w:tr2bl w:val="nil"/>
                  </w:tcBorders>
                  <w:noWrap w:val="0"/>
                  <w:vAlign w:val="center"/>
                </w:tcPr>
                <w:p w14:paraId="299FD295">
                  <w:pPr>
                    <w:keepNext w:val="0"/>
                    <w:keepLines w:val="0"/>
                    <w:widowControl/>
                    <w:suppressLineNumbers w:val="0"/>
                    <w:jc w:val="center"/>
                    <w:textAlignment w:val="center"/>
                    <w:rPr>
                      <w:rFonts w:hint="eastAsia"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28.1422</w:t>
                  </w:r>
                </w:p>
              </w:tc>
              <w:tc>
                <w:tcPr>
                  <w:tcW w:w="414" w:type="pct"/>
                  <w:tcBorders>
                    <w:tl2br w:val="nil"/>
                    <w:tr2bl w:val="nil"/>
                  </w:tcBorders>
                  <w:shd w:val="clear" w:color="auto" w:fill="auto"/>
                  <w:noWrap w:val="0"/>
                  <w:vAlign w:val="center"/>
                </w:tcPr>
                <w:p w14:paraId="172F68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03E010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7D497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4A82D41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47AE33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0B672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noWrap w:val="0"/>
                  <w:vAlign w:val="center"/>
                </w:tcPr>
                <w:p w14:paraId="5006672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p>
              </w:tc>
              <w:tc>
                <w:tcPr>
                  <w:tcW w:w="628" w:type="pct"/>
                  <w:tcBorders>
                    <w:tl2br w:val="nil"/>
                    <w:tr2bl w:val="nil"/>
                  </w:tcBorders>
                  <w:noWrap w:val="0"/>
                  <w:vAlign w:val="center"/>
                </w:tcPr>
                <w:p w14:paraId="63D20D5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eastAsia" w:ascii="Times New Roman" w:hAnsi="Times New Roman" w:cs="Times New Roman"/>
                      <w:color w:val="auto"/>
                      <w:sz w:val="21"/>
                      <w:szCs w:val="21"/>
                      <w:highlight w:val="none"/>
                      <w:lang w:val="en-US" w:eastAsia="zh-CN"/>
                    </w:rPr>
                    <w:t>颗粒物</w:t>
                  </w:r>
                </w:p>
              </w:tc>
              <w:tc>
                <w:tcPr>
                  <w:tcW w:w="672" w:type="pct"/>
                  <w:tcBorders>
                    <w:tl2br w:val="nil"/>
                    <w:tr2bl w:val="nil"/>
                  </w:tcBorders>
                  <w:noWrap w:val="0"/>
                  <w:vAlign w:val="center"/>
                </w:tcPr>
                <w:p w14:paraId="0BF5FD13">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0.0129</w:t>
                  </w:r>
                </w:p>
              </w:tc>
              <w:tc>
                <w:tcPr>
                  <w:tcW w:w="691" w:type="pct"/>
                  <w:tcBorders>
                    <w:tl2br w:val="nil"/>
                    <w:tr2bl w:val="nil"/>
                  </w:tcBorders>
                  <w:noWrap w:val="0"/>
                  <w:vAlign w:val="center"/>
                </w:tcPr>
                <w:p w14:paraId="10F6C08B">
                  <w:pPr>
                    <w:keepNext w:val="0"/>
                    <w:keepLines w:val="0"/>
                    <w:widowControl/>
                    <w:suppressLineNumbers w:val="0"/>
                    <w:jc w:val="center"/>
                    <w:textAlignment w:val="center"/>
                    <w:rPr>
                      <w:rFonts w:hint="default"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0.5733</w:t>
                  </w:r>
                </w:p>
              </w:tc>
              <w:tc>
                <w:tcPr>
                  <w:tcW w:w="414" w:type="pct"/>
                  <w:tcBorders>
                    <w:tl2br w:val="nil"/>
                    <w:tr2bl w:val="nil"/>
                  </w:tcBorders>
                  <w:shd w:val="clear" w:color="auto" w:fill="auto"/>
                  <w:noWrap w:val="0"/>
                  <w:vAlign w:val="center"/>
                </w:tcPr>
                <w:p w14:paraId="7F6C7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589482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4F18F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457B1A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69455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7ED35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noWrap w:val="0"/>
                  <w:vAlign w:val="center"/>
                </w:tcPr>
                <w:p w14:paraId="34147061">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p>
              </w:tc>
              <w:tc>
                <w:tcPr>
                  <w:tcW w:w="628" w:type="pct"/>
                  <w:tcBorders>
                    <w:tl2br w:val="nil"/>
                    <w:tr2bl w:val="nil"/>
                  </w:tcBorders>
                  <w:noWrap w:val="0"/>
                  <w:vAlign w:val="center"/>
                </w:tcPr>
                <w:p w14:paraId="168F05C1">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eastAsia="仿宋" w:cs="Times New Roman"/>
                      <w:color w:val="auto"/>
                      <w:sz w:val="21"/>
                      <w:szCs w:val="21"/>
                      <w:lang w:val="en-US" w:eastAsia="zh-CN"/>
                    </w:rPr>
                    <w:t>SO</w:t>
                  </w:r>
                  <w:r>
                    <w:rPr>
                      <w:rFonts w:hint="default" w:eastAsia="仿宋" w:cs="Times New Roman"/>
                      <w:color w:val="auto"/>
                      <w:sz w:val="21"/>
                      <w:szCs w:val="21"/>
                      <w:vertAlign w:val="subscript"/>
                      <w:lang w:val="en-US" w:eastAsia="zh-CN"/>
                    </w:rPr>
                    <w:t>2</w:t>
                  </w:r>
                </w:p>
              </w:tc>
              <w:tc>
                <w:tcPr>
                  <w:tcW w:w="672" w:type="pct"/>
                  <w:tcBorders>
                    <w:tl2br w:val="nil"/>
                    <w:tr2bl w:val="nil"/>
                  </w:tcBorders>
                  <w:noWrap w:val="0"/>
                  <w:vAlign w:val="center"/>
                </w:tcPr>
                <w:p w14:paraId="1AA263F7">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691" w:type="pct"/>
                  <w:tcBorders>
                    <w:tl2br w:val="nil"/>
                    <w:tr2bl w:val="nil"/>
                  </w:tcBorders>
                  <w:noWrap w:val="0"/>
                  <w:vAlign w:val="center"/>
                </w:tcPr>
                <w:p w14:paraId="50C4A1FD">
                  <w:pPr>
                    <w:keepNext w:val="0"/>
                    <w:keepLines w:val="0"/>
                    <w:widowControl/>
                    <w:suppressLineNumbers w:val="0"/>
                    <w:jc w:val="center"/>
                    <w:textAlignment w:val="center"/>
                    <w:rPr>
                      <w:rFonts w:hint="eastAsia"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w:t>
                  </w:r>
                </w:p>
              </w:tc>
              <w:tc>
                <w:tcPr>
                  <w:tcW w:w="414" w:type="pct"/>
                  <w:tcBorders>
                    <w:tl2br w:val="nil"/>
                    <w:tr2bl w:val="nil"/>
                  </w:tcBorders>
                  <w:shd w:val="clear" w:color="auto" w:fill="auto"/>
                  <w:noWrap w:val="0"/>
                  <w:vAlign w:val="center"/>
                </w:tcPr>
                <w:p w14:paraId="1A8C5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02CDAD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240B3A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2E37A9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0AAA86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6D989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noWrap w:val="0"/>
                  <w:vAlign w:val="center"/>
                </w:tcPr>
                <w:p w14:paraId="2849F92A">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eastAsia="仿宋" w:cs="Times New Roman"/>
                      <w:color w:val="auto"/>
                      <w:sz w:val="21"/>
                      <w:szCs w:val="21"/>
                      <w:lang w:val="en-US" w:eastAsia="zh-CN"/>
                    </w:rPr>
                  </w:pPr>
                </w:p>
              </w:tc>
              <w:tc>
                <w:tcPr>
                  <w:tcW w:w="628" w:type="pct"/>
                  <w:tcBorders>
                    <w:tl2br w:val="nil"/>
                    <w:tr2bl w:val="nil"/>
                  </w:tcBorders>
                  <w:noWrap w:val="0"/>
                  <w:vAlign w:val="center"/>
                </w:tcPr>
                <w:p w14:paraId="207E9FA1">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eastAsia="仿宋" w:cs="Times New Roman"/>
                      <w:color w:val="auto"/>
                      <w:sz w:val="21"/>
                      <w:szCs w:val="21"/>
                      <w:lang w:val="en-US" w:eastAsia="zh-CN"/>
                    </w:rPr>
                    <w:t>NOx</w:t>
                  </w:r>
                </w:p>
              </w:tc>
              <w:tc>
                <w:tcPr>
                  <w:tcW w:w="672" w:type="pct"/>
                  <w:tcBorders>
                    <w:tl2br w:val="nil"/>
                    <w:tr2bl w:val="nil"/>
                  </w:tcBorders>
                  <w:noWrap w:val="0"/>
                  <w:vAlign w:val="center"/>
                </w:tcPr>
                <w:p w14:paraId="4E1E72CA">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0.0841</w:t>
                  </w:r>
                </w:p>
              </w:tc>
              <w:tc>
                <w:tcPr>
                  <w:tcW w:w="691" w:type="pct"/>
                  <w:tcBorders>
                    <w:tl2br w:val="nil"/>
                    <w:tr2bl w:val="nil"/>
                  </w:tcBorders>
                  <w:noWrap w:val="0"/>
                  <w:vAlign w:val="center"/>
                </w:tcPr>
                <w:p w14:paraId="4B6B54C0">
                  <w:pPr>
                    <w:keepNext w:val="0"/>
                    <w:keepLines w:val="0"/>
                    <w:widowControl/>
                    <w:suppressLineNumbers w:val="0"/>
                    <w:jc w:val="center"/>
                    <w:textAlignment w:val="center"/>
                    <w:rPr>
                      <w:rFonts w:hint="eastAsia"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3.7378</w:t>
                  </w:r>
                </w:p>
              </w:tc>
              <w:tc>
                <w:tcPr>
                  <w:tcW w:w="414" w:type="pct"/>
                  <w:tcBorders>
                    <w:tl2br w:val="nil"/>
                    <w:tr2bl w:val="nil"/>
                  </w:tcBorders>
                  <w:shd w:val="clear" w:color="auto" w:fill="auto"/>
                  <w:noWrap w:val="0"/>
                  <w:vAlign w:val="center"/>
                </w:tcPr>
                <w:p w14:paraId="543A60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2F101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29B01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7DD13CB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66262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1A1E6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shd w:val="clear" w:color="auto" w:fill="auto"/>
                  <w:noWrap w:val="0"/>
                  <w:vAlign w:val="center"/>
                </w:tcPr>
                <w:p w14:paraId="1F00B012">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eastAsia="仿宋" w:cs="Times New Roman"/>
                      <w:color w:val="auto"/>
                      <w:sz w:val="21"/>
                      <w:szCs w:val="21"/>
                      <w:lang w:val="en-US" w:eastAsia="zh-CN"/>
                    </w:rPr>
                  </w:pPr>
                </w:p>
              </w:tc>
              <w:tc>
                <w:tcPr>
                  <w:tcW w:w="628" w:type="pct"/>
                  <w:tcBorders>
                    <w:tl2br w:val="nil"/>
                    <w:tr2bl w:val="nil"/>
                  </w:tcBorders>
                  <w:shd w:val="clear" w:color="auto" w:fill="auto"/>
                  <w:noWrap w:val="0"/>
                  <w:vAlign w:val="center"/>
                </w:tcPr>
                <w:p w14:paraId="71627CEE">
                  <w:pPr>
                    <w:pStyle w:val="31"/>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eastAsia="仿宋" w:cs="Times New Roman"/>
                      <w:b w:val="0"/>
                      <w:bCs w:val="0"/>
                      <w:color w:val="auto"/>
                      <w:spacing w:val="-6"/>
                      <w:kern w:val="0"/>
                      <w:sz w:val="21"/>
                      <w:szCs w:val="21"/>
                      <w:highlight w:val="none"/>
                      <w:u w:val="none"/>
                      <w:vertAlign w:val="baseline"/>
                      <w:lang w:val="en-US" w:eastAsia="zh-CN" w:bidi="ar-SA"/>
                    </w:rPr>
                  </w:pPr>
                  <w:r>
                    <w:rPr>
                      <w:rFonts w:hint="eastAsia" w:eastAsia="仿宋" w:cs="Times New Roman"/>
                      <w:color w:val="auto"/>
                      <w:sz w:val="21"/>
                      <w:szCs w:val="21"/>
                      <w:lang w:val="en-US" w:eastAsia="zh-CN"/>
                    </w:rPr>
                    <w:t>硫酸雾</w:t>
                  </w:r>
                </w:p>
              </w:tc>
              <w:tc>
                <w:tcPr>
                  <w:tcW w:w="672" w:type="pct"/>
                  <w:tcBorders>
                    <w:tl2br w:val="nil"/>
                    <w:tr2bl w:val="nil"/>
                  </w:tcBorders>
                  <w:shd w:val="clear" w:color="auto" w:fill="auto"/>
                  <w:noWrap w:val="0"/>
                  <w:vAlign w:val="center"/>
                </w:tcPr>
                <w:p w14:paraId="65FE4C5D">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0.034</w:t>
                  </w:r>
                </w:p>
              </w:tc>
              <w:tc>
                <w:tcPr>
                  <w:tcW w:w="691" w:type="pct"/>
                  <w:tcBorders>
                    <w:tl2br w:val="nil"/>
                    <w:tr2bl w:val="nil"/>
                  </w:tcBorders>
                  <w:shd w:val="clear" w:color="auto" w:fill="auto"/>
                  <w:noWrap w:val="0"/>
                  <w:vAlign w:val="center"/>
                </w:tcPr>
                <w:p w14:paraId="46B9F1F4">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1.5111</w:t>
                  </w:r>
                </w:p>
              </w:tc>
              <w:tc>
                <w:tcPr>
                  <w:tcW w:w="414" w:type="pct"/>
                  <w:tcBorders>
                    <w:tl2br w:val="nil"/>
                    <w:tr2bl w:val="nil"/>
                  </w:tcBorders>
                  <w:shd w:val="clear" w:color="auto" w:fill="auto"/>
                  <w:noWrap w:val="0"/>
                  <w:vAlign w:val="center"/>
                </w:tcPr>
                <w:p w14:paraId="5934D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w:t>
                  </w:r>
                </w:p>
              </w:tc>
              <w:tc>
                <w:tcPr>
                  <w:tcW w:w="404" w:type="pct"/>
                  <w:tcBorders>
                    <w:tl2br w:val="nil"/>
                    <w:tr2bl w:val="nil"/>
                  </w:tcBorders>
                  <w:shd w:val="clear" w:color="auto" w:fill="auto"/>
                  <w:noWrap w:val="0"/>
                  <w:vAlign w:val="center"/>
                </w:tcPr>
                <w:p w14:paraId="7D694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仿宋" w:cs="Times New Roman"/>
                      <w:b w:val="0"/>
                      <w:bCs w:val="0"/>
                      <w:color w:val="auto"/>
                      <w:spacing w:val="-6"/>
                      <w:sz w:val="21"/>
                      <w:szCs w:val="21"/>
                      <w:highlight w:val="none"/>
                      <w:u w:val="none"/>
                      <w:vertAlign w:val="baseline"/>
                      <w:lang w:val="en-US" w:eastAsia="zh-CN"/>
                    </w:rPr>
                    <w:t>1次</w:t>
                  </w:r>
                </w:p>
              </w:tc>
              <w:tc>
                <w:tcPr>
                  <w:tcW w:w="721" w:type="pct"/>
                  <w:vMerge w:val="continue"/>
                  <w:tcBorders>
                    <w:tl2br w:val="nil"/>
                    <w:tr2bl w:val="nil"/>
                  </w:tcBorders>
                  <w:noWrap w:val="0"/>
                  <w:vAlign w:val="center"/>
                </w:tcPr>
                <w:p w14:paraId="5E8AA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r w14:paraId="22ABC0A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vMerge w:val="continue"/>
                  <w:tcBorders>
                    <w:tl2br w:val="nil"/>
                    <w:tr2bl w:val="nil"/>
                  </w:tcBorders>
                  <w:noWrap w:val="0"/>
                  <w:vAlign w:val="center"/>
                </w:tcPr>
                <w:p w14:paraId="35AA7A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p>
              </w:tc>
              <w:tc>
                <w:tcPr>
                  <w:tcW w:w="582" w:type="pct"/>
                  <w:vMerge w:val="continue"/>
                  <w:tcBorders>
                    <w:tl2br w:val="nil"/>
                    <w:tr2bl w:val="nil"/>
                  </w:tcBorders>
                  <w:noWrap w:val="0"/>
                  <w:vAlign w:val="center"/>
                </w:tcPr>
                <w:p w14:paraId="159FD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c>
                <w:tcPr>
                  <w:tcW w:w="437" w:type="pct"/>
                  <w:vMerge w:val="continue"/>
                  <w:tcBorders>
                    <w:tl2br w:val="nil"/>
                    <w:tr2bl w:val="nil"/>
                  </w:tcBorders>
                  <w:noWrap w:val="0"/>
                  <w:vAlign w:val="center"/>
                </w:tcPr>
                <w:p w14:paraId="5E538DA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628" w:type="pct"/>
                  <w:tcBorders>
                    <w:tl2br w:val="nil"/>
                    <w:tr2bl w:val="nil"/>
                  </w:tcBorders>
                  <w:noWrap w:val="0"/>
                  <w:vAlign w:val="center"/>
                </w:tcPr>
                <w:p w14:paraId="4FD3D3B5">
                  <w:pPr>
                    <w:keepNext w:val="0"/>
                    <w:keepLines w:val="0"/>
                    <w:widowControl/>
                    <w:suppressLineNumbers w:val="0"/>
                    <w:jc w:val="center"/>
                    <w:textAlignment w:val="center"/>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eastAsia" w:ascii="仿宋" w:hAnsi="仿宋" w:eastAsia="仿宋" w:cs="仿宋"/>
                      <w:i w:val="0"/>
                      <w:iCs w:val="0"/>
                      <w:color w:val="auto"/>
                      <w:kern w:val="0"/>
                      <w:sz w:val="21"/>
                      <w:szCs w:val="21"/>
                      <w:u w:val="none"/>
                      <w:lang w:val="en-US" w:eastAsia="zh-CN" w:bidi="ar"/>
                    </w:rPr>
                    <w:t>氯化氢</w:t>
                  </w:r>
                </w:p>
              </w:tc>
              <w:tc>
                <w:tcPr>
                  <w:tcW w:w="672" w:type="pct"/>
                  <w:tcBorders>
                    <w:tl2br w:val="nil"/>
                    <w:tr2bl w:val="nil"/>
                  </w:tcBorders>
                  <w:noWrap w:val="0"/>
                  <w:vAlign w:val="center"/>
                </w:tcPr>
                <w:p w14:paraId="68855BBF">
                  <w:pPr>
                    <w:keepNext w:val="0"/>
                    <w:keepLines w:val="0"/>
                    <w:widowControl/>
                    <w:suppressLineNumbers w:val="0"/>
                    <w:jc w:val="center"/>
                    <w:textAlignment w:val="center"/>
                    <w:rPr>
                      <w:rFonts w:hint="default" w:ascii="Times New Roman" w:hAnsi="Times New Roman"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0.0213</w:t>
                  </w:r>
                </w:p>
              </w:tc>
              <w:tc>
                <w:tcPr>
                  <w:tcW w:w="691" w:type="pct"/>
                  <w:tcBorders>
                    <w:tl2br w:val="nil"/>
                    <w:tr2bl w:val="nil"/>
                  </w:tcBorders>
                  <w:noWrap w:val="0"/>
                  <w:vAlign w:val="center"/>
                </w:tcPr>
                <w:p w14:paraId="0516A230">
                  <w:pPr>
                    <w:keepNext w:val="0"/>
                    <w:keepLines w:val="0"/>
                    <w:widowControl/>
                    <w:suppressLineNumbers w:val="0"/>
                    <w:jc w:val="center"/>
                    <w:textAlignment w:val="center"/>
                    <w:rPr>
                      <w:rFonts w:hint="eastAsia" w:eastAsia="仿宋" w:cs="Times New Roman"/>
                      <w:b w:val="0"/>
                      <w:bCs w:val="0"/>
                      <w:color w:val="auto"/>
                      <w:spacing w:val="-6"/>
                      <w:kern w:val="2"/>
                      <w:sz w:val="21"/>
                      <w:szCs w:val="21"/>
                      <w:highlight w:val="none"/>
                      <w:u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0.9467</w:t>
                  </w:r>
                </w:p>
              </w:tc>
              <w:tc>
                <w:tcPr>
                  <w:tcW w:w="414" w:type="pct"/>
                  <w:tcBorders>
                    <w:tl2br w:val="nil"/>
                    <w:tr2bl w:val="nil"/>
                  </w:tcBorders>
                  <w:shd w:val="clear" w:color="auto" w:fill="auto"/>
                  <w:noWrap w:val="0"/>
                  <w:vAlign w:val="center"/>
                </w:tcPr>
                <w:p w14:paraId="665DB411">
                  <w:pPr>
                    <w:keepNext w:val="0"/>
                    <w:keepLines w:val="0"/>
                    <w:widowControl/>
                    <w:suppressLineNumbers w:val="0"/>
                    <w:jc w:val="center"/>
                    <w:textAlignment w:val="center"/>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404" w:type="pct"/>
                  <w:tcBorders>
                    <w:tl2br w:val="nil"/>
                    <w:tr2bl w:val="nil"/>
                  </w:tcBorders>
                  <w:shd w:val="clear" w:color="auto" w:fill="auto"/>
                  <w:noWrap w:val="0"/>
                  <w:vAlign w:val="center"/>
                </w:tcPr>
                <w:p w14:paraId="1E089A39">
                  <w:pPr>
                    <w:keepNext w:val="0"/>
                    <w:keepLines w:val="0"/>
                    <w:widowControl/>
                    <w:suppressLineNumbers w:val="0"/>
                    <w:jc w:val="center"/>
                    <w:textAlignment w:val="center"/>
                    <w:rPr>
                      <w:rFonts w:hint="default" w:ascii="Times New Roman" w:hAnsi="Times New Roman" w:eastAsia="仿宋" w:cs="Times New Roman"/>
                      <w:b w:val="0"/>
                      <w:bCs w:val="0"/>
                      <w:color w:val="auto"/>
                      <w:spacing w:val="-6"/>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仿宋" w:hAnsi="仿宋" w:eastAsia="仿宋" w:cs="仿宋"/>
                      <w:i w:val="0"/>
                      <w:iCs w:val="0"/>
                      <w:color w:val="auto"/>
                      <w:kern w:val="0"/>
                      <w:sz w:val="21"/>
                      <w:szCs w:val="21"/>
                      <w:u w:val="none"/>
                      <w:lang w:val="en-US" w:eastAsia="zh-CN" w:bidi="ar"/>
                    </w:rPr>
                    <w:t>次</w:t>
                  </w:r>
                </w:p>
              </w:tc>
              <w:tc>
                <w:tcPr>
                  <w:tcW w:w="721" w:type="pct"/>
                  <w:vMerge w:val="continue"/>
                  <w:tcBorders>
                    <w:tl2br w:val="nil"/>
                    <w:tr2bl w:val="nil"/>
                  </w:tcBorders>
                  <w:noWrap w:val="0"/>
                  <w:vAlign w:val="center"/>
                </w:tcPr>
                <w:p w14:paraId="74C643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val="0"/>
                      <w:bCs w:val="0"/>
                      <w:color w:val="auto"/>
                      <w:spacing w:val="-6"/>
                      <w:sz w:val="21"/>
                      <w:szCs w:val="21"/>
                      <w:highlight w:val="none"/>
                      <w:u w:val="none"/>
                      <w:vertAlign w:val="baseline"/>
                      <w:lang w:val="en-US" w:eastAsia="zh-CN"/>
                    </w:rPr>
                  </w:pPr>
                </w:p>
              </w:tc>
            </w:tr>
          </w:tbl>
          <w:p w14:paraId="598D7EC1">
            <w:pPr>
              <w:pStyle w:val="19"/>
              <w:keepNext w:val="0"/>
              <w:keepLines w:val="0"/>
              <w:pageBreakBefore w:val="0"/>
              <w:widowControl w:val="0"/>
              <w:kinsoku/>
              <w:wordWrap/>
              <w:overflowPunct/>
              <w:topLinePunct w:val="0"/>
              <w:bidi w:val="0"/>
              <w:snapToGrid/>
              <w:spacing w:after="0" w:line="360" w:lineRule="auto"/>
              <w:ind w:left="0" w:leftChars="0" w:firstLine="480" w:firstLineChars="200"/>
              <w:rPr>
                <w:rFonts w:hint="eastAsia" w:ascii="Times New Roman" w:hAnsi="Times New Roman" w:eastAsia="宋体" w:cs="Times New Roman"/>
                <w:b/>
                <w:bCs/>
                <w:color w:val="auto"/>
                <w:sz w:val="24"/>
                <w:szCs w:val="24"/>
                <w:highlight w:val="none"/>
                <w:lang w:eastAsia="zh-CN"/>
              </w:rPr>
            </w:pPr>
            <w:r>
              <w:rPr>
                <w:rFonts w:ascii="Times New Roman" w:hAnsi="Times New Roman" w:cs="Times New Roman"/>
                <w:color w:val="auto"/>
                <w:kern w:val="2"/>
                <w:sz w:val="24"/>
                <w:szCs w:val="24"/>
                <w:highlight w:val="none"/>
              </w:rPr>
              <w:t>为确保项目废气处理装置正常运行，建设方在日常运行过程中，建议采取如下措施：①由公司委派专人负责每日巡检各废气处理装置</w:t>
            </w:r>
            <w:r>
              <w:rPr>
                <w:rFonts w:hint="eastAsia" w:ascii="Times New Roman" w:hAnsi="Times New Roman" w:cs="Times New Roman"/>
                <w:color w:val="auto"/>
                <w:kern w:val="2"/>
                <w:sz w:val="24"/>
                <w:szCs w:val="24"/>
                <w:highlight w:val="none"/>
              </w:rPr>
              <w:t>；②</w:t>
            </w:r>
            <w:r>
              <w:rPr>
                <w:rFonts w:ascii="Times New Roman" w:hAnsi="Times New Roman" w:cs="Times New Roman"/>
                <w:color w:val="auto"/>
                <w:kern w:val="2"/>
                <w:sz w:val="24"/>
                <w:szCs w:val="24"/>
                <w:highlight w:val="none"/>
              </w:rPr>
              <w:t>建立废气处理装置运行管理台账，由专人负责记录。</w:t>
            </w:r>
          </w:p>
          <w:p w14:paraId="18E29300">
            <w:pPr>
              <w:pStyle w:val="19"/>
              <w:keepNext w:val="0"/>
              <w:keepLines w:val="0"/>
              <w:pageBreakBefore w:val="0"/>
              <w:widowControl w:val="0"/>
              <w:kinsoku/>
              <w:wordWrap/>
              <w:overflowPunct/>
              <w:topLinePunct w:val="0"/>
              <w:bidi w:val="0"/>
              <w:snapToGrid/>
              <w:spacing w:after="0" w:line="360" w:lineRule="auto"/>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w:t>
            </w:r>
            <w:r>
              <w:rPr>
                <w:rFonts w:hint="eastAsia" w:cs="Times New Roman"/>
                <w:b/>
                <w:bCs/>
                <w:color w:val="auto"/>
                <w:sz w:val="24"/>
                <w:szCs w:val="24"/>
                <w:highlight w:val="none"/>
                <w:lang w:val="en-US" w:eastAsia="zh-CN"/>
              </w:rPr>
              <w:t xml:space="preserve">6  </w:t>
            </w:r>
            <w:r>
              <w:rPr>
                <w:rFonts w:hint="default" w:ascii="Times New Roman" w:hAnsi="Times New Roman" w:eastAsia="宋体" w:cs="Times New Roman"/>
                <w:b/>
                <w:bCs/>
                <w:color w:val="auto"/>
                <w:sz w:val="24"/>
                <w:szCs w:val="24"/>
                <w:highlight w:val="none"/>
              </w:rPr>
              <w:t>废气</w:t>
            </w:r>
            <w:r>
              <w:rPr>
                <w:rFonts w:hint="eastAsia" w:ascii="Times New Roman" w:hAnsi="Times New Roman" w:eastAsia="宋体" w:cs="Times New Roman"/>
                <w:b/>
                <w:bCs/>
                <w:color w:val="auto"/>
                <w:sz w:val="24"/>
                <w:szCs w:val="24"/>
                <w:highlight w:val="none"/>
                <w:lang w:val="en-US" w:eastAsia="zh-CN"/>
              </w:rPr>
              <w:t>处理措施可行性分析</w:t>
            </w:r>
          </w:p>
          <w:p w14:paraId="007E9E8A">
            <w:pPr>
              <w:pStyle w:val="35"/>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（1）废气治理流程</w:t>
            </w:r>
          </w:p>
          <w:p w14:paraId="445E9EE4">
            <w:pPr>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项目废气处理工艺流程如下图所示：</w:t>
            </w:r>
          </w:p>
          <w:p w14:paraId="129EC8FC">
            <w:pPr>
              <w:pStyle w:val="2"/>
              <w:jc w:val="center"/>
              <w:rPr>
                <w:rFonts w:hint="eastAsia"/>
                <w:color w:val="auto"/>
                <w:lang w:val="en-US" w:eastAsia="zh-CN"/>
              </w:rPr>
            </w:pPr>
            <w:r>
              <w:rPr>
                <w:rFonts w:hint="eastAsia"/>
                <w:color w:val="auto"/>
                <w:lang w:val="en-US" w:eastAsia="zh-CN"/>
              </w:rPr>
              <w:object>
                <v:shape id="_x0000_i1035" o:spt="75" type="#_x0000_t75" style="height:370.5pt;width:429.4pt;" o:ole="t" filled="f" o:preferrelative="t" stroked="f" coordsize="21600,21600">
                  <v:path/>
                  <v:fill on="f" focussize="0,0"/>
                  <v:stroke on="f"/>
                  <v:imagedata r:id="rId31" o:title=""/>
                  <o:lock v:ext="edit" aspectratio="f"/>
                  <w10:wrap type="none"/>
                  <w10:anchorlock/>
                </v:shape>
                <o:OLEObject Type="Embed" ProgID="Visio.Drawing.15" ShapeID="_x0000_i1035" DrawAspect="Content" ObjectID="_1468075735" r:id="rId30">
                  <o:LockedField>false</o:LockedField>
                </o:OLEObject>
              </w:object>
            </w:r>
          </w:p>
          <w:p w14:paraId="0602ECF0">
            <w:pPr>
              <w:pStyle w:val="7"/>
              <w:ind w:left="0" w:leftChars="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图4-1  项目废气治理工艺流程图</w:t>
            </w:r>
          </w:p>
          <w:p w14:paraId="6E81A9DD">
            <w:pPr>
              <w:keepNext w:val="0"/>
              <w:keepLines w:val="0"/>
              <w:pageBreakBefore w:val="0"/>
              <w:widowControl w:val="0"/>
              <w:numPr>
                <w:ilvl w:val="-1"/>
                <w:numId w:val="0"/>
              </w:numPr>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sz w:val="24"/>
                <w:highlight w:val="none"/>
                <w:lang w:val="en-US" w:eastAsia="zh-CN"/>
              </w:rPr>
              <w:t>废气风量可行性分析</w:t>
            </w:r>
          </w:p>
          <w:p w14:paraId="010511A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根据《废气处理工程技术手册》（王纯、张殿印主编，化学工业出版社，2013版）</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上部伞型集气罩侧面无围挡时，计算公式如下：</w:t>
            </w:r>
          </w:p>
          <w:p w14:paraId="0A9FCC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cs="Times New Roman"/>
                <w:color w:val="auto"/>
                <w:sz w:val="24"/>
                <w:szCs w:val="24"/>
                <w:highlight w:val="none"/>
                <w:lang w:val="en-US" w:eastAsia="zh-CN"/>
              </w:rPr>
              <w:t>1.4pH</w:t>
            </w:r>
            <w:r>
              <w:rPr>
                <w:rFonts w:hint="default" w:ascii="Times New Roman" w:hAnsi="Times New Roman" w:eastAsia="宋体" w:cs="Times New Roman"/>
                <w:color w:val="auto"/>
                <w:sz w:val="24"/>
                <w:szCs w:val="24"/>
                <w:highlight w:val="none"/>
                <w:lang w:val="en-US" w:eastAsia="zh-CN"/>
              </w:rPr>
              <w:t>Vx</w:t>
            </w:r>
          </w:p>
          <w:p w14:paraId="151C9B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3A92E251">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Q——集气罩的风量，m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/h；</w:t>
            </w:r>
          </w:p>
          <w:p w14:paraId="63ADBE20">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p——集气罩口的周长，m；</w:t>
            </w:r>
          </w:p>
          <w:p w14:paraId="1EBBB2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H——集气罩口至污染源的距离，m；</w:t>
            </w:r>
          </w:p>
          <w:p w14:paraId="4DD19F0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V</w:t>
            </w:r>
            <w:r>
              <w:rPr>
                <w:rFonts w:hint="default" w:ascii="Times New Roman" w:hAnsi="Times New Roman" w:eastAsia="宋体" w:cs="Times New Roman"/>
                <w:bCs/>
                <w:color w:val="auto"/>
                <w:sz w:val="24"/>
                <w:szCs w:val="24"/>
                <w:highlight w:val="none"/>
                <w:lang w:val="en-US" w:eastAsia="zh-CN"/>
              </w:rPr>
              <w:t>x——污染源气体流速，</w:t>
            </w:r>
            <w:r>
              <w:rPr>
                <w:rFonts w:hint="eastAsia" w:ascii="Times New Roman" w:hAnsi="Times New Roman" w:eastAsia="宋体" w:cs="Times New Roman"/>
                <w:bCs/>
                <w:color w:val="auto"/>
                <w:sz w:val="24"/>
                <w:szCs w:val="24"/>
                <w:highlight w:val="none"/>
                <w:lang w:val="en-US" w:eastAsia="zh-CN"/>
              </w:rPr>
              <w:t>V</w:t>
            </w:r>
            <w:r>
              <w:rPr>
                <w:rFonts w:hint="default" w:ascii="Times New Roman" w:hAnsi="Times New Roman" w:eastAsia="宋体" w:cs="Times New Roman"/>
                <w:bCs/>
                <w:color w:val="auto"/>
                <w:sz w:val="24"/>
                <w:szCs w:val="24"/>
                <w:highlight w:val="none"/>
                <w:lang w:val="en-US" w:eastAsia="zh-CN"/>
              </w:rPr>
              <w:t>x=0.2~2.5m/s。本项目取0.</w:t>
            </w:r>
            <w:r>
              <w:rPr>
                <w:rFonts w:hint="eastAsia"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m/s。</w:t>
            </w:r>
          </w:p>
          <w:p w14:paraId="642FC1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本项目低温烘道设置2个集气罩</w:t>
            </w:r>
            <w:r>
              <w:rPr>
                <w:rFonts w:hint="eastAsia" w:cs="Times New Roman"/>
                <w:bCs/>
                <w:color w:val="auto"/>
                <w:sz w:val="24"/>
                <w:szCs w:val="24"/>
                <w:highlight w:val="none"/>
                <w:lang w:val="en-US" w:eastAsia="zh-CN"/>
              </w:rPr>
              <w:t>，烘道出入口</w:t>
            </w:r>
            <w:r>
              <w:rPr>
                <w:rFonts w:hint="eastAsia" w:ascii="Times New Roman" w:hAnsi="Times New Roman" w:eastAsia="宋体" w:cs="Times New Roman"/>
                <w:bCs/>
                <w:color w:val="auto"/>
                <w:sz w:val="24"/>
                <w:szCs w:val="24"/>
                <w:highlight w:val="none"/>
                <w:lang w:val="en-US" w:eastAsia="zh-CN"/>
              </w:rPr>
              <w:t>上方均设置</w:t>
            </w:r>
            <w:r>
              <w:rPr>
                <w:rFonts w:hint="default" w:ascii="Times New Roman" w:hAnsi="Times New Roman" w:eastAsia="宋体" w:cs="Times New Roman"/>
                <w:bCs/>
                <w:color w:val="auto"/>
                <w:sz w:val="24"/>
                <w:szCs w:val="24"/>
                <w:highlight w:val="none"/>
                <w:lang w:val="en-US" w:eastAsia="zh-Hans"/>
              </w:rPr>
              <w:t>尺寸</w:t>
            </w:r>
            <w:r>
              <w:rPr>
                <w:rFonts w:hint="eastAsia" w:ascii="Times New Roman" w:hAnsi="Times New Roman" w:eastAsia="宋体" w:cs="Times New Roman"/>
                <w:bCs/>
                <w:color w:val="auto"/>
                <w:sz w:val="24"/>
                <w:szCs w:val="24"/>
                <w:highlight w:val="none"/>
                <w:lang w:val="en-US" w:eastAsia="zh-CN"/>
              </w:rPr>
              <w:t>为80cm</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80</w:t>
            </w:r>
            <w:r>
              <w:rPr>
                <w:rFonts w:hint="default" w:ascii="Times New Roman" w:hAnsi="Times New Roman" w:eastAsia="宋体" w:cs="Times New Roman"/>
                <w:bCs/>
                <w:color w:val="auto"/>
                <w:sz w:val="24"/>
                <w:szCs w:val="24"/>
                <w:highlight w:val="none"/>
                <w:lang w:val="en-US" w:eastAsia="zh-CN"/>
              </w:rPr>
              <w:t>cm</w:t>
            </w:r>
            <w:r>
              <w:rPr>
                <w:rFonts w:hint="eastAsia" w:ascii="Times New Roman" w:hAnsi="Times New Roman" w:eastAsia="宋体" w:cs="Times New Roman"/>
                <w:bCs/>
                <w:color w:val="auto"/>
                <w:sz w:val="24"/>
                <w:szCs w:val="24"/>
                <w:highlight w:val="none"/>
                <w:lang w:val="en-US" w:eastAsia="zh-CN"/>
              </w:rPr>
              <w:t>的集气罩收集废气，每个集气罩设计风速按0.5m/s，集气罩至污染源的距离为0.2m，则每个集气罩风量为1612.8m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/h，则2个集气罩风量为</w:t>
            </w:r>
            <w:r>
              <w:rPr>
                <w:rFonts w:hint="eastAsia" w:cs="Times New Roman"/>
                <w:bCs/>
                <w:color w:val="auto"/>
                <w:sz w:val="24"/>
                <w:szCs w:val="24"/>
                <w:highlight w:val="none"/>
                <w:lang w:val="en-US" w:eastAsia="zh-CN"/>
              </w:rPr>
              <w:t>3225.6</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/h。考虑到阻力损失等损失因素，设计风量以1.2倍计算，则为3</w:t>
            </w:r>
            <w:r>
              <w:rPr>
                <w:rFonts w:hint="eastAsia" w:cs="Times New Roman"/>
                <w:bCs/>
                <w:color w:val="auto"/>
                <w:sz w:val="24"/>
                <w:szCs w:val="24"/>
                <w:highlight w:val="none"/>
                <w:lang w:val="en-US" w:eastAsia="zh-CN"/>
              </w:rPr>
              <w:t>970.72</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/h，取整数则为3</w:t>
            </w:r>
            <w:r>
              <w:rPr>
                <w:rFonts w:hint="eastAsia" w:cs="Times New Roman"/>
                <w:bCs/>
                <w:color w:val="auto"/>
                <w:sz w:val="24"/>
                <w:szCs w:val="24"/>
                <w:highlight w:val="none"/>
                <w:lang w:val="en-US" w:eastAsia="zh-CN"/>
              </w:rPr>
              <w:t>9</w:t>
            </w:r>
            <w:r>
              <w:rPr>
                <w:rFonts w:hint="eastAsia" w:ascii="Times New Roman" w:hAnsi="Times New Roman" w:eastAsia="宋体" w:cs="Times New Roman"/>
                <w:bCs/>
                <w:color w:val="auto"/>
                <w:sz w:val="24"/>
                <w:szCs w:val="24"/>
                <w:highlight w:val="none"/>
                <w:lang w:val="en-US" w:eastAsia="zh-CN"/>
              </w:rPr>
              <w:t>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w:t>
            </w:r>
          </w:p>
          <w:p w14:paraId="1B66D5F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本项目高温烘道设置1个集气罩，</w:t>
            </w:r>
            <w:r>
              <w:rPr>
                <w:rFonts w:hint="eastAsia" w:cs="Times New Roman"/>
                <w:bCs/>
                <w:color w:val="auto"/>
                <w:sz w:val="24"/>
                <w:szCs w:val="24"/>
                <w:highlight w:val="none"/>
                <w:lang w:val="en-US" w:eastAsia="zh-CN"/>
              </w:rPr>
              <w:t>在烘道出口处</w:t>
            </w:r>
            <w:r>
              <w:rPr>
                <w:rFonts w:hint="eastAsia" w:ascii="Times New Roman" w:hAnsi="Times New Roman" w:eastAsia="宋体" w:cs="Times New Roman"/>
                <w:bCs/>
                <w:color w:val="auto"/>
                <w:sz w:val="24"/>
                <w:szCs w:val="24"/>
                <w:highlight w:val="none"/>
                <w:lang w:val="en-US" w:eastAsia="zh-CN"/>
              </w:rPr>
              <w:t>设置</w:t>
            </w:r>
            <w:r>
              <w:rPr>
                <w:rFonts w:hint="default" w:ascii="Times New Roman" w:hAnsi="Times New Roman" w:eastAsia="宋体" w:cs="Times New Roman"/>
                <w:bCs/>
                <w:color w:val="auto"/>
                <w:sz w:val="24"/>
                <w:szCs w:val="24"/>
                <w:highlight w:val="none"/>
                <w:lang w:val="en-US" w:eastAsia="zh-Hans"/>
              </w:rPr>
              <w:t>尺寸</w:t>
            </w:r>
            <w:r>
              <w:rPr>
                <w:rFonts w:hint="eastAsia" w:ascii="Times New Roman" w:hAnsi="Times New Roman" w:eastAsia="宋体" w:cs="Times New Roman"/>
                <w:bCs/>
                <w:color w:val="auto"/>
                <w:sz w:val="24"/>
                <w:szCs w:val="24"/>
                <w:highlight w:val="none"/>
                <w:lang w:val="en-US" w:eastAsia="zh-CN"/>
              </w:rPr>
              <w:t>为100cm</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100</w:t>
            </w:r>
            <w:r>
              <w:rPr>
                <w:rFonts w:hint="default" w:ascii="Times New Roman" w:hAnsi="Times New Roman" w:eastAsia="宋体" w:cs="Times New Roman"/>
                <w:bCs/>
                <w:color w:val="auto"/>
                <w:sz w:val="24"/>
                <w:szCs w:val="24"/>
                <w:highlight w:val="none"/>
                <w:lang w:val="en-US" w:eastAsia="zh-CN"/>
              </w:rPr>
              <w:t>cm</w:t>
            </w:r>
            <w:r>
              <w:rPr>
                <w:rFonts w:hint="eastAsia" w:ascii="Times New Roman" w:hAnsi="Times New Roman" w:eastAsia="宋体" w:cs="Times New Roman"/>
                <w:bCs/>
                <w:color w:val="auto"/>
                <w:sz w:val="24"/>
                <w:szCs w:val="24"/>
                <w:highlight w:val="none"/>
                <w:lang w:val="en-US" w:eastAsia="zh-CN"/>
              </w:rPr>
              <w:t>的集气罩收集废气，每个集气罩设计风速按0.5m/s，集气罩至污染源的距离为0.2m，则每个集气罩风量为2016m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/h。考虑到阻力损失等损失因素，设计风量以1.2倍计算，则为2419.2m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/h，取整数则为2500m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w:t>
            </w:r>
          </w:p>
          <w:p w14:paraId="055885B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本项目烘房设置1个集气罩，</w:t>
            </w:r>
            <w:r>
              <w:rPr>
                <w:rFonts w:hint="eastAsia" w:cs="Times New Roman"/>
                <w:bCs/>
                <w:color w:val="auto"/>
                <w:sz w:val="24"/>
                <w:szCs w:val="24"/>
                <w:highlight w:val="none"/>
                <w:lang w:val="en-US" w:eastAsia="zh-CN"/>
              </w:rPr>
              <w:t>在</w:t>
            </w:r>
            <w:r>
              <w:rPr>
                <w:rFonts w:hint="eastAsia"/>
                <w:bCs/>
                <w:color w:val="auto"/>
                <w:sz w:val="24"/>
                <w:highlight w:val="none"/>
                <w:lang w:val="en-US" w:eastAsia="zh-CN"/>
              </w:rPr>
              <w:t>烘房</w:t>
            </w:r>
            <w:r>
              <w:rPr>
                <w:rFonts w:hint="eastAsia" w:ascii="Times New Roman" w:hAnsi="Times New Roman" w:eastAsia="宋体" w:cs="Times New Roman"/>
                <w:bCs/>
                <w:color w:val="auto"/>
                <w:sz w:val="24"/>
                <w:szCs w:val="24"/>
                <w:highlight w:val="none"/>
                <w:lang w:val="en-US" w:eastAsia="zh-CN"/>
              </w:rPr>
              <w:t>上方均设置</w:t>
            </w:r>
            <w:r>
              <w:rPr>
                <w:rFonts w:hint="default" w:ascii="Times New Roman" w:hAnsi="Times New Roman" w:eastAsia="宋体" w:cs="Times New Roman"/>
                <w:bCs/>
                <w:color w:val="auto"/>
                <w:sz w:val="24"/>
                <w:szCs w:val="24"/>
                <w:highlight w:val="none"/>
                <w:lang w:val="en-US" w:eastAsia="zh-Hans"/>
              </w:rPr>
              <w:t>尺寸</w:t>
            </w:r>
            <w:r>
              <w:rPr>
                <w:rFonts w:hint="eastAsia" w:ascii="Times New Roman" w:hAnsi="Times New Roman" w:eastAsia="宋体" w:cs="Times New Roman"/>
                <w:bCs/>
                <w:color w:val="auto"/>
                <w:sz w:val="24"/>
                <w:szCs w:val="24"/>
                <w:highlight w:val="none"/>
                <w:lang w:val="en-US" w:eastAsia="zh-CN"/>
              </w:rPr>
              <w:t>为200cm</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50</w:t>
            </w:r>
            <w:r>
              <w:rPr>
                <w:rFonts w:hint="default" w:ascii="Times New Roman" w:hAnsi="Times New Roman" w:eastAsia="宋体" w:cs="Times New Roman"/>
                <w:bCs/>
                <w:color w:val="auto"/>
                <w:sz w:val="24"/>
                <w:szCs w:val="24"/>
                <w:highlight w:val="none"/>
                <w:lang w:val="en-US" w:eastAsia="zh-CN"/>
              </w:rPr>
              <w:t>cm</w:t>
            </w:r>
            <w:r>
              <w:rPr>
                <w:rFonts w:hint="eastAsia" w:ascii="Times New Roman" w:hAnsi="Times New Roman" w:eastAsia="宋体" w:cs="Times New Roman"/>
                <w:bCs/>
                <w:color w:val="auto"/>
                <w:sz w:val="24"/>
                <w:szCs w:val="24"/>
                <w:highlight w:val="none"/>
                <w:lang w:val="en-US" w:eastAsia="zh-CN"/>
              </w:rPr>
              <w:t>的集气罩收集废气，每个集气罩设计风速按0.5m/s，集气罩至污染源的距离为0.2m，则集气罩风量为2520m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/h。考虑到阻力损失等损失因素，设计风量以1.2倍计算，则为3024m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/h，取整数则为3100m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w:t>
            </w:r>
          </w:p>
          <w:p w14:paraId="38051A0F">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废气罩设计风量一览表</w:t>
            </w:r>
          </w:p>
          <w:tbl>
            <w:tblPr>
              <w:tblStyle w:val="4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03"/>
              <w:gridCol w:w="1492"/>
              <w:gridCol w:w="1417"/>
              <w:gridCol w:w="1419"/>
              <w:gridCol w:w="1419"/>
              <w:gridCol w:w="1419"/>
              <w:gridCol w:w="1420"/>
            </w:tblGrid>
            <w:tr w14:paraId="5C6CE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476" w:type="pct"/>
                  <w:tcBorders>
                    <w:tl2br w:val="nil"/>
                    <w:tr2bl w:val="nil"/>
                  </w:tcBorders>
                  <w:noWrap w:val="0"/>
                  <w:vAlign w:val="center"/>
                </w:tcPr>
                <w:p w14:paraId="198F287A">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集气罩设置点</w:t>
                  </w:r>
                </w:p>
              </w:tc>
              <w:tc>
                <w:tcPr>
                  <w:tcW w:w="786" w:type="pct"/>
                  <w:tcBorders>
                    <w:tl2br w:val="nil"/>
                    <w:tr2bl w:val="nil"/>
                  </w:tcBorders>
                  <w:noWrap w:val="0"/>
                  <w:vAlign w:val="center"/>
                </w:tcPr>
                <w:p w14:paraId="2C1B76DA">
                  <w:pPr>
                    <w:jc w:val="center"/>
                    <w:rPr>
                      <w:rFonts w:hint="default" w:ascii="Times New Roman" w:hAnsi="Times New Roman" w:eastAsia="仿宋" w:cs="Times New Roman"/>
                      <w:b/>
                      <w:bCs/>
                      <w:color w:val="auto"/>
                      <w:szCs w:val="21"/>
                      <w:highlight w:val="none"/>
                      <w:lang w:eastAsia="zh-CN"/>
                    </w:rPr>
                  </w:pPr>
                  <w:r>
                    <w:rPr>
                      <w:rFonts w:hint="default" w:ascii="Times New Roman" w:hAnsi="Times New Roman" w:eastAsia="仿宋" w:cs="Times New Roman"/>
                      <w:b/>
                      <w:bCs/>
                      <w:color w:val="auto"/>
                      <w:szCs w:val="21"/>
                      <w:highlight w:val="none"/>
                      <w:lang w:val="en-US" w:eastAsia="zh-CN"/>
                    </w:rPr>
                    <w:t>集气罩</w:t>
                  </w:r>
                  <w:r>
                    <w:rPr>
                      <w:rFonts w:hint="eastAsia" w:ascii="Times New Roman" w:hAnsi="Times New Roman" w:eastAsia="仿宋" w:cs="Times New Roman"/>
                      <w:b/>
                      <w:bCs/>
                      <w:color w:val="auto"/>
                      <w:szCs w:val="21"/>
                      <w:highlight w:val="none"/>
                      <w:lang w:val="en-US" w:eastAsia="zh-CN"/>
                    </w:rPr>
                    <w:t>长</w:t>
                  </w:r>
                  <w:r>
                    <w:rPr>
                      <w:rFonts w:hint="default" w:ascii="Times New Roman" w:hAnsi="Times New Roman" w:eastAsia="仿宋" w:cs="Times New Roman"/>
                      <w:b/>
                      <w:bCs/>
                      <w:color w:val="auto"/>
                      <w:szCs w:val="21"/>
                      <w:highlight w:val="none"/>
                      <w:lang w:val="en-US" w:eastAsia="zh-CN"/>
                    </w:rPr>
                    <w:t>（m）</w:t>
                  </w:r>
                </w:p>
              </w:tc>
              <w:tc>
                <w:tcPr>
                  <w:tcW w:w="746" w:type="pct"/>
                  <w:tcBorders>
                    <w:tl2br w:val="nil"/>
                    <w:tr2bl w:val="nil"/>
                  </w:tcBorders>
                  <w:noWrap w:val="0"/>
                  <w:vAlign w:val="center"/>
                </w:tcPr>
                <w:p w14:paraId="027DED1B">
                  <w:pPr>
                    <w:jc w:val="center"/>
                    <w:rPr>
                      <w:rFonts w:hint="default" w:ascii="Times New Roman" w:hAnsi="Times New Roman" w:eastAsia="仿宋" w:cs="Times New Roman"/>
                      <w:b/>
                      <w:bCs/>
                      <w:color w:val="auto"/>
                      <w:szCs w:val="21"/>
                      <w:highlight w:val="none"/>
                      <w:lang w:val="en-US" w:eastAsia="zh-CN"/>
                    </w:rPr>
                  </w:pPr>
                  <w:r>
                    <w:rPr>
                      <w:rFonts w:hint="eastAsia" w:eastAsia="仿宋" w:cs="Times New Roman"/>
                      <w:b/>
                      <w:bCs/>
                      <w:color w:val="auto"/>
                      <w:szCs w:val="21"/>
                      <w:highlight w:val="none"/>
                      <w:lang w:val="en-US" w:eastAsia="zh-CN"/>
                    </w:rPr>
                    <w:t>集气罩宽（m）</w:t>
                  </w:r>
                </w:p>
              </w:tc>
              <w:tc>
                <w:tcPr>
                  <w:tcW w:w="747" w:type="pct"/>
                  <w:tcBorders>
                    <w:tl2br w:val="nil"/>
                    <w:tr2bl w:val="nil"/>
                  </w:tcBorders>
                  <w:noWrap w:val="0"/>
                  <w:vAlign w:val="center"/>
                </w:tcPr>
                <w:p w14:paraId="3B1B196C">
                  <w:pPr>
                    <w:jc w:val="center"/>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Cs w:val="21"/>
                      <w:highlight w:val="none"/>
                      <w:lang w:val="en-US" w:eastAsia="zh-CN"/>
                    </w:rPr>
                    <w:t>污染源至罩口距离（m）</w:t>
                  </w:r>
                </w:p>
              </w:tc>
              <w:tc>
                <w:tcPr>
                  <w:tcW w:w="747" w:type="pct"/>
                  <w:tcBorders>
                    <w:tl2br w:val="nil"/>
                    <w:tr2bl w:val="nil"/>
                  </w:tcBorders>
                  <w:noWrap w:val="0"/>
                  <w:vAlign w:val="center"/>
                </w:tcPr>
                <w:p w14:paraId="7FF5CA89">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单个集气罩所需风量（m</w:t>
                  </w:r>
                  <w:r>
                    <w:rPr>
                      <w:rFonts w:hint="default" w:ascii="Times New Roman" w:hAnsi="Times New Roman" w:eastAsia="仿宋" w:cs="Times New Roman"/>
                      <w:b/>
                      <w:bCs/>
                      <w:color w:val="auto"/>
                      <w:szCs w:val="21"/>
                      <w:highlight w:val="none"/>
                      <w:vertAlign w:val="superscript"/>
                      <w:lang w:val="en-US" w:eastAsia="zh-CN"/>
                    </w:rPr>
                    <w:t>3</w:t>
                  </w:r>
                  <w:r>
                    <w:rPr>
                      <w:rFonts w:hint="default" w:ascii="Times New Roman" w:hAnsi="Times New Roman" w:eastAsia="仿宋" w:cs="Times New Roman"/>
                      <w:b/>
                      <w:bCs/>
                      <w:color w:val="auto"/>
                      <w:szCs w:val="21"/>
                      <w:highlight w:val="none"/>
                      <w:lang w:val="en-US" w:eastAsia="zh-CN"/>
                    </w:rPr>
                    <w:t>/h）</w:t>
                  </w:r>
                </w:p>
              </w:tc>
              <w:tc>
                <w:tcPr>
                  <w:tcW w:w="747" w:type="pct"/>
                  <w:tcBorders>
                    <w:tl2br w:val="nil"/>
                    <w:tr2bl w:val="nil"/>
                  </w:tcBorders>
                  <w:noWrap w:val="0"/>
                  <w:vAlign w:val="center"/>
                </w:tcPr>
                <w:p w14:paraId="2B33A9A9">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集气罩个数（个）</w:t>
                  </w:r>
                </w:p>
              </w:tc>
              <w:tc>
                <w:tcPr>
                  <w:tcW w:w="748" w:type="pct"/>
                  <w:tcBorders>
                    <w:tl2br w:val="nil"/>
                    <w:tr2bl w:val="nil"/>
                  </w:tcBorders>
                  <w:noWrap w:val="0"/>
                  <w:vAlign w:val="center"/>
                </w:tcPr>
                <w:p w14:paraId="4C404C73">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总风量（m</w:t>
                  </w:r>
                  <w:r>
                    <w:rPr>
                      <w:rFonts w:hint="default" w:ascii="Times New Roman" w:hAnsi="Times New Roman" w:eastAsia="仿宋" w:cs="Times New Roman"/>
                      <w:b/>
                      <w:bCs/>
                      <w:color w:val="auto"/>
                      <w:szCs w:val="21"/>
                      <w:highlight w:val="none"/>
                      <w:vertAlign w:val="superscript"/>
                      <w:lang w:val="en-US" w:eastAsia="zh-CN"/>
                    </w:rPr>
                    <w:t>3</w:t>
                  </w:r>
                  <w:r>
                    <w:rPr>
                      <w:rFonts w:hint="default" w:ascii="Times New Roman" w:hAnsi="Times New Roman" w:eastAsia="仿宋" w:cs="Times New Roman"/>
                      <w:b/>
                      <w:bCs/>
                      <w:color w:val="auto"/>
                      <w:szCs w:val="21"/>
                      <w:highlight w:val="none"/>
                      <w:lang w:val="en-US" w:eastAsia="zh-CN"/>
                    </w:rPr>
                    <w:t>/h）</w:t>
                  </w:r>
                </w:p>
              </w:tc>
            </w:tr>
            <w:tr w14:paraId="7A913A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76" w:type="pct"/>
                  <w:tcBorders>
                    <w:tl2br w:val="nil"/>
                    <w:tr2bl w:val="nil"/>
                  </w:tcBorders>
                  <w:noWrap w:val="0"/>
                  <w:vAlign w:val="center"/>
                </w:tcPr>
                <w:p w14:paraId="066C33A5">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低温烘道</w:t>
                  </w:r>
                </w:p>
              </w:tc>
              <w:tc>
                <w:tcPr>
                  <w:tcW w:w="786" w:type="pct"/>
                  <w:tcBorders>
                    <w:tl2br w:val="nil"/>
                    <w:tr2bl w:val="nil"/>
                  </w:tcBorders>
                  <w:noWrap w:val="0"/>
                  <w:vAlign w:val="center"/>
                </w:tcPr>
                <w:p w14:paraId="676D96D0">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0.8</w:t>
                  </w:r>
                </w:p>
              </w:tc>
              <w:tc>
                <w:tcPr>
                  <w:tcW w:w="746" w:type="pct"/>
                  <w:tcBorders>
                    <w:tl2br w:val="nil"/>
                    <w:tr2bl w:val="nil"/>
                  </w:tcBorders>
                  <w:noWrap w:val="0"/>
                  <w:vAlign w:val="center"/>
                </w:tcPr>
                <w:p w14:paraId="15403B3D">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0.8</w:t>
                  </w:r>
                </w:p>
              </w:tc>
              <w:tc>
                <w:tcPr>
                  <w:tcW w:w="747" w:type="pct"/>
                  <w:tcBorders>
                    <w:tl2br w:val="nil"/>
                    <w:tr2bl w:val="nil"/>
                  </w:tcBorders>
                  <w:noWrap w:val="0"/>
                  <w:vAlign w:val="center"/>
                </w:tcPr>
                <w:p w14:paraId="1BFDC398">
                  <w:pPr>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Cs w:val="21"/>
                      <w:highlight w:val="none"/>
                      <w:lang w:val="en-US" w:eastAsia="zh-CN"/>
                    </w:rPr>
                    <w:t>0.2</w:t>
                  </w:r>
                </w:p>
              </w:tc>
              <w:tc>
                <w:tcPr>
                  <w:tcW w:w="747" w:type="pct"/>
                  <w:tcBorders>
                    <w:tl2br w:val="nil"/>
                    <w:tr2bl w:val="nil"/>
                  </w:tcBorders>
                  <w:noWrap w:val="0"/>
                  <w:vAlign w:val="center"/>
                </w:tcPr>
                <w:p w14:paraId="31C0ACAE">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1612.8</w:t>
                  </w:r>
                </w:p>
              </w:tc>
              <w:tc>
                <w:tcPr>
                  <w:tcW w:w="747" w:type="pct"/>
                  <w:tcBorders>
                    <w:tl2br w:val="nil"/>
                    <w:tr2bl w:val="nil"/>
                  </w:tcBorders>
                  <w:noWrap w:val="0"/>
                  <w:vAlign w:val="center"/>
                </w:tcPr>
                <w:p w14:paraId="2AC18514">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2</w:t>
                  </w:r>
                </w:p>
              </w:tc>
              <w:tc>
                <w:tcPr>
                  <w:tcW w:w="748" w:type="pct"/>
                  <w:tcBorders>
                    <w:tl2br w:val="nil"/>
                    <w:tr2bl w:val="nil"/>
                  </w:tcBorders>
                  <w:noWrap w:val="0"/>
                  <w:vAlign w:val="center"/>
                </w:tcPr>
                <w:p w14:paraId="0D7A7623">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3</w:t>
                  </w:r>
                  <w:r>
                    <w:rPr>
                      <w:rFonts w:hint="eastAsia" w:eastAsia="仿宋" w:cs="Times New Roman"/>
                      <w:color w:val="auto"/>
                      <w:szCs w:val="21"/>
                      <w:highlight w:val="none"/>
                      <w:lang w:val="en-US" w:eastAsia="zh-CN"/>
                    </w:rPr>
                    <w:t>9</w:t>
                  </w:r>
                  <w:r>
                    <w:rPr>
                      <w:rFonts w:hint="eastAsia" w:ascii="Times New Roman" w:hAnsi="Times New Roman" w:eastAsia="仿宋" w:cs="Times New Roman"/>
                      <w:color w:val="auto"/>
                      <w:szCs w:val="21"/>
                      <w:highlight w:val="none"/>
                      <w:lang w:val="en-US" w:eastAsia="zh-CN"/>
                    </w:rPr>
                    <w:t>00</w:t>
                  </w:r>
                </w:p>
              </w:tc>
            </w:tr>
            <w:tr w14:paraId="02F726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76" w:type="pct"/>
                  <w:tcBorders>
                    <w:tl2br w:val="nil"/>
                    <w:tr2bl w:val="nil"/>
                  </w:tcBorders>
                  <w:noWrap w:val="0"/>
                  <w:vAlign w:val="center"/>
                </w:tcPr>
                <w:p w14:paraId="55EC291F">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高温烘道</w:t>
                  </w:r>
                </w:p>
              </w:tc>
              <w:tc>
                <w:tcPr>
                  <w:tcW w:w="786" w:type="pct"/>
                  <w:tcBorders>
                    <w:tl2br w:val="nil"/>
                    <w:tr2bl w:val="nil"/>
                  </w:tcBorders>
                  <w:noWrap w:val="0"/>
                  <w:vAlign w:val="center"/>
                </w:tcPr>
                <w:p w14:paraId="009E6F44">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1</w:t>
                  </w:r>
                </w:p>
              </w:tc>
              <w:tc>
                <w:tcPr>
                  <w:tcW w:w="746" w:type="pct"/>
                  <w:tcBorders>
                    <w:tl2br w:val="nil"/>
                    <w:tr2bl w:val="nil"/>
                  </w:tcBorders>
                  <w:noWrap w:val="0"/>
                  <w:vAlign w:val="center"/>
                </w:tcPr>
                <w:p w14:paraId="076A913B">
                  <w:pPr>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1</w:t>
                  </w:r>
                </w:p>
              </w:tc>
              <w:tc>
                <w:tcPr>
                  <w:tcW w:w="747" w:type="pct"/>
                  <w:tcBorders>
                    <w:tl2br w:val="nil"/>
                    <w:tr2bl w:val="nil"/>
                  </w:tcBorders>
                  <w:noWrap w:val="0"/>
                  <w:vAlign w:val="center"/>
                </w:tcPr>
                <w:p w14:paraId="04FC8908">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0.2</w:t>
                  </w:r>
                </w:p>
              </w:tc>
              <w:tc>
                <w:tcPr>
                  <w:tcW w:w="747" w:type="pct"/>
                  <w:tcBorders>
                    <w:tl2br w:val="nil"/>
                    <w:tr2bl w:val="nil"/>
                  </w:tcBorders>
                  <w:noWrap w:val="0"/>
                  <w:vAlign w:val="center"/>
                </w:tcPr>
                <w:p w14:paraId="0C1C9D43">
                  <w:pPr>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2016</w:t>
                  </w:r>
                </w:p>
              </w:tc>
              <w:tc>
                <w:tcPr>
                  <w:tcW w:w="747" w:type="pct"/>
                  <w:tcBorders>
                    <w:tl2br w:val="nil"/>
                    <w:tr2bl w:val="nil"/>
                  </w:tcBorders>
                  <w:noWrap w:val="0"/>
                  <w:vAlign w:val="center"/>
                </w:tcPr>
                <w:p w14:paraId="65E073AF">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1</w:t>
                  </w:r>
                </w:p>
              </w:tc>
              <w:tc>
                <w:tcPr>
                  <w:tcW w:w="748" w:type="pct"/>
                  <w:tcBorders>
                    <w:tl2br w:val="nil"/>
                    <w:tr2bl w:val="nil"/>
                  </w:tcBorders>
                  <w:noWrap w:val="0"/>
                  <w:vAlign w:val="center"/>
                </w:tcPr>
                <w:p w14:paraId="495C9C67">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2500</w:t>
                  </w:r>
                </w:p>
              </w:tc>
            </w:tr>
            <w:tr w14:paraId="47CEB1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76" w:type="pct"/>
                  <w:tcBorders>
                    <w:tl2br w:val="nil"/>
                    <w:tr2bl w:val="nil"/>
                  </w:tcBorders>
                  <w:noWrap w:val="0"/>
                  <w:vAlign w:val="center"/>
                </w:tcPr>
                <w:p w14:paraId="2B9B4970">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烘房</w:t>
                  </w:r>
                </w:p>
              </w:tc>
              <w:tc>
                <w:tcPr>
                  <w:tcW w:w="786" w:type="pct"/>
                  <w:tcBorders>
                    <w:tl2br w:val="nil"/>
                    <w:tr2bl w:val="nil"/>
                  </w:tcBorders>
                  <w:noWrap w:val="0"/>
                  <w:vAlign w:val="center"/>
                </w:tcPr>
                <w:p w14:paraId="4BED55EE">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2</w:t>
                  </w:r>
                </w:p>
              </w:tc>
              <w:tc>
                <w:tcPr>
                  <w:tcW w:w="746" w:type="pct"/>
                  <w:tcBorders>
                    <w:tl2br w:val="nil"/>
                    <w:tr2bl w:val="nil"/>
                  </w:tcBorders>
                  <w:noWrap w:val="0"/>
                  <w:vAlign w:val="center"/>
                </w:tcPr>
                <w:p w14:paraId="4BDF4090">
                  <w:pPr>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0.5</w:t>
                  </w:r>
                </w:p>
              </w:tc>
              <w:tc>
                <w:tcPr>
                  <w:tcW w:w="747" w:type="pct"/>
                  <w:tcBorders>
                    <w:tl2br w:val="nil"/>
                    <w:tr2bl w:val="nil"/>
                  </w:tcBorders>
                  <w:noWrap w:val="0"/>
                  <w:vAlign w:val="center"/>
                </w:tcPr>
                <w:p w14:paraId="2580603C">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0.2</w:t>
                  </w:r>
                </w:p>
              </w:tc>
              <w:tc>
                <w:tcPr>
                  <w:tcW w:w="747" w:type="pct"/>
                  <w:tcBorders>
                    <w:tl2br w:val="nil"/>
                    <w:tr2bl w:val="nil"/>
                  </w:tcBorders>
                  <w:noWrap w:val="0"/>
                  <w:vAlign w:val="center"/>
                </w:tcPr>
                <w:p w14:paraId="7D277C9F">
                  <w:pPr>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2520</w:t>
                  </w:r>
                </w:p>
              </w:tc>
              <w:tc>
                <w:tcPr>
                  <w:tcW w:w="747" w:type="pct"/>
                  <w:tcBorders>
                    <w:tl2br w:val="nil"/>
                    <w:tr2bl w:val="nil"/>
                  </w:tcBorders>
                  <w:noWrap w:val="0"/>
                  <w:vAlign w:val="center"/>
                </w:tcPr>
                <w:p w14:paraId="650C9848">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1</w:t>
                  </w:r>
                </w:p>
              </w:tc>
              <w:tc>
                <w:tcPr>
                  <w:tcW w:w="748" w:type="pct"/>
                  <w:tcBorders>
                    <w:tl2br w:val="nil"/>
                    <w:tr2bl w:val="nil"/>
                  </w:tcBorders>
                  <w:noWrap w:val="0"/>
                  <w:vAlign w:val="center"/>
                </w:tcPr>
                <w:p w14:paraId="52863B4A">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3100</w:t>
                  </w:r>
                </w:p>
              </w:tc>
            </w:tr>
          </w:tbl>
          <w:p w14:paraId="2A4D2B2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根据《废气处理工程技术手册》（王纯、张殿印主编，化学工业出版社，2013版）</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槽边侧集罩</w:t>
            </w:r>
            <w:r>
              <w:rPr>
                <w:rFonts w:hint="default" w:ascii="Times New Roman" w:hAnsi="Times New Roman" w:eastAsia="宋体" w:cs="Times New Roman"/>
                <w:bCs/>
                <w:color w:val="auto"/>
                <w:sz w:val="24"/>
                <w:szCs w:val="24"/>
                <w:highlight w:val="none"/>
              </w:rPr>
              <w:t>，计算公式如下：</w:t>
            </w:r>
          </w:p>
          <w:p w14:paraId="6F9ED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lang w:val="en-US" w:eastAsia="zh-CN"/>
              </w:rPr>
              <w:t>BWC</w:t>
            </w:r>
          </w:p>
          <w:p w14:paraId="6CC79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14:paraId="59864F9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Q——集气罩的风量，m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/h；</w:t>
            </w:r>
          </w:p>
          <w:p w14:paraId="50D544D8">
            <w:pPr>
              <w:spacing w:line="360" w:lineRule="auto"/>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B</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槽体长度</w:t>
            </w:r>
            <w:r>
              <w:rPr>
                <w:rFonts w:hint="default" w:ascii="Times New Roman" w:hAnsi="Times New Roman" w:cs="Times New Roman"/>
                <w:bCs/>
                <w:color w:val="auto"/>
                <w:sz w:val="24"/>
              </w:rPr>
              <w:t>，m；</w:t>
            </w:r>
          </w:p>
          <w:p w14:paraId="1DC89EC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W</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槽体宽度</w:t>
            </w:r>
            <w:r>
              <w:rPr>
                <w:rFonts w:hint="default" w:ascii="Times New Roman" w:hAnsi="Times New Roman" w:eastAsia="宋体" w:cs="Times New Roman"/>
                <w:bCs/>
                <w:color w:val="auto"/>
                <w:sz w:val="24"/>
                <w:szCs w:val="24"/>
                <w:highlight w:val="none"/>
                <w:lang w:val="en-US" w:eastAsia="zh-CN"/>
              </w:rPr>
              <w:t>，m；</w:t>
            </w:r>
          </w:p>
          <w:p w14:paraId="0888932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C</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风量系数</w:t>
            </w:r>
            <w:r>
              <w:rPr>
                <w:rFonts w:hint="default" w:ascii="Times New Roman" w:hAnsi="Times New Roman" w:eastAsia="宋体" w:cs="Times New Roman"/>
                <w:bCs/>
                <w:color w:val="auto"/>
                <w:sz w:val="24"/>
                <w:szCs w:val="24"/>
                <w:highlight w:val="none"/>
                <w:lang w:val="en-US" w:eastAsia="zh-CN"/>
              </w:rPr>
              <w:t>，0.2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~2.5m</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·s）</w:t>
            </w:r>
            <w:r>
              <w:rPr>
                <w:rFonts w:hint="default" w:ascii="Times New Roman" w:hAnsi="Times New Roman" w:eastAsia="宋体" w:cs="Times New Roman"/>
                <w:bCs/>
                <w:color w:val="auto"/>
                <w:sz w:val="24"/>
                <w:szCs w:val="24"/>
                <w:highlight w:val="none"/>
                <w:lang w:val="en-US" w:eastAsia="zh-CN"/>
              </w:rPr>
              <w:t>。本项目取0.</w:t>
            </w:r>
            <w:r>
              <w:rPr>
                <w:rFonts w:hint="eastAsia" w:ascii="Times New Roman" w:hAnsi="Times New Roman" w:eastAsia="宋体" w:cs="Times New Roman"/>
                <w:bCs/>
                <w:color w:val="auto"/>
                <w:sz w:val="24"/>
                <w:szCs w:val="24"/>
                <w:highlight w:val="none"/>
                <w:lang w:val="en-US" w:eastAsia="zh-CN"/>
              </w:rPr>
              <w:t>75</w:t>
            </w:r>
            <w:r>
              <w:rPr>
                <w:rFonts w:hint="default" w:ascii="Times New Roman" w:hAnsi="Times New Roman" w:eastAsia="宋体" w:cs="Times New Roman"/>
                <w:bCs/>
                <w:color w:val="auto"/>
                <w:sz w:val="24"/>
                <w:szCs w:val="24"/>
                <w:highlight w:val="none"/>
                <w:lang w:val="en-US" w:eastAsia="zh-CN"/>
              </w:rPr>
              <w:t>m/s。</w:t>
            </w:r>
          </w:p>
          <w:p w14:paraId="7922B65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本项目喷粉前处理酸洗槽设置1个集气罩，则集气罩风量为4050m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/h。考虑到阻力损失等损失因素，设计风量以1.2倍计算，则为4860m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/h，取整数则为4900m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w:t>
            </w:r>
          </w:p>
          <w:p w14:paraId="67E64D6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lang w:val="en-US" w:eastAsia="zh-CN"/>
              </w:rPr>
            </w:pPr>
            <w:r>
              <w:rPr>
                <w:rFonts w:hint="eastAsia" w:ascii="Times New Roman" w:hAnsi="Times New Roman" w:eastAsia="宋体" w:cs="Times New Roman"/>
                <w:bCs/>
                <w:color w:val="auto"/>
                <w:sz w:val="24"/>
                <w:szCs w:val="24"/>
                <w:highlight w:val="none"/>
                <w:lang w:val="en-US" w:eastAsia="zh-CN"/>
              </w:rPr>
              <w:t>本项目电泳槽各设置1个集气罩，每个集气罩风量为3024m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/h，则2个集气罩风量为6048m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/h。考虑到阻力损失等损失因素，设计风量以1.2倍计算，则为8087.04m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/h，取整数则为8100m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/h</w:t>
            </w:r>
            <w:r>
              <w:rPr>
                <w:rFonts w:hint="default" w:ascii="Times New Roman" w:hAnsi="Times New Roman" w:eastAsia="宋体" w:cs="Times New Roman"/>
                <w:bCs/>
                <w:color w:val="auto"/>
                <w:sz w:val="24"/>
                <w:szCs w:val="24"/>
                <w:highlight w:val="none"/>
                <w:lang w:val="en-US" w:eastAsia="zh-CN"/>
              </w:rPr>
              <w:t>。</w:t>
            </w:r>
          </w:p>
          <w:p w14:paraId="285F3CE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废气</w:t>
            </w:r>
            <w:r>
              <w:rPr>
                <w:rFonts w:hint="eastAsia" w:cs="Times New Roman"/>
                <w:b/>
                <w:color w:val="auto"/>
                <w:kern w:val="0"/>
                <w:sz w:val="24"/>
                <w:szCs w:val="24"/>
                <w:highlight w:val="none"/>
                <w:lang w:val="en-US" w:eastAsia="zh-CN"/>
              </w:rPr>
              <w:t>集气</w:t>
            </w:r>
            <w:r>
              <w:rPr>
                <w:rFonts w:hint="default" w:cs="Times New Roman"/>
                <w:b/>
                <w:color w:val="auto"/>
                <w:kern w:val="0"/>
                <w:sz w:val="24"/>
                <w:szCs w:val="24"/>
                <w:highlight w:val="none"/>
                <w:lang w:val="en-US" w:eastAsia="zh-CN"/>
              </w:rPr>
              <w:t>罩设计风量一览表</w:t>
            </w:r>
          </w:p>
          <w:tbl>
            <w:tblPr>
              <w:tblStyle w:val="48"/>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94"/>
              <w:gridCol w:w="1483"/>
              <w:gridCol w:w="1181"/>
              <w:gridCol w:w="2119"/>
              <w:gridCol w:w="1361"/>
              <w:gridCol w:w="1348"/>
            </w:tblGrid>
            <w:tr w14:paraId="6DEDBA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pct"/>
                  <w:tcBorders>
                    <w:tl2br w:val="nil"/>
                    <w:tr2bl w:val="nil"/>
                  </w:tcBorders>
                  <w:noWrap w:val="0"/>
                  <w:vAlign w:val="center"/>
                </w:tcPr>
                <w:p w14:paraId="4584860E">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集气罩设置点</w:t>
                  </w:r>
                </w:p>
              </w:tc>
              <w:tc>
                <w:tcPr>
                  <w:tcW w:w="781" w:type="pct"/>
                  <w:tcBorders>
                    <w:tl2br w:val="nil"/>
                    <w:tr2bl w:val="nil"/>
                  </w:tcBorders>
                  <w:noWrap w:val="0"/>
                  <w:vAlign w:val="center"/>
                </w:tcPr>
                <w:p w14:paraId="62CB4EDF">
                  <w:pPr>
                    <w:jc w:val="center"/>
                    <w:rPr>
                      <w:rFonts w:hint="default" w:ascii="Times New Roman" w:hAnsi="Times New Roman" w:eastAsia="仿宋" w:cs="Times New Roman"/>
                      <w:b/>
                      <w:bCs/>
                      <w:color w:val="auto"/>
                      <w:szCs w:val="21"/>
                      <w:highlight w:val="none"/>
                      <w:lang w:eastAsia="zh-CN"/>
                    </w:rPr>
                  </w:pPr>
                  <w:r>
                    <w:rPr>
                      <w:rFonts w:hint="eastAsia" w:eastAsia="仿宋" w:cs="Times New Roman"/>
                      <w:b/>
                      <w:bCs/>
                      <w:color w:val="auto"/>
                      <w:szCs w:val="21"/>
                      <w:highlight w:val="none"/>
                      <w:lang w:val="en-US" w:eastAsia="zh-CN"/>
                    </w:rPr>
                    <w:t>槽体</w:t>
                  </w:r>
                  <w:r>
                    <w:rPr>
                      <w:rFonts w:hint="eastAsia" w:ascii="Times New Roman" w:hAnsi="Times New Roman" w:eastAsia="仿宋" w:cs="Times New Roman"/>
                      <w:b/>
                      <w:bCs/>
                      <w:color w:val="auto"/>
                      <w:szCs w:val="21"/>
                      <w:highlight w:val="none"/>
                      <w:lang w:val="en-US" w:eastAsia="zh-CN"/>
                    </w:rPr>
                    <w:t>长</w:t>
                  </w:r>
                  <w:r>
                    <w:rPr>
                      <w:rFonts w:hint="default" w:ascii="Times New Roman" w:hAnsi="Times New Roman" w:eastAsia="仿宋" w:cs="Times New Roman"/>
                      <w:b/>
                      <w:bCs/>
                      <w:color w:val="auto"/>
                      <w:szCs w:val="21"/>
                      <w:highlight w:val="none"/>
                      <w:lang w:val="en-US" w:eastAsia="zh-CN"/>
                    </w:rPr>
                    <w:t>（m）</w:t>
                  </w:r>
                </w:p>
              </w:tc>
              <w:tc>
                <w:tcPr>
                  <w:tcW w:w="622" w:type="pct"/>
                  <w:tcBorders>
                    <w:tl2br w:val="nil"/>
                    <w:tr2bl w:val="nil"/>
                  </w:tcBorders>
                  <w:noWrap w:val="0"/>
                  <w:vAlign w:val="center"/>
                </w:tcPr>
                <w:p w14:paraId="79D78441">
                  <w:pPr>
                    <w:jc w:val="center"/>
                    <w:rPr>
                      <w:rFonts w:hint="default" w:ascii="Times New Roman" w:hAnsi="Times New Roman" w:eastAsia="仿宋" w:cs="Times New Roman"/>
                      <w:b/>
                      <w:bCs/>
                      <w:color w:val="auto"/>
                      <w:szCs w:val="21"/>
                      <w:highlight w:val="none"/>
                      <w:lang w:val="en-US" w:eastAsia="zh-CN"/>
                    </w:rPr>
                  </w:pPr>
                  <w:r>
                    <w:rPr>
                      <w:rFonts w:hint="eastAsia" w:eastAsia="仿宋" w:cs="Times New Roman"/>
                      <w:b/>
                      <w:bCs/>
                      <w:color w:val="auto"/>
                      <w:szCs w:val="21"/>
                      <w:highlight w:val="none"/>
                      <w:lang w:val="en-US" w:eastAsia="zh-CN"/>
                    </w:rPr>
                    <w:t>槽体宽</w:t>
                  </w:r>
                  <w:r>
                    <w:rPr>
                      <w:rFonts w:hint="default" w:ascii="Times New Roman" w:hAnsi="Times New Roman" w:eastAsia="仿宋" w:cs="Times New Roman"/>
                      <w:b/>
                      <w:bCs/>
                      <w:color w:val="auto"/>
                      <w:szCs w:val="21"/>
                      <w:highlight w:val="none"/>
                      <w:lang w:val="en-US" w:eastAsia="zh-CN"/>
                    </w:rPr>
                    <w:t>（m）</w:t>
                  </w:r>
                </w:p>
              </w:tc>
              <w:tc>
                <w:tcPr>
                  <w:tcW w:w="1116" w:type="pct"/>
                  <w:tcBorders>
                    <w:tl2br w:val="nil"/>
                    <w:tr2bl w:val="nil"/>
                  </w:tcBorders>
                  <w:noWrap w:val="0"/>
                  <w:vAlign w:val="center"/>
                </w:tcPr>
                <w:p w14:paraId="426306EF">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单个集气罩所需风量（m</w:t>
                  </w:r>
                  <w:r>
                    <w:rPr>
                      <w:rFonts w:hint="default" w:ascii="Times New Roman" w:hAnsi="Times New Roman" w:eastAsia="仿宋" w:cs="Times New Roman"/>
                      <w:b/>
                      <w:bCs/>
                      <w:color w:val="auto"/>
                      <w:szCs w:val="21"/>
                      <w:highlight w:val="none"/>
                      <w:vertAlign w:val="superscript"/>
                      <w:lang w:val="en-US" w:eastAsia="zh-CN"/>
                    </w:rPr>
                    <w:t>3</w:t>
                  </w:r>
                  <w:r>
                    <w:rPr>
                      <w:rFonts w:hint="default" w:ascii="Times New Roman" w:hAnsi="Times New Roman" w:eastAsia="仿宋" w:cs="Times New Roman"/>
                      <w:b/>
                      <w:bCs/>
                      <w:color w:val="auto"/>
                      <w:szCs w:val="21"/>
                      <w:highlight w:val="none"/>
                      <w:lang w:val="en-US" w:eastAsia="zh-CN"/>
                    </w:rPr>
                    <w:t>/h）</w:t>
                  </w:r>
                </w:p>
              </w:tc>
              <w:tc>
                <w:tcPr>
                  <w:tcW w:w="717" w:type="pct"/>
                  <w:tcBorders>
                    <w:tl2br w:val="nil"/>
                    <w:tr2bl w:val="nil"/>
                  </w:tcBorders>
                  <w:noWrap w:val="0"/>
                  <w:vAlign w:val="center"/>
                </w:tcPr>
                <w:p w14:paraId="6D16F522">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集气罩个数（个）</w:t>
                  </w:r>
                </w:p>
              </w:tc>
              <w:tc>
                <w:tcPr>
                  <w:tcW w:w="710" w:type="pct"/>
                  <w:tcBorders>
                    <w:tl2br w:val="nil"/>
                    <w:tr2bl w:val="nil"/>
                  </w:tcBorders>
                  <w:noWrap w:val="0"/>
                  <w:vAlign w:val="center"/>
                </w:tcPr>
                <w:p w14:paraId="7D258885">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lang w:val="en-US" w:eastAsia="zh-CN"/>
                    </w:rPr>
                    <w:t>总风量（m</w:t>
                  </w:r>
                  <w:r>
                    <w:rPr>
                      <w:rFonts w:hint="default" w:ascii="Times New Roman" w:hAnsi="Times New Roman" w:eastAsia="仿宋" w:cs="Times New Roman"/>
                      <w:b/>
                      <w:bCs/>
                      <w:color w:val="auto"/>
                      <w:szCs w:val="21"/>
                      <w:highlight w:val="none"/>
                      <w:vertAlign w:val="superscript"/>
                      <w:lang w:val="en-US" w:eastAsia="zh-CN"/>
                    </w:rPr>
                    <w:t>3</w:t>
                  </w:r>
                  <w:r>
                    <w:rPr>
                      <w:rFonts w:hint="default" w:ascii="Times New Roman" w:hAnsi="Times New Roman" w:eastAsia="仿宋" w:cs="Times New Roman"/>
                      <w:b/>
                      <w:bCs/>
                      <w:color w:val="auto"/>
                      <w:szCs w:val="21"/>
                      <w:highlight w:val="none"/>
                      <w:lang w:val="en-US" w:eastAsia="zh-CN"/>
                    </w:rPr>
                    <w:t>/h）</w:t>
                  </w:r>
                </w:p>
              </w:tc>
            </w:tr>
            <w:tr w14:paraId="04FB9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51" w:type="pct"/>
                  <w:tcBorders>
                    <w:tl2br w:val="nil"/>
                    <w:tr2bl w:val="nil"/>
                  </w:tcBorders>
                  <w:noWrap w:val="0"/>
                  <w:vAlign w:val="center"/>
                </w:tcPr>
                <w:p w14:paraId="2DBF4A78">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电泳槽</w:t>
                  </w:r>
                </w:p>
              </w:tc>
              <w:tc>
                <w:tcPr>
                  <w:tcW w:w="781" w:type="pct"/>
                  <w:tcBorders>
                    <w:tl2br w:val="nil"/>
                    <w:tr2bl w:val="nil"/>
                  </w:tcBorders>
                  <w:noWrap w:val="0"/>
                  <w:vAlign w:val="center"/>
                </w:tcPr>
                <w:p w14:paraId="0994630D">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1.4</w:t>
                  </w:r>
                </w:p>
              </w:tc>
              <w:tc>
                <w:tcPr>
                  <w:tcW w:w="622" w:type="pct"/>
                  <w:tcBorders>
                    <w:tl2br w:val="nil"/>
                    <w:tr2bl w:val="nil"/>
                  </w:tcBorders>
                  <w:noWrap w:val="0"/>
                  <w:vAlign w:val="center"/>
                </w:tcPr>
                <w:p w14:paraId="139F9F11">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0.8</w:t>
                  </w:r>
                </w:p>
              </w:tc>
              <w:tc>
                <w:tcPr>
                  <w:tcW w:w="1116" w:type="pct"/>
                  <w:tcBorders>
                    <w:tl2br w:val="nil"/>
                    <w:tr2bl w:val="nil"/>
                  </w:tcBorders>
                  <w:noWrap w:val="0"/>
                  <w:vAlign w:val="center"/>
                </w:tcPr>
                <w:p w14:paraId="68EE0EDC">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3024</w:t>
                  </w:r>
                </w:p>
              </w:tc>
              <w:tc>
                <w:tcPr>
                  <w:tcW w:w="717" w:type="pct"/>
                  <w:tcBorders>
                    <w:tl2br w:val="nil"/>
                    <w:tr2bl w:val="nil"/>
                  </w:tcBorders>
                  <w:noWrap w:val="0"/>
                  <w:vAlign w:val="center"/>
                </w:tcPr>
                <w:p w14:paraId="780683EC">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2</w:t>
                  </w:r>
                </w:p>
              </w:tc>
              <w:tc>
                <w:tcPr>
                  <w:tcW w:w="710" w:type="pct"/>
                  <w:tcBorders>
                    <w:tl2br w:val="nil"/>
                    <w:tr2bl w:val="nil"/>
                  </w:tcBorders>
                  <w:noWrap w:val="0"/>
                  <w:vAlign w:val="center"/>
                </w:tcPr>
                <w:p w14:paraId="2E5FC39D">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8100</w:t>
                  </w:r>
                </w:p>
              </w:tc>
            </w:tr>
            <w:tr w14:paraId="6C3503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51" w:type="pct"/>
                  <w:tcBorders>
                    <w:tl2br w:val="nil"/>
                    <w:tr2bl w:val="nil"/>
                  </w:tcBorders>
                  <w:shd w:val="clear" w:color="auto" w:fill="auto"/>
                  <w:noWrap w:val="0"/>
                  <w:vAlign w:val="center"/>
                </w:tcPr>
                <w:p w14:paraId="365999F9">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喷粉前处理酸洗</w:t>
                  </w:r>
                  <w:r>
                    <w:rPr>
                      <w:rFonts w:hint="eastAsia" w:ascii="Times New Roman" w:hAnsi="Times New Roman" w:eastAsia="仿宋" w:cs="Times New Roman"/>
                      <w:color w:val="auto"/>
                      <w:szCs w:val="21"/>
                      <w:highlight w:val="none"/>
                      <w:lang w:val="en-US" w:eastAsia="zh-CN"/>
                    </w:rPr>
                    <w:t>槽</w:t>
                  </w:r>
                </w:p>
              </w:tc>
              <w:tc>
                <w:tcPr>
                  <w:tcW w:w="781" w:type="pct"/>
                  <w:tcBorders>
                    <w:tl2br w:val="nil"/>
                    <w:tr2bl w:val="nil"/>
                  </w:tcBorders>
                  <w:shd w:val="clear" w:color="auto" w:fill="auto"/>
                  <w:noWrap w:val="0"/>
                  <w:vAlign w:val="center"/>
                </w:tcPr>
                <w:p w14:paraId="4FFC507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1.5</w:t>
                  </w:r>
                </w:p>
              </w:tc>
              <w:tc>
                <w:tcPr>
                  <w:tcW w:w="622" w:type="pct"/>
                  <w:tcBorders>
                    <w:tl2br w:val="nil"/>
                    <w:tr2bl w:val="nil"/>
                  </w:tcBorders>
                  <w:shd w:val="clear" w:color="auto" w:fill="auto"/>
                  <w:noWrap w:val="0"/>
                  <w:vAlign w:val="center"/>
                </w:tcPr>
                <w:p w14:paraId="7F2E7E4D">
                  <w:pPr>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1</w:t>
                  </w:r>
                </w:p>
              </w:tc>
              <w:tc>
                <w:tcPr>
                  <w:tcW w:w="1116" w:type="pct"/>
                  <w:tcBorders>
                    <w:tl2br w:val="nil"/>
                    <w:tr2bl w:val="nil"/>
                  </w:tcBorders>
                  <w:shd w:val="clear" w:color="auto" w:fill="auto"/>
                  <w:noWrap w:val="0"/>
                  <w:vAlign w:val="center"/>
                </w:tcPr>
                <w:p w14:paraId="424AC21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4050</w:t>
                  </w:r>
                </w:p>
              </w:tc>
              <w:tc>
                <w:tcPr>
                  <w:tcW w:w="717" w:type="pct"/>
                  <w:tcBorders>
                    <w:tl2br w:val="nil"/>
                    <w:tr2bl w:val="nil"/>
                  </w:tcBorders>
                  <w:shd w:val="clear" w:color="auto" w:fill="auto"/>
                  <w:noWrap w:val="0"/>
                  <w:vAlign w:val="center"/>
                </w:tcPr>
                <w:p w14:paraId="11567B35">
                  <w:pPr>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1</w:t>
                  </w:r>
                </w:p>
              </w:tc>
              <w:tc>
                <w:tcPr>
                  <w:tcW w:w="710" w:type="pct"/>
                  <w:tcBorders>
                    <w:tl2br w:val="nil"/>
                    <w:tr2bl w:val="nil"/>
                  </w:tcBorders>
                  <w:shd w:val="clear" w:color="auto" w:fill="auto"/>
                  <w:noWrap w:val="0"/>
                  <w:vAlign w:val="center"/>
                </w:tcPr>
                <w:p w14:paraId="0A7B3203">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Cs w:val="21"/>
                      <w:highlight w:val="none"/>
                      <w:lang w:val="en-US" w:eastAsia="zh-CN"/>
                    </w:rPr>
                    <w:t>4900</w:t>
                  </w:r>
                </w:p>
              </w:tc>
            </w:tr>
          </w:tbl>
          <w:p w14:paraId="6B789F24">
            <w:pPr>
              <w:keepNext w:val="0"/>
              <w:keepLines w:val="0"/>
              <w:pageBreakBefore w:val="0"/>
              <w:widowControl w:val="0"/>
              <w:numPr>
                <w:ilvl w:val="0"/>
                <w:numId w:val="0"/>
              </w:numPr>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sz w:val="24"/>
                <w:highlight w:val="none"/>
                <w:lang w:val="en-US" w:eastAsia="zh-CN"/>
              </w:rPr>
              <w:t>排气筒合理性分析</w:t>
            </w:r>
          </w:p>
          <w:p w14:paraId="5C525C6A">
            <w:pPr>
              <w:keepNext w:val="0"/>
              <w:keepLines w:val="0"/>
              <w:pageBreakBefore w:val="0"/>
              <w:widowControl w:val="0"/>
              <w:numPr>
                <w:ilvl w:val="-1"/>
                <w:numId w:val="0"/>
              </w:numPr>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《表面涂装（汽车零部件）大气污染物排放标准》（DB32/3966-2021）、《工业炉窑大气污染物排放标准》（DB 32/3728-2020</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要求，排气筒高度不应低于15米</w:t>
            </w:r>
            <w:r>
              <w:rPr>
                <w:rFonts w:hint="eastAsia" w:ascii="Times New Roman" w:hAnsi="Times New Roman" w:eastAsia="宋体" w:cs="Times New Roman"/>
                <w:color w:val="auto"/>
                <w:sz w:val="24"/>
                <w:highlight w:val="none"/>
              </w:rPr>
              <w:t>，本项目废气排气筒高度均设置</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rPr>
              <w:t>m，与排放标准相符。</w:t>
            </w:r>
          </w:p>
          <w:p w14:paraId="274BB707">
            <w:pPr>
              <w:keepNext w:val="0"/>
              <w:keepLines w:val="0"/>
              <w:pageBreakBefore w:val="0"/>
              <w:widowControl w:val="0"/>
              <w:numPr>
                <w:ilvl w:val="-1"/>
                <w:numId w:val="0"/>
              </w:numPr>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根据《大气污染治理工程技术导则》（HJ</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2000-2010）5.3.5中要求：</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排气筒的出口直径应根据出口流速确定，流速宜取15m/s左右</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。DA001排气筒总风量为</w:t>
            </w:r>
            <w:r>
              <w:rPr>
                <w:rFonts w:hint="eastAsia" w:cs="Times New Roman"/>
                <w:color w:val="auto"/>
                <w:sz w:val="24"/>
                <w:highlight w:val="none"/>
                <w:lang w:val="en-US" w:eastAsia="zh-CN"/>
              </w:rPr>
              <w:t>27500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/h，排气筒出口内径为</w:t>
            </w:r>
            <w:r>
              <w:rPr>
                <w:rFonts w:hint="eastAsia" w:cs="Times New Roman"/>
                <w:color w:val="auto"/>
                <w:sz w:val="24"/>
                <w:highlight w:val="none"/>
                <w:lang w:val="en-US" w:eastAsia="zh-CN"/>
              </w:rPr>
              <w:t>0.8</w:t>
            </w:r>
            <w:r>
              <w:rPr>
                <w:rFonts w:hint="eastAsia" w:ascii="Times New Roman" w:hAnsi="Times New Roman" w:eastAsia="宋体" w:cs="Times New Roman"/>
                <w:color w:val="auto"/>
                <w:sz w:val="24"/>
                <w:highlight w:val="none"/>
              </w:rPr>
              <w:t>m，经计算，烟气流速</w:t>
            </w:r>
            <w:r>
              <w:rPr>
                <w:rFonts w:hint="eastAsia" w:cs="Times New Roman"/>
                <w:color w:val="auto"/>
                <w:sz w:val="24"/>
                <w:highlight w:val="none"/>
                <w:lang w:val="en-US" w:eastAsia="zh-CN"/>
              </w:rPr>
              <w:t>约</w:t>
            </w:r>
            <w:r>
              <w:rPr>
                <w:rFonts w:hint="eastAsia" w:ascii="Times New Roman" w:hAnsi="Times New Roman" w:eastAsia="宋体" w:cs="Times New Roman"/>
                <w:color w:val="auto"/>
                <w:sz w:val="24"/>
                <w:highlight w:val="none"/>
              </w:rPr>
              <w:t>为</w:t>
            </w:r>
            <w:r>
              <w:rPr>
                <w:rFonts w:hint="eastAsia" w:cs="Times New Roman"/>
                <w:color w:val="auto"/>
                <w:sz w:val="24"/>
                <w:highlight w:val="none"/>
                <w:lang w:val="en-US" w:eastAsia="zh-CN"/>
              </w:rPr>
              <w:t>15.2</w:t>
            </w:r>
            <w:r>
              <w:rPr>
                <w:rFonts w:hint="eastAsia" w:ascii="Times New Roman" w:hAnsi="Times New Roman" w:eastAsia="宋体" w:cs="Times New Roman"/>
                <w:color w:val="auto"/>
                <w:sz w:val="24"/>
                <w:highlight w:val="none"/>
              </w:rPr>
              <w:t>m/s，因此烟气流速设计合理</w:t>
            </w:r>
            <w:r>
              <w:rPr>
                <w:rFonts w:hint="eastAsia" w:ascii="Times New Roman" w:hAnsi="Times New Roman" w:eastAsia="宋体" w:cs="Times New Roman"/>
                <w:color w:val="auto"/>
                <w:sz w:val="24"/>
                <w:highlight w:val="none"/>
                <w:lang w:eastAsia="zh-CN"/>
              </w:rPr>
              <w:t>。</w:t>
            </w:r>
          </w:p>
          <w:p w14:paraId="6D321AED">
            <w:pPr>
              <w:keepNext w:val="0"/>
              <w:keepLines w:val="0"/>
              <w:pageBreakBefore w:val="0"/>
              <w:widowControl w:val="0"/>
              <w:kinsoku/>
              <w:wordWrap/>
              <w:overflowPunct/>
              <w:topLinePunct w:val="0"/>
              <w:bidi w:val="0"/>
              <w:snapToGrid/>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废气处理</w:t>
            </w:r>
            <w:r>
              <w:rPr>
                <w:rFonts w:hint="eastAsia" w:ascii="Times New Roman" w:hAnsi="Times New Roman" w:eastAsia="宋体" w:cs="Times New Roman"/>
                <w:color w:val="auto"/>
                <w:sz w:val="24"/>
                <w:szCs w:val="24"/>
                <w:highlight w:val="none"/>
                <w:lang w:val="en-US" w:eastAsia="zh-CN"/>
              </w:rPr>
              <w:t>技术可行性分析</w:t>
            </w:r>
          </w:p>
          <w:p w14:paraId="21C2DB23">
            <w:pPr>
              <w:widowControl w:val="0"/>
              <w:snapToGrid/>
              <w:spacing w:line="360" w:lineRule="auto"/>
              <w:ind w:firstLine="482"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旋风除尘</w:t>
            </w:r>
            <w:r>
              <w:rPr>
                <w:rFonts w:hint="eastAsia" w:cs="Times New Roman"/>
                <w:b/>
                <w:bCs/>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旋风除尘器是利用旋转气流所产生的离心力将尘粒从含尘气流中分离出来的除尘装置。旋风除尘器由进气口，圆筒体，圆锥体，排气管和排尘装置组成。当含尘气流由切线进口进入除尘器后，气流在除尘器内</w:t>
            </w:r>
            <w:r>
              <w:rPr>
                <w:rFonts w:hint="eastAsia" w:cs="Times New Roman"/>
                <w:b w:val="0"/>
                <w:bCs w:val="0"/>
                <w:color w:val="auto"/>
                <w:sz w:val="24"/>
                <w:szCs w:val="24"/>
                <w:highlight w:val="none"/>
                <w:lang w:val="en-US" w:eastAsia="zh-CN"/>
              </w:rPr>
              <w:t>做</w:t>
            </w:r>
            <w:r>
              <w:rPr>
                <w:rFonts w:hint="eastAsia" w:ascii="Times New Roman" w:hAnsi="Times New Roman" w:eastAsia="宋体" w:cs="Times New Roman"/>
                <w:b w:val="0"/>
                <w:bCs w:val="0"/>
                <w:color w:val="auto"/>
                <w:sz w:val="24"/>
                <w:szCs w:val="24"/>
                <w:highlight w:val="none"/>
                <w:lang w:val="en-US" w:eastAsia="zh-CN"/>
              </w:rPr>
              <w:t>旋转运动，气流中的尘粒在离心力作用下向外壁移动，到达壁面，并在气流和重力作用下沿壁落入灰斗而达到分离的目的</w:t>
            </w:r>
            <w:r>
              <w:rPr>
                <w:rFonts w:hint="eastAsia" w:cs="Times New Roman"/>
                <w:b w:val="0"/>
                <w:bCs w:val="0"/>
                <w:color w:val="auto"/>
                <w:sz w:val="24"/>
                <w:szCs w:val="24"/>
                <w:highlight w:val="none"/>
                <w:lang w:val="en-US" w:eastAsia="zh-CN"/>
              </w:rPr>
              <w:t>。</w:t>
            </w:r>
          </w:p>
          <w:p w14:paraId="142C554D">
            <w:pPr>
              <w:keepNext w:val="0"/>
              <w:keepLines w:val="0"/>
              <w:pageBreakBefore w:val="0"/>
              <w:widowControl w:val="0"/>
              <w:kinsoku/>
              <w:wordWrap/>
              <w:overflowPunct/>
              <w:topLinePunct w:val="0"/>
              <w:bidi w:val="0"/>
              <w:snapToGrid/>
              <w:spacing w:line="360" w:lineRule="auto"/>
              <w:ind w:firstLine="482" w:firstLineChars="200"/>
              <w:rPr>
                <w:rFonts w:hint="eastAsia" w:ascii="Times New Roman" w:hAnsi="Times New Roman" w:eastAsia="宋体" w:cs="Times New Roman"/>
                <w:color w:val="auto"/>
                <w:sz w:val="24"/>
                <w:highlight w:val="none"/>
                <w:lang w:eastAsia="zh-CN"/>
              </w:rPr>
            </w:pPr>
            <w:r>
              <w:rPr>
                <w:rFonts w:hint="eastAsia" w:cs="Times New Roman"/>
                <w:b/>
                <w:bCs/>
                <w:color w:val="auto"/>
                <w:sz w:val="24"/>
                <w:szCs w:val="24"/>
                <w:highlight w:val="none"/>
                <w:lang w:val="en-US" w:eastAsia="zh-CN"/>
              </w:rPr>
              <w:t>喷淋塔</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color w:val="auto"/>
                <w:sz w:val="24"/>
                <w:highlight w:val="none"/>
              </w:rPr>
              <w:t>喷淋塔利用气体与液体间的接触</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将气体中的污染物传送到液体中，然后再将清洁气体与被污染的液体分离，达到清净空气的目的。废气经收集</w:t>
            </w:r>
            <w:r>
              <w:rPr>
                <w:rFonts w:hint="eastAsia" w:cs="Times New Roman"/>
                <w:color w:val="auto"/>
                <w:sz w:val="24"/>
                <w:highlight w:val="none"/>
                <w:lang w:eastAsia="zh-CN"/>
              </w:rPr>
              <w:t>后</w:t>
            </w:r>
            <w:r>
              <w:rPr>
                <w:rFonts w:hint="eastAsia" w:ascii="Times New Roman" w:hAnsi="Times New Roman" w:eastAsia="宋体" w:cs="Times New Roman"/>
                <w:color w:val="auto"/>
                <w:sz w:val="24"/>
                <w:highlight w:val="none"/>
              </w:rPr>
              <w:t>进入洗涤塔，经过气体分布器之后，采用气液逆向吸收方式处理，即液体自塔顶向下以雾状（或小液滴）</w:t>
            </w:r>
            <w:r>
              <w:rPr>
                <w:rFonts w:hint="eastAsia" w:cs="Times New Roman"/>
                <w:color w:val="auto"/>
                <w:sz w:val="24"/>
                <w:highlight w:val="none"/>
                <w:lang w:eastAsia="zh-CN"/>
              </w:rPr>
              <w:t>喷洒</w:t>
            </w:r>
            <w:r>
              <w:rPr>
                <w:rFonts w:hint="eastAsia" w:ascii="Times New Roman" w:hAnsi="Times New Roman" w:eastAsia="宋体" w:cs="Times New Roman"/>
                <w:color w:val="auto"/>
                <w:sz w:val="24"/>
                <w:highlight w:val="none"/>
              </w:rPr>
              <w:t>而下，废气则由塔体（逆向流）达到气液接触之目的。气体和液体进行充分接触并</w:t>
            </w:r>
            <w:r>
              <w:rPr>
                <w:rFonts w:hint="eastAsia" w:cs="Times New Roman"/>
                <w:color w:val="auto"/>
                <w:sz w:val="24"/>
                <w:highlight w:val="none"/>
                <w:lang w:eastAsia="zh-CN"/>
              </w:rPr>
              <w:t>进行</w:t>
            </w:r>
            <w:r>
              <w:rPr>
                <w:rFonts w:hint="eastAsia" w:ascii="Times New Roman" w:hAnsi="Times New Roman" w:eastAsia="宋体" w:cs="Times New Roman"/>
                <w:color w:val="auto"/>
                <w:sz w:val="24"/>
                <w:highlight w:val="none"/>
              </w:rPr>
              <w:t>物理吸收和化学反应，中或之后的液体会流入储液槽，经处理后的废气从洗涤塔上端经排气管道排出。喷淋塔用水循环使用，每年更换一次</w:t>
            </w:r>
            <w:r>
              <w:rPr>
                <w:rFonts w:hint="eastAsia" w:ascii="Times New Roman" w:hAnsi="Times New Roman" w:eastAsia="宋体" w:cs="Times New Roman"/>
                <w:color w:val="auto"/>
                <w:sz w:val="24"/>
                <w:highlight w:val="none"/>
                <w:lang w:eastAsia="zh-CN"/>
              </w:rPr>
              <w:t>。</w:t>
            </w:r>
          </w:p>
          <w:p w14:paraId="1205B57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喷淋塔主体设备技术参数</w:t>
            </w:r>
          </w:p>
          <w:tbl>
            <w:tblPr>
              <w:tblStyle w:val="20"/>
              <w:tblW w:w="4995"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685"/>
              <w:gridCol w:w="1133"/>
              <w:gridCol w:w="3067"/>
              <w:gridCol w:w="983"/>
              <w:gridCol w:w="1461"/>
              <w:gridCol w:w="2157"/>
            </w:tblGrid>
            <w:tr w14:paraId="4E9A064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cantSplit/>
                <w:trHeight w:val="333" w:hRule="atLeast"/>
                <w:jc w:val="center"/>
              </w:trPr>
              <w:tc>
                <w:tcPr>
                  <w:tcW w:w="361" w:type="pct"/>
                  <w:tcBorders>
                    <w:tl2br w:val="nil"/>
                    <w:tr2bl w:val="nil"/>
                  </w:tcBorders>
                  <w:noWrap w:val="0"/>
                  <w:tcMar>
                    <w:top w:w="15" w:type="dxa"/>
                    <w:left w:w="15" w:type="dxa"/>
                    <w:bottom w:w="0" w:type="dxa"/>
                    <w:right w:w="15" w:type="dxa"/>
                  </w:tcMar>
                  <w:vAlign w:val="center"/>
                </w:tcPr>
                <w:p w14:paraId="60BF6F0D">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序号</w:t>
                  </w:r>
                </w:p>
              </w:tc>
              <w:tc>
                <w:tcPr>
                  <w:tcW w:w="597" w:type="pct"/>
                  <w:tcBorders>
                    <w:tl2br w:val="nil"/>
                    <w:tr2bl w:val="nil"/>
                  </w:tcBorders>
                  <w:noWrap w:val="0"/>
                  <w:tcMar>
                    <w:top w:w="15" w:type="dxa"/>
                    <w:left w:w="15" w:type="dxa"/>
                    <w:bottom w:w="0" w:type="dxa"/>
                    <w:right w:w="15" w:type="dxa"/>
                  </w:tcMar>
                  <w:vAlign w:val="center"/>
                </w:tcPr>
                <w:p w14:paraId="157BA96D">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设备名称</w:t>
                  </w:r>
                </w:p>
              </w:tc>
              <w:tc>
                <w:tcPr>
                  <w:tcW w:w="1616" w:type="pct"/>
                  <w:tcBorders>
                    <w:tl2br w:val="nil"/>
                    <w:tr2bl w:val="nil"/>
                  </w:tcBorders>
                  <w:noWrap w:val="0"/>
                  <w:tcMar>
                    <w:top w:w="15" w:type="dxa"/>
                    <w:left w:w="15" w:type="dxa"/>
                    <w:bottom w:w="0" w:type="dxa"/>
                    <w:right w:w="15" w:type="dxa"/>
                  </w:tcMar>
                  <w:vAlign w:val="center"/>
                </w:tcPr>
                <w:p w14:paraId="38FE003F">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规格型号</w:t>
                  </w:r>
                </w:p>
              </w:tc>
              <w:tc>
                <w:tcPr>
                  <w:tcW w:w="518" w:type="pct"/>
                  <w:tcBorders>
                    <w:tl2br w:val="nil"/>
                    <w:tr2bl w:val="nil"/>
                  </w:tcBorders>
                  <w:shd w:val="clear" w:color="auto" w:fill="auto"/>
                  <w:noWrap w:val="0"/>
                  <w:tcMar>
                    <w:top w:w="15" w:type="dxa"/>
                    <w:left w:w="15" w:type="dxa"/>
                    <w:bottom w:w="0" w:type="dxa"/>
                    <w:right w:w="15" w:type="dxa"/>
                  </w:tcMar>
                  <w:vAlign w:val="center"/>
                </w:tcPr>
                <w:p w14:paraId="5A064070">
                  <w:pPr>
                    <w:keepNext w:val="0"/>
                    <w:keepLines w:val="0"/>
                    <w:pageBreakBefore w:val="0"/>
                    <w:widowControl w:val="0"/>
                    <w:kinsoku/>
                    <w:overflowPunct/>
                    <w:topLinePunct w:val="0"/>
                    <w:autoSpaceDE/>
                    <w:autoSpaceDN/>
                    <w:bidi w:val="0"/>
                    <w:spacing w:line="240" w:lineRule="auto"/>
                    <w:jc w:val="center"/>
                    <w:textAlignment w:val="auto"/>
                    <w:rPr>
                      <w:rFonts w:hint="eastAsia" w:ascii="Times New Roman" w:hAnsi="Times New Roman" w:eastAsia="仿宋" w:cs="Times New Roman"/>
                      <w:b/>
                      <w:bCs/>
                      <w:color w:val="auto"/>
                      <w:kern w:val="2"/>
                      <w:sz w:val="21"/>
                      <w:szCs w:val="21"/>
                      <w:highlight w:val="none"/>
                      <w:vertAlign w:val="baseline"/>
                      <w:lang w:val="en-US" w:eastAsia="zh-CN" w:bidi="ar-SA"/>
                    </w:rPr>
                  </w:pPr>
                  <w:r>
                    <w:rPr>
                      <w:rFonts w:hint="eastAsia" w:eastAsia="仿宋" w:cs="Times New Roman"/>
                      <w:b/>
                      <w:bCs/>
                      <w:color w:val="auto"/>
                      <w:sz w:val="21"/>
                      <w:szCs w:val="21"/>
                      <w:highlight w:val="none"/>
                      <w:vertAlign w:val="baseline"/>
                      <w:lang w:val="en-US" w:eastAsia="zh-CN"/>
                    </w:rPr>
                    <w:t>气液比</w:t>
                  </w:r>
                </w:p>
              </w:tc>
              <w:tc>
                <w:tcPr>
                  <w:tcW w:w="770" w:type="pct"/>
                  <w:tcBorders>
                    <w:tl2br w:val="nil"/>
                    <w:tr2bl w:val="nil"/>
                  </w:tcBorders>
                  <w:noWrap w:val="0"/>
                  <w:tcMar>
                    <w:top w:w="15" w:type="dxa"/>
                    <w:left w:w="15" w:type="dxa"/>
                    <w:bottom w:w="0" w:type="dxa"/>
                    <w:right w:w="15" w:type="dxa"/>
                  </w:tcMar>
                  <w:vAlign w:val="center"/>
                </w:tcPr>
                <w:p w14:paraId="4499AB67">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填料</w:t>
                  </w:r>
                </w:p>
              </w:tc>
              <w:tc>
                <w:tcPr>
                  <w:tcW w:w="1136" w:type="pct"/>
                  <w:tcBorders>
                    <w:tl2br w:val="nil"/>
                    <w:tr2bl w:val="nil"/>
                  </w:tcBorders>
                  <w:noWrap w:val="0"/>
                  <w:tcMar>
                    <w:top w:w="15" w:type="dxa"/>
                    <w:left w:w="15" w:type="dxa"/>
                    <w:bottom w:w="0" w:type="dxa"/>
                    <w:right w:w="15" w:type="dxa"/>
                  </w:tcMar>
                  <w:vAlign w:val="center"/>
                </w:tcPr>
                <w:p w14:paraId="432DE7B6">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eastAsia" w:eastAsia="仿宋" w:cs="Times New Roman"/>
                      <w:b/>
                      <w:bCs/>
                      <w:color w:val="auto"/>
                      <w:sz w:val="21"/>
                      <w:szCs w:val="21"/>
                      <w:highlight w:val="none"/>
                      <w:vertAlign w:val="baseline"/>
                      <w:lang w:val="en-US" w:eastAsia="zh-CN"/>
                    </w:rPr>
                    <w:t>备注</w:t>
                  </w:r>
                </w:p>
              </w:tc>
            </w:tr>
            <w:tr w14:paraId="1AF6EF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cantSplit/>
                <w:trHeight w:val="335" w:hRule="atLeast"/>
                <w:jc w:val="center"/>
              </w:trPr>
              <w:tc>
                <w:tcPr>
                  <w:tcW w:w="361" w:type="pct"/>
                  <w:tcBorders>
                    <w:tl2br w:val="nil"/>
                    <w:tr2bl w:val="nil"/>
                  </w:tcBorders>
                  <w:noWrap w:val="0"/>
                  <w:tcMar>
                    <w:top w:w="15" w:type="dxa"/>
                    <w:left w:w="15" w:type="dxa"/>
                    <w:bottom w:w="0" w:type="dxa"/>
                    <w:right w:w="15" w:type="dxa"/>
                  </w:tcMar>
                  <w:vAlign w:val="center"/>
                </w:tcPr>
                <w:p w14:paraId="27FA6B6D">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1</w:t>
                  </w:r>
                </w:p>
              </w:tc>
              <w:tc>
                <w:tcPr>
                  <w:tcW w:w="597" w:type="pct"/>
                  <w:tcBorders>
                    <w:tl2br w:val="nil"/>
                    <w:tr2bl w:val="nil"/>
                  </w:tcBorders>
                  <w:noWrap w:val="0"/>
                  <w:tcMar>
                    <w:top w:w="15" w:type="dxa"/>
                    <w:left w:w="15" w:type="dxa"/>
                    <w:bottom w:w="0" w:type="dxa"/>
                    <w:right w:w="15" w:type="dxa"/>
                  </w:tcMar>
                  <w:vAlign w:val="center"/>
                </w:tcPr>
                <w:p w14:paraId="4B81AA0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喷淋塔</w:t>
                  </w:r>
                </w:p>
              </w:tc>
              <w:tc>
                <w:tcPr>
                  <w:tcW w:w="1616" w:type="pct"/>
                  <w:tcBorders>
                    <w:tl2br w:val="nil"/>
                    <w:tr2bl w:val="nil"/>
                  </w:tcBorders>
                  <w:noWrap w:val="0"/>
                  <w:tcMar>
                    <w:top w:w="15" w:type="dxa"/>
                    <w:left w:w="15" w:type="dxa"/>
                    <w:bottom w:w="0" w:type="dxa"/>
                    <w:right w:w="15" w:type="dxa"/>
                  </w:tcMar>
                  <w:vAlign w:val="center"/>
                </w:tcPr>
                <w:p w14:paraId="4FA48A8E">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规格：D3500*5500mm；材质：PP/CS；水泵功率：1.5kW</w:t>
                  </w:r>
                </w:p>
              </w:tc>
              <w:tc>
                <w:tcPr>
                  <w:tcW w:w="518" w:type="pct"/>
                  <w:tcBorders>
                    <w:tl2br w:val="nil"/>
                    <w:tr2bl w:val="nil"/>
                  </w:tcBorders>
                  <w:shd w:val="clear" w:color="auto" w:fill="auto"/>
                  <w:noWrap w:val="0"/>
                  <w:tcMar>
                    <w:top w:w="15" w:type="dxa"/>
                    <w:left w:w="15" w:type="dxa"/>
                    <w:bottom w:w="0" w:type="dxa"/>
                    <w:right w:w="15" w:type="dxa"/>
                  </w:tcMar>
                  <w:vAlign w:val="center"/>
                </w:tcPr>
                <w:p w14:paraId="0F206C22">
                  <w:pPr>
                    <w:keepNext w:val="0"/>
                    <w:keepLines w:val="0"/>
                    <w:pageBreakBefore w:val="0"/>
                    <w:widowControl w:val="0"/>
                    <w:kinsoku/>
                    <w:overflowPunct/>
                    <w:topLinePunct w:val="0"/>
                    <w:autoSpaceDE/>
                    <w:autoSpaceDN/>
                    <w:bidi w:val="0"/>
                    <w:spacing w:line="240" w:lineRule="auto"/>
                    <w:jc w:val="center"/>
                    <w:textAlignment w:val="auto"/>
                    <w:rPr>
                      <w:rFonts w:hint="eastAsia"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sz w:val="21"/>
                      <w:szCs w:val="21"/>
                      <w:highlight w:val="none"/>
                      <w:vertAlign w:val="baseline"/>
                      <w:lang w:val="en-US" w:eastAsia="zh-CN"/>
                    </w:rPr>
                    <w:t>2L/m</w:t>
                  </w:r>
                  <w:r>
                    <w:rPr>
                      <w:rFonts w:hint="eastAsia" w:eastAsia="仿宋" w:cs="Times New Roman"/>
                      <w:b w:val="0"/>
                      <w:bCs w:val="0"/>
                      <w:color w:val="auto"/>
                      <w:sz w:val="21"/>
                      <w:szCs w:val="21"/>
                      <w:highlight w:val="none"/>
                      <w:vertAlign w:val="superscript"/>
                      <w:lang w:val="en-US" w:eastAsia="zh-CN"/>
                    </w:rPr>
                    <w:t>3</w:t>
                  </w:r>
                </w:p>
              </w:tc>
              <w:tc>
                <w:tcPr>
                  <w:tcW w:w="770" w:type="pct"/>
                  <w:tcBorders>
                    <w:tl2br w:val="nil"/>
                    <w:tr2bl w:val="nil"/>
                  </w:tcBorders>
                  <w:noWrap w:val="0"/>
                  <w:tcMar>
                    <w:top w:w="15" w:type="dxa"/>
                    <w:left w:w="15" w:type="dxa"/>
                    <w:bottom w:w="0" w:type="dxa"/>
                    <w:right w:w="15" w:type="dxa"/>
                  </w:tcMar>
                  <w:vAlign w:val="center"/>
                </w:tcPr>
                <w:p w14:paraId="65E8DFBB">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碱液</w:t>
                  </w:r>
                </w:p>
              </w:tc>
              <w:tc>
                <w:tcPr>
                  <w:tcW w:w="1136" w:type="pct"/>
                  <w:tcBorders>
                    <w:tl2br w:val="nil"/>
                    <w:tr2bl w:val="nil"/>
                  </w:tcBorders>
                  <w:noWrap w:val="0"/>
                  <w:tcMar>
                    <w:top w:w="15" w:type="dxa"/>
                    <w:left w:w="15" w:type="dxa"/>
                    <w:bottom w:w="0" w:type="dxa"/>
                    <w:right w:w="15" w:type="dxa"/>
                  </w:tcMar>
                  <w:vAlign w:val="center"/>
                </w:tcPr>
                <w:p w14:paraId="17D52477">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材质：</w:t>
                  </w:r>
                  <w:r>
                    <w:rPr>
                      <w:rFonts w:hint="default" w:ascii="Times New Roman" w:hAnsi="Times New Roman" w:eastAsia="仿宋" w:cs="Times New Roman"/>
                      <w:b w:val="0"/>
                      <w:bCs w:val="0"/>
                      <w:color w:val="auto"/>
                      <w:sz w:val="21"/>
                      <w:szCs w:val="21"/>
                      <w:highlight w:val="none"/>
                      <w:vertAlign w:val="baseline"/>
                      <w:lang w:val="en-US" w:eastAsia="zh-CN"/>
                    </w:rPr>
                    <w:t>塔体玻璃钢材料</w:t>
                  </w:r>
                </w:p>
              </w:tc>
            </w:tr>
            <w:tr w14:paraId="444B92C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cantSplit/>
                <w:trHeight w:val="335" w:hRule="atLeast"/>
                <w:jc w:val="center"/>
              </w:trPr>
              <w:tc>
                <w:tcPr>
                  <w:tcW w:w="361" w:type="pct"/>
                  <w:tcBorders>
                    <w:tl2br w:val="nil"/>
                    <w:tr2bl w:val="nil"/>
                  </w:tcBorders>
                  <w:noWrap w:val="0"/>
                  <w:tcMar>
                    <w:top w:w="15" w:type="dxa"/>
                    <w:left w:w="15" w:type="dxa"/>
                    <w:bottom w:w="0" w:type="dxa"/>
                    <w:right w:w="15" w:type="dxa"/>
                  </w:tcMar>
                  <w:vAlign w:val="center"/>
                </w:tcPr>
                <w:p w14:paraId="48D121DA">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2</w:t>
                  </w:r>
                </w:p>
              </w:tc>
              <w:tc>
                <w:tcPr>
                  <w:tcW w:w="597" w:type="pct"/>
                  <w:tcBorders>
                    <w:tl2br w:val="nil"/>
                    <w:tr2bl w:val="nil"/>
                  </w:tcBorders>
                  <w:noWrap w:val="0"/>
                  <w:tcMar>
                    <w:top w:w="15" w:type="dxa"/>
                    <w:left w:w="15" w:type="dxa"/>
                    <w:bottom w:w="0" w:type="dxa"/>
                    <w:right w:w="15" w:type="dxa"/>
                  </w:tcMar>
                  <w:vAlign w:val="center"/>
                </w:tcPr>
                <w:p w14:paraId="343F2276">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干式过滤器</w:t>
                  </w:r>
                </w:p>
              </w:tc>
              <w:tc>
                <w:tcPr>
                  <w:tcW w:w="1616" w:type="pct"/>
                  <w:tcBorders>
                    <w:tl2br w:val="nil"/>
                    <w:tr2bl w:val="nil"/>
                  </w:tcBorders>
                  <w:noWrap w:val="0"/>
                  <w:tcMar>
                    <w:top w:w="15" w:type="dxa"/>
                    <w:left w:w="15" w:type="dxa"/>
                    <w:bottom w:w="0" w:type="dxa"/>
                    <w:right w:w="15" w:type="dxa"/>
                  </w:tcMar>
                  <w:vAlign w:val="center"/>
                </w:tcPr>
                <w:p w14:paraId="562D8053">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2000mm*2000mm*2000mm</w:t>
                  </w:r>
                </w:p>
              </w:tc>
              <w:tc>
                <w:tcPr>
                  <w:tcW w:w="518" w:type="pct"/>
                  <w:tcBorders>
                    <w:tl2br w:val="nil"/>
                    <w:tr2bl w:val="nil"/>
                  </w:tcBorders>
                  <w:shd w:val="clear" w:color="auto" w:fill="auto"/>
                  <w:noWrap w:val="0"/>
                  <w:tcMar>
                    <w:top w:w="15" w:type="dxa"/>
                    <w:left w:w="15" w:type="dxa"/>
                    <w:bottom w:w="0" w:type="dxa"/>
                    <w:right w:w="15" w:type="dxa"/>
                  </w:tcMar>
                  <w:vAlign w:val="center"/>
                </w:tcPr>
                <w:p w14:paraId="150C51D2">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w:t>
                  </w:r>
                </w:p>
              </w:tc>
              <w:tc>
                <w:tcPr>
                  <w:tcW w:w="770" w:type="pct"/>
                  <w:tcBorders>
                    <w:tl2br w:val="nil"/>
                    <w:tr2bl w:val="nil"/>
                  </w:tcBorders>
                  <w:noWrap w:val="0"/>
                  <w:tcMar>
                    <w:top w:w="15" w:type="dxa"/>
                    <w:left w:w="15" w:type="dxa"/>
                    <w:bottom w:w="0" w:type="dxa"/>
                    <w:right w:w="15" w:type="dxa"/>
                  </w:tcMar>
                  <w:vAlign w:val="center"/>
                </w:tcPr>
                <w:p w14:paraId="7931151D">
                  <w:pPr>
                    <w:keepNext w:val="0"/>
                    <w:keepLines w:val="0"/>
                    <w:pageBreakBefore w:val="0"/>
                    <w:widowControl w:val="0"/>
                    <w:kinsoku/>
                    <w:overflowPunct/>
                    <w:topLinePunct w:val="0"/>
                    <w:autoSpaceDE/>
                    <w:autoSpaceDN/>
                    <w:bidi w:val="0"/>
                    <w:spacing w:line="240" w:lineRule="auto"/>
                    <w:jc w:val="center"/>
                    <w:textAlignment w:val="auto"/>
                    <w:rPr>
                      <w:rFonts w:hint="default"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w:t>
                  </w:r>
                </w:p>
              </w:tc>
              <w:tc>
                <w:tcPr>
                  <w:tcW w:w="1136" w:type="pct"/>
                  <w:tcBorders>
                    <w:tl2br w:val="nil"/>
                    <w:tr2bl w:val="nil"/>
                  </w:tcBorders>
                  <w:noWrap w:val="0"/>
                  <w:tcMar>
                    <w:top w:w="15" w:type="dxa"/>
                    <w:left w:w="15" w:type="dxa"/>
                    <w:bottom w:w="0" w:type="dxa"/>
                    <w:right w:w="15" w:type="dxa"/>
                  </w:tcMar>
                  <w:vAlign w:val="center"/>
                </w:tcPr>
                <w:p w14:paraId="0916625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材质：PP/CS</w:t>
                  </w:r>
                </w:p>
              </w:tc>
            </w:tr>
          </w:tbl>
          <w:p w14:paraId="2ADC7FC1">
            <w:pPr>
              <w:widowControl w:val="0"/>
              <w:snapToGrid/>
              <w:spacing w:line="360" w:lineRule="auto"/>
              <w:ind w:firstLine="482"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活性炭吸附</w:t>
            </w:r>
            <w:r>
              <w:rPr>
                <w:rFonts w:hint="eastAsia" w:cs="Times New Roman"/>
                <w:b/>
                <w:bCs/>
                <w:color w:val="auto"/>
                <w:sz w:val="24"/>
                <w:szCs w:val="24"/>
                <w:highlight w:val="none"/>
                <w:lang w:val="en-US" w:eastAsia="zh-CN"/>
              </w:rPr>
              <w:t>：</w:t>
            </w:r>
            <w:r>
              <w:rPr>
                <w:rFonts w:hint="eastAsia"/>
                <w:color w:val="auto"/>
                <w:sz w:val="24"/>
              </w:rPr>
              <w:t>活性炭吸附法是以活性炭作为吸附剂，把有机废气吸附到活性炭表面，</w:t>
            </w:r>
            <w:r>
              <w:rPr>
                <w:rFonts w:cs="Times New Roman"/>
                <w:color w:val="auto"/>
                <w:sz w:val="24"/>
              </w:rPr>
              <w:t>从而达到净化废气的方法。活性炭是一种多孔性的含炭物质，具有高度发达的孔隙构造，活性炭的多孔结构为其提供了大量的表面积，比表面积一般在600~1500m</w:t>
            </w:r>
            <w:r>
              <w:rPr>
                <w:rFonts w:cs="Times New Roman"/>
                <w:color w:val="auto"/>
                <w:sz w:val="24"/>
                <w:vertAlign w:val="superscript"/>
              </w:rPr>
              <w:t>2</w:t>
            </w:r>
            <w:r>
              <w:rPr>
                <w:rFonts w:cs="Times New Roman"/>
                <w:color w:val="auto"/>
                <w:sz w:val="24"/>
              </w:rPr>
              <w:t>/g范围内。</w:t>
            </w:r>
            <w:r>
              <w:rPr>
                <w:color w:val="auto"/>
                <w:sz w:val="24"/>
              </w:rPr>
              <w:t>孔壁上的大量的分子可以产生强大的引力，能与气体（杂质）充分接触，从而达到将有害的杂质吸引到孔径中的目的</w:t>
            </w:r>
            <w:r>
              <w:rPr>
                <w:rFonts w:hint="eastAsia"/>
                <w:color w:val="auto"/>
                <w:sz w:val="24"/>
              </w:rPr>
              <w:t>，废气得到净化。二级活性炭装置对有机物的去除</w:t>
            </w:r>
            <w:r>
              <w:rPr>
                <w:rFonts w:cs="Times New Roman"/>
                <w:color w:val="auto"/>
                <w:sz w:val="24"/>
              </w:rPr>
              <w:t>效率可达90%以上</w:t>
            </w:r>
            <w:r>
              <w:rPr>
                <w:rFonts w:hint="eastAsia" w:cs="Times New Roman"/>
                <w:color w:val="auto"/>
                <w:sz w:val="24"/>
                <w:lang w:eastAsia="zh-CN"/>
              </w:rPr>
              <w:t>。</w:t>
            </w:r>
          </w:p>
          <w:p w14:paraId="3C44497C">
            <w:pPr>
              <w:spacing w:line="360" w:lineRule="auto"/>
              <w:ind w:firstLine="480" w:firstLineChars="200"/>
              <w:jc w:val="left"/>
              <w:rPr>
                <w:rFonts w:hint="eastAsia" w:cs="Times New Roman"/>
                <w:color w:val="auto"/>
                <w:sz w:val="24"/>
                <w:szCs w:val="24"/>
              </w:rPr>
            </w:pPr>
            <w:r>
              <w:rPr>
                <w:rFonts w:hint="eastAsia" w:cs="Times New Roman"/>
                <w:color w:val="auto"/>
                <w:sz w:val="24"/>
                <w:szCs w:val="24"/>
              </w:rPr>
              <w:t>根据《吸附法工业有机废气治理工程技术规范》（HJ2026-2013），吸附法适用于低浓度挥发性有机化合物废气的有效分离与去除，活性炭为有机废气治理技术中常用的吸附剂。</w:t>
            </w:r>
            <w:r>
              <w:rPr>
                <w:rFonts w:hint="eastAsia"/>
                <w:color w:val="auto"/>
                <w:sz w:val="24"/>
              </w:rPr>
              <w:t>本项目活性炭装置的技术参数详见下表：</w:t>
            </w:r>
          </w:p>
          <w:p w14:paraId="06466D45">
            <w:pPr>
              <w:widowControl w:val="0"/>
              <w:snapToGrid/>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4006215" cy="2049780"/>
                  <wp:effectExtent l="0" t="0" r="13335" b="762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32"/>
                          <a:stretch>
                            <a:fillRect/>
                          </a:stretch>
                        </pic:blipFill>
                        <pic:spPr>
                          <a:xfrm>
                            <a:off x="0" y="0"/>
                            <a:ext cx="4006215" cy="2049780"/>
                          </a:xfrm>
                          <a:prstGeom prst="rect">
                            <a:avLst/>
                          </a:prstGeom>
                          <a:noFill/>
                          <a:ln>
                            <a:noFill/>
                          </a:ln>
                        </pic:spPr>
                      </pic:pic>
                    </a:graphicData>
                  </a:graphic>
                </wp:inline>
              </w:drawing>
            </w:r>
          </w:p>
          <w:p w14:paraId="71D80853">
            <w:pPr>
              <w:pStyle w:val="5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图4</w:t>
            </w:r>
            <w:r>
              <w:rPr>
                <w:rFonts w:hint="default" w:ascii="Times New Roman" w:hAnsi="Times New Roman" w:eastAsia="宋体" w:cs="Times New Roman"/>
                <w:color w:val="auto"/>
                <w:sz w:val="24"/>
                <w:szCs w:val="24"/>
                <w:highlight w:val="none"/>
                <w:lang w:val="en-US" w:eastAsia="zh-CN"/>
              </w:rPr>
              <w:t>-2 活性炭吸附</w:t>
            </w:r>
            <w:r>
              <w:rPr>
                <w:rFonts w:hint="default" w:ascii="Times New Roman" w:hAnsi="Times New Roman" w:eastAsia="宋体" w:cs="Times New Roman"/>
                <w:color w:val="auto"/>
                <w:sz w:val="24"/>
                <w:szCs w:val="24"/>
                <w:highlight w:val="none"/>
              </w:rPr>
              <w:t>结构示意图</w:t>
            </w:r>
          </w:p>
          <w:p w14:paraId="6B4C6F1E">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活性炭吸附装置主要参数</w:t>
            </w:r>
          </w:p>
          <w:tbl>
            <w:tblPr>
              <w:tblStyle w:val="20"/>
              <w:tblW w:w="96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4500"/>
              <w:gridCol w:w="4492"/>
            </w:tblGrid>
            <w:tr w14:paraId="1568A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noWrap w:val="0"/>
                  <w:tcMar>
                    <w:top w:w="0" w:type="dxa"/>
                    <w:left w:w="68" w:type="dxa"/>
                    <w:bottom w:w="0" w:type="dxa"/>
                    <w:right w:w="68" w:type="dxa"/>
                  </w:tcMar>
                  <w:vAlign w:val="center"/>
                </w:tcPr>
                <w:p w14:paraId="06B554D8">
                  <w:pPr>
                    <w:keepNext w:val="0"/>
                    <w:keepLines w:val="0"/>
                    <w:suppressLineNumbers w:val="0"/>
                    <w:adjustRightIn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2342" w:type="pct"/>
                  <w:tcBorders>
                    <w:tl2br w:val="nil"/>
                    <w:tr2bl w:val="nil"/>
                  </w:tcBorders>
                  <w:noWrap w:val="0"/>
                  <w:tcMar>
                    <w:top w:w="0" w:type="dxa"/>
                    <w:left w:w="68" w:type="dxa"/>
                    <w:bottom w:w="0" w:type="dxa"/>
                    <w:right w:w="68" w:type="dxa"/>
                  </w:tcMar>
                  <w:vAlign w:val="center"/>
                </w:tcPr>
                <w:p w14:paraId="43B2A84D">
                  <w:pPr>
                    <w:keepNext w:val="0"/>
                    <w:keepLines w:val="0"/>
                    <w:suppressLineNumbers w:val="0"/>
                    <w:adjustRightIn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参数名称</w:t>
                  </w:r>
                </w:p>
              </w:tc>
              <w:tc>
                <w:tcPr>
                  <w:tcW w:w="2338" w:type="pct"/>
                  <w:tcBorders>
                    <w:tl2br w:val="nil"/>
                    <w:tr2bl w:val="nil"/>
                  </w:tcBorders>
                  <w:noWrap w:val="0"/>
                  <w:tcMar>
                    <w:top w:w="0" w:type="dxa"/>
                    <w:left w:w="68" w:type="dxa"/>
                    <w:bottom w:w="0" w:type="dxa"/>
                    <w:right w:w="68" w:type="dxa"/>
                  </w:tcMar>
                  <w:vAlign w:val="center"/>
                </w:tcPr>
                <w:p w14:paraId="0015E0A1">
                  <w:pPr>
                    <w:keepNext w:val="0"/>
                    <w:keepLines w:val="0"/>
                    <w:suppressLineNumbers w:val="0"/>
                    <w:adjustRightInd w:val="0"/>
                    <w:spacing w:before="0" w:beforeAutospacing="0" w:after="0" w:afterAutospacing="0"/>
                    <w:ind w:left="0" w:right="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指标</w:t>
                  </w:r>
                </w:p>
              </w:tc>
            </w:tr>
            <w:tr w14:paraId="2C4F4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noWrap w:val="0"/>
                  <w:tcMar>
                    <w:top w:w="0" w:type="dxa"/>
                    <w:left w:w="68" w:type="dxa"/>
                    <w:bottom w:w="0" w:type="dxa"/>
                    <w:right w:w="68" w:type="dxa"/>
                  </w:tcMar>
                  <w:vAlign w:val="center"/>
                </w:tcPr>
                <w:p w14:paraId="6472E634">
                  <w:pPr>
                    <w:keepNext w:val="0"/>
                    <w:keepLines w:val="0"/>
                    <w:suppressLineNumbers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2342" w:type="pct"/>
                  <w:tcBorders>
                    <w:tl2br w:val="nil"/>
                    <w:tr2bl w:val="nil"/>
                  </w:tcBorders>
                  <w:noWrap w:val="0"/>
                  <w:tcMar>
                    <w:top w:w="0" w:type="dxa"/>
                    <w:left w:w="68" w:type="dxa"/>
                    <w:bottom w:w="0" w:type="dxa"/>
                    <w:right w:w="68" w:type="dxa"/>
                  </w:tcMar>
                  <w:vAlign w:val="center"/>
                </w:tcPr>
                <w:p w14:paraId="35E9CE7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val="en-US" w:eastAsia="zh-CN"/>
                    </w:rPr>
                    <w:t>单个</w:t>
                  </w:r>
                  <w:r>
                    <w:rPr>
                      <w:rFonts w:hint="default" w:ascii="Times New Roman" w:hAnsi="Times New Roman" w:eastAsia="仿宋" w:cs="Times New Roman"/>
                      <w:color w:val="auto"/>
                      <w:sz w:val="21"/>
                      <w:szCs w:val="21"/>
                      <w:highlight w:val="none"/>
                    </w:rPr>
                    <w:t>箱体尺寸</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mm</w:t>
                  </w:r>
                  <w:r>
                    <w:rPr>
                      <w:rFonts w:hint="default" w:ascii="Times New Roman" w:hAnsi="Times New Roman" w:eastAsia="仿宋" w:cs="Times New Roman"/>
                      <w:color w:val="auto"/>
                      <w:sz w:val="21"/>
                      <w:szCs w:val="21"/>
                      <w:highlight w:val="none"/>
                      <w:lang w:eastAsia="zh-CN"/>
                    </w:rPr>
                    <w:t>）</w:t>
                  </w:r>
                </w:p>
              </w:tc>
              <w:tc>
                <w:tcPr>
                  <w:tcW w:w="2338" w:type="pct"/>
                  <w:tcBorders>
                    <w:tl2br w:val="nil"/>
                    <w:tr2bl w:val="nil"/>
                  </w:tcBorders>
                  <w:noWrap w:val="0"/>
                  <w:tcMar>
                    <w:top w:w="0" w:type="dxa"/>
                    <w:left w:w="68" w:type="dxa"/>
                    <w:bottom w:w="0" w:type="dxa"/>
                    <w:right w:w="68" w:type="dxa"/>
                  </w:tcMar>
                  <w:vAlign w:val="center"/>
                </w:tcPr>
                <w:p w14:paraId="3C39EDAA">
                  <w:pPr>
                    <w:autoSpaceDE w:val="0"/>
                    <w:autoSpaceDN w:val="0"/>
                    <w:adjustRightInd w:val="0"/>
                    <w:snapToGrid w:val="0"/>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250</w:t>
                  </w:r>
                  <w:r>
                    <w:rPr>
                      <w:rFonts w:hint="eastAsia" w:ascii="Times New Roman" w:hAnsi="Times New Roman" w:eastAsia="仿宋" w:cs="Times New Roman"/>
                      <w:color w:val="auto"/>
                      <w:sz w:val="21"/>
                      <w:szCs w:val="21"/>
                      <w:highlight w:val="none"/>
                      <w:lang w:val="en-US" w:eastAsia="zh-CN"/>
                    </w:rPr>
                    <w:t>0</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220</w:t>
                  </w: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10</w:t>
                  </w:r>
                  <w:r>
                    <w:rPr>
                      <w:rFonts w:hint="default" w:ascii="Times New Roman" w:hAnsi="Times New Roman" w:eastAsia="仿宋" w:cs="Times New Roman"/>
                      <w:color w:val="auto"/>
                      <w:sz w:val="21"/>
                      <w:szCs w:val="21"/>
                      <w:highlight w:val="none"/>
                      <w:lang w:val="en-US" w:eastAsia="zh-CN"/>
                    </w:rPr>
                    <w:t>00（</w:t>
                  </w:r>
                  <w:r>
                    <w:rPr>
                      <w:rFonts w:hint="eastAsia" w:ascii="Times New Roman" w:hAnsi="Times New Roman" w:eastAsia="仿宋" w:cs="Times New Roman"/>
                      <w:color w:val="auto"/>
                      <w:sz w:val="21"/>
                      <w:szCs w:val="21"/>
                      <w:highlight w:val="none"/>
                      <w:lang w:val="en-US" w:eastAsia="zh-CN"/>
                    </w:rPr>
                    <w:t>单个</w:t>
                  </w:r>
                  <w:r>
                    <w:rPr>
                      <w:rFonts w:hint="default" w:ascii="Times New Roman" w:hAnsi="Times New Roman" w:eastAsia="仿宋" w:cs="Times New Roman"/>
                      <w:color w:val="auto"/>
                      <w:sz w:val="21"/>
                      <w:szCs w:val="21"/>
                      <w:highlight w:val="none"/>
                      <w:lang w:val="en-US" w:eastAsia="zh-CN"/>
                    </w:rPr>
                    <w:t>）</w:t>
                  </w:r>
                </w:p>
              </w:tc>
            </w:tr>
            <w:tr w14:paraId="194E8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noWrap w:val="0"/>
                  <w:tcMar>
                    <w:top w:w="0" w:type="dxa"/>
                    <w:left w:w="68" w:type="dxa"/>
                    <w:bottom w:w="0" w:type="dxa"/>
                    <w:right w:w="68" w:type="dxa"/>
                  </w:tcMar>
                  <w:vAlign w:val="center"/>
                </w:tcPr>
                <w:p w14:paraId="16F0A04C">
                  <w:pPr>
                    <w:keepNext w:val="0"/>
                    <w:keepLines w:val="0"/>
                    <w:suppressLineNumbers w:val="0"/>
                    <w:adjustRightInd w:val="0"/>
                    <w:spacing w:before="0" w:beforeAutospacing="0" w:after="0" w:afterAutospacing="0"/>
                    <w:ind w:left="0" w:right="0"/>
                    <w:jc w:val="center"/>
                    <w:rPr>
                      <w:rFonts w:hint="default" w:ascii="Times New Roman" w:hAnsi="Times New Roman" w:eastAsia="仿宋" w:cs="Times New Roman"/>
                      <w:color w:val="auto"/>
                      <w:sz w:val="21"/>
                      <w:szCs w:val="21"/>
                      <w:highlight w:val="none"/>
                      <w:lang w:bidi="zh-CN"/>
                    </w:rPr>
                  </w:pPr>
                  <w:r>
                    <w:rPr>
                      <w:rFonts w:hint="default" w:ascii="Times New Roman" w:hAnsi="Times New Roman" w:eastAsia="仿宋" w:cs="Times New Roman"/>
                      <w:color w:val="auto"/>
                      <w:sz w:val="21"/>
                      <w:szCs w:val="21"/>
                      <w:highlight w:val="none"/>
                    </w:rPr>
                    <w:t>2</w:t>
                  </w:r>
                </w:p>
              </w:tc>
              <w:tc>
                <w:tcPr>
                  <w:tcW w:w="2342" w:type="pct"/>
                  <w:tcBorders>
                    <w:tl2br w:val="nil"/>
                    <w:tr2bl w:val="nil"/>
                  </w:tcBorders>
                  <w:noWrap w:val="0"/>
                  <w:tcMar>
                    <w:top w:w="0" w:type="dxa"/>
                    <w:left w:w="68" w:type="dxa"/>
                    <w:bottom w:w="0" w:type="dxa"/>
                    <w:right w:w="68" w:type="dxa"/>
                  </w:tcMar>
                  <w:vAlign w:val="center"/>
                </w:tcPr>
                <w:p w14:paraId="252D308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配套风机风量（m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/h）</w:t>
                  </w:r>
                </w:p>
              </w:tc>
              <w:tc>
                <w:tcPr>
                  <w:tcW w:w="2338" w:type="pct"/>
                  <w:tcBorders>
                    <w:tl2br w:val="nil"/>
                    <w:tr2bl w:val="nil"/>
                  </w:tcBorders>
                  <w:noWrap w:val="0"/>
                  <w:tcMar>
                    <w:top w:w="0" w:type="dxa"/>
                    <w:left w:w="68" w:type="dxa"/>
                    <w:bottom w:w="0" w:type="dxa"/>
                    <w:right w:w="68" w:type="dxa"/>
                  </w:tcMar>
                  <w:vAlign w:val="center"/>
                </w:tcPr>
                <w:p w14:paraId="19094B22">
                  <w:pPr>
                    <w:autoSpaceDE w:val="0"/>
                    <w:autoSpaceDN w:val="0"/>
                    <w:adjustRightInd w:val="0"/>
                    <w:snapToGrid w:val="0"/>
                    <w:jc w:val="center"/>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22500</w:t>
                  </w:r>
                </w:p>
              </w:tc>
            </w:tr>
            <w:tr w14:paraId="6737F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15B12467">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3</w:t>
                  </w:r>
                </w:p>
              </w:tc>
              <w:tc>
                <w:tcPr>
                  <w:tcW w:w="2342" w:type="pct"/>
                  <w:tcBorders>
                    <w:tl2br w:val="nil"/>
                    <w:tr2bl w:val="nil"/>
                  </w:tcBorders>
                  <w:shd w:val="clear" w:color="auto" w:fill="auto"/>
                  <w:noWrap w:val="0"/>
                  <w:tcMar>
                    <w:top w:w="0" w:type="dxa"/>
                    <w:left w:w="68" w:type="dxa"/>
                    <w:bottom w:w="0" w:type="dxa"/>
                    <w:right w:w="68" w:type="dxa"/>
                  </w:tcMar>
                  <w:vAlign w:val="center"/>
                </w:tcPr>
                <w:p w14:paraId="29293F0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b w:val="0"/>
                      <w:i w:val="0"/>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活性炭类型</w:t>
                  </w:r>
                </w:p>
              </w:tc>
              <w:tc>
                <w:tcPr>
                  <w:tcW w:w="2338" w:type="pct"/>
                  <w:tcBorders>
                    <w:tl2br w:val="nil"/>
                    <w:tr2bl w:val="nil"/>
                  </w:tcBorders>
                  <w:shd w:val="clear" w:color="auto" w:fill="auto"/>
                  <w:noWrap w:val="0"/>
                  <w:tcMar>
                    <w:top w:w="0" w:type="dxa"/>
                    <w:left w:w="68" w:type="dxa"/>
                    <w:bottom w:w="0" w:type="dxa"/>
                    <w:right w:w="68" w:type="dxa"/>
                  </w:tcMar>
                  <w:vAlign w:val="center"/>
                </w:tcPr>
                <w:p w14:paraId="41F0D274">
                  <w:pPr>
                    <w:autoSpaceDE w:val="0"/>
                    <w:autoSpaceDN w:val="0"/>
                    <w:adjustRightInd w:val="0"/>
                    <w:snapToGrid w:val="0"/>
                    <w:jc w:val="center"/>
                    <w:rPr>
                      <w:rFonts w:hint="default" w:ascii="Times New Roman" w:hAnsi="Times New Roman" w:eastAsia="仿宋" w:cs="Times New Roman"/>
                      <w:b w:val="0"/>
                      <w:i w:val="0"/>
                      <w:color w:val="auto"/>
                      <w:kern w:val="2"/>
                      <w:sz w:val="21"/>
                      <w:szCs w:val="21"/>
                      <w:highlight w:val="none"/>
                      <w:lang w:val="en-US" w:eastAsia="zh-CN" w:bidi="ar-SA"/>
                    </w:rPr>
                  </w:pPr>
                  <w:r>
                    <w:rPr>
                      <w:rFonts w:hint="eastAsia" w:eastAsia="仿宋" w:cs="Times New Roman"/>
                      <w:bCs/>
                      <w:color w:val="auto"/>
                      <w:sz w:val="21"/>
                      <w:szCs w:val="21"/>
                      <w:highlight w:val="none"/>
                      <w:lang w:val="en-US" w:eastAsia="zh-CN"/>
                    </w:rPr>
                    <w:t>颗粒</w:t>
                  </w:r>
                  <w:r>
                    <w:rPr>
                      <w:rFonts w:hint="default" w:ascii="Times New Roman" w:hAnsi="Times New Roman" w:eastAsia="仿宋" w:cs="Times New Roman"/>
                      <w:bCs/>
                      <w:color w:val="auto"/>
                      <w:sz w:val="21"/>
                      <w:szCs w:val="21"/>
                      <w:highlight w:val="none"/>
                      <w:lang w:val="en-US" w:eastAsia="zh-CN"/>
                    </w:rPr>
                    <w:t>炭</w:t>
                  </w:r>
                </w:p>
              </w:tc>
            </w:tr>
            <w:tr w14:paraId="1A881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6567D9FC">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4</w:t>
                  </w:r>
                </w:p>
              </w:tc>
              <w:tc>
                <w:tcPr>
                  <w:tcW w:w="2342" w:type="pct"/>
                  <w:tcBorders>
                    <w:tl2br w:val="nil"/>
                    <w:tr2bl w:val="nil"/>
                  </w:tcBorders>
                  <w:noWrap w:val="0"/>
                  <w:tcMar>
                    <w:top w:w="0" w:type="dxa"/>
                    <w:left w:w="68" w:type="dxa"/>
                    <w:bottom w:w="0" w:type="dxa"/>
                    <w:right w:w="68" w:type="dxa"/>
                  </w:tcMar>
                  <w:vAlign w:val="center"/>
                </w:tcPr>
                <w:p w14:paraId="38881BF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碘吸附值</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rPr>
                    <w:t>mg/g</w:t>
                  </w:r>
                  <w:r>
                    <w:rPr>
                      <w:rFonts w:hint="default" w:ascii="Times New Roman" w:hAnsi="Times New Roman" w:eastAsia="仿宋" w:cs="Times New Roman"/>
                      <w:bCs/>
                      <w:color w:val="auto"/>
                      <w:sz w:val="21"/>
                      <w:szCs w:val="21"/>
                      <w:highlight w:val="none"/>
                      <w:lang w:eastAsia="zh-CN"/>
                    </w:rPr>
                    <w:t>）</w:t>
                  </w:r>
                </w:p>
              </w:tc>
              <w:tc>
                <w:tcPr>
                  <w:tcW w:w="2338" w:type="pct"/>
                  <w:tcBorders>
                    <w:tl2br w:val="nil"/>
                    <w:tr2bl w:val="nil"/>
                  </w:tcBorders>
                  <w:noWrap w:val="0"/>
                  <w:tcMar>
                    <w:top w:w="0" w:type="dxa"/>
                    <w:left w:w="68" w:type="dxa"/>
                    <w:bottom w:w="0" w:type="dxa"/>
                    <w:right w:w="68" w:type="dxa"/>
                  </w:tcMar>
                  <w:vAlign w:val="center"/>
                </w:tcPr>
                <w:p w14:paraId="2B451878">
                  <w:pPr>
                    <w:adjustRightInd w:val="0"/>
                    <w:snapToGrid w:val="0"/>
                    <w:jc w:val="center"/>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827</w:t>
                  </w:r>
                </w:p>
              </w:tc>
            </w:tr>
            <w:tr w14:paraId="6ECFC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31C4F29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5</w:t>
                  </w:r>
                </w:p>
              </w:tc>
              <w:tc>
                <w:tcPr>
                  <w:tcW w:w="2342" w:type="pct"/>
                  <w:tcBorders>
                    <w:tl2br w:val="nil"/>
                    <w:tr2bl w:val="nil"/>
                  </w:tcBorders>
                  <w:noWrap w:val="0"/>
                  <w:tcMar>
                    <w:top w:w="0" w:type="dxa"/>
                    <w:left w:w="68" w:type="dxa"/>
                    <w:bottom w:w="0" w:type="dxa"/>
                    <w:right w:w="68" w:type="dxa"/>
                  </w:tcMar>
                  <w:vAlign w:val="center"/>
                </w:tcPr>
                <w:p w14:paraId="70744EA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比表面积（m</w:t>
                  </w:r>
                  <w:r>
                    <w:rPr>
                      <w:rFonts w:hint="eastAsia" w:eastAsia="仿宋" w:cs="Times New Roman"/>
                      <w:bCs/>
                      <w:color w:val="auto"/>
                      <w:sz w:val="21"/>
                      <w:szCs w:val="21"/>
                      <w:highlight w:val="none"/>
                      <w:vertAlign w:val="superscript"/>
                      <w:lang w:val="en-US" w:eastAsia="zh-CN"/>
                    </w:rPr>
                    <w:t>2</w:t>
                  </w:r>
                  <w:r>
                    <w:rPr>
                      <w:rFonts w:hint="eastAsia" w:eastAsia="仿宋" w:cs="Times New Roman"/>
                      <w:bCs/>
                      <w:color w:val="auto"/>
                      <w:sz w:val="21"/>
                      <w:szCs w:val="21"/>
                      <w:highlight w:val="none"/>
                      <w:lang w:val="en-US" w:eastAsia="zh-CN"/>
                    </w:rPr>
                    <w:t>/g）</w:t>
                  </w:r>
                </w:p>
              </w:tc>
              <w:tc>
                <w:tcPr>
                  <w:tcW w:w="2338" w:type="pct"/>
                  <w:tcBorders>
                    <w:tl2br w:val="nil"/>
                    <w:tr2bl w:val="nil"/>
                  </w:tcBorders>
                  <w:noWrap w:val="0"/>
                  <w:tcMar>
                    <w:top w:w="0" w:type="dxa"/>
                    <w:left w:w="68" w:type="dxa"/>
                    <w:bottom w:w="0" w:type="dxa"/>
                    <w:right w:w="68" w:type="dxa"/>
                  </w:tcMar>
                  <w:vAlign w:val="center"/>
                </w:tcPr>
                <w:p w14:paraId="76B6AF4C">
                  <w:pPr>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855</w:t>
                  </w:r>
                </w:p>
              </w:tc>
            </w:tr>
            <w:tr w14:paraId="1268C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110D3A74">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6</w:t>
                  </w:r>
                </w:p>
              </w:tc>
              <w:tc>
                <w:tcPr>
                  <w:tcW w:w="2342" w:type="pct"/>
                  <w:tcBorders>
                    <w:tl2br w:val="nil"/>
                    <w:tr2bl w:val="nil"/>
                  </w:tcBorders>
                  <w:noWrap w:val="0"/>
                  <w:tcMar>
                    <w:top w:w="0" w:type="dxa"/>
                    <w:left w:w="68" w:type="dxa"/>
                    <w:bottom w:w="0" w:type="dxa"/>
                    <w:right w:w="68" w:type="dxa"/>
                  </w:tcMar>
                  <w:vAlign w:val="center"/>
                </w:tcPr>
                <w:p w14:paraId="2A8D091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四氯化碳吸附率（%）</w:t>
                  </w:r>
                </w:p>
              </w:tc>
              <w:tc>
                <w:tcPr>
                  <w:tcW w:w="2338" w:type="pct"/>
                  <w:tcBorders>
                    <w:tl2br w:val="nil"/>
                    <w:tr2bl w:val="nil"/>
                  </w:tcBorders>
                  <w:noWrap w:val="0"/>
                  <w:tcMar>
                    <w:top w:w="0" w:type="dxa"/>
                    <w:left w:w="68" w:type="dxa"/>
                    <w:bottom w:w="0" w:type="dxa"/>
                    <w:right w:w="68" w:type="dxa"/>
                  </w:tcMar>
                  <w:vAlign w:val="center"/>
                </w:tcPr>
                <w:p w14:paraId="226A8C3E">
                  <w:pPr>
                    <w:adjustRightInd w:val="0"/>
                    <w:snapToGrid w:val="0"/>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w:t>
                  </w:r>
                </w:p>
              </w:tc>
            </w:tr>
            <w:tr w14:paraId="22549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411539E5">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7</w:t>
                  </w:r>
                </w:p>
              </w:tc>
              <w:tc>
                <w:tcPr>
                  <w:tcW w:w="2342" w:type="pct"/>
                  <w:tcBorders>
                    <w:tl2br w:val="nil"/>
                    <w:tr2bl w:val="nil"/>
                  </w:tcBorders>
                  <w:noWrap w:val="0"/>
                  <w:tcMar>
                    <w:top w:w="0" w:type="dxa"/>
                    <w:left w:w="68" w:type="dxa"/>
                    <w:bottom w:w="0" w:type="dxa"/>
                    <w:right w:w="68" w:type="dxa"/>
                  </w:tcMar>
                  <w:vAlign w:val="center"/>
                </w:tcPr>
                <w:p w14:paraId="6D44259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废气温度（</w:t>
                  </w:r>
                  <w:r>
                    <w:rPr>
                      <w:rFonts w:hint="default" w:ascii="Times New Roman" w:hAnsi="Times New Roman" w:eastAsia="仿宋" w:cs="Times New Roman"/>
                      <w:bCs/>
                      <w:color w:val="auto"/>
                      <w:sz w:val="21"/>
                      <w:szCs w:val="21"/>
                      <w:highlight w:val="none"/>
                      <w:lang w:val="en-US" w:eastAsia="zh-CN"/>
                    </w:rPr>
                    <w:t>℃</w:t>
                  </w:r>
                  <w:r>
                    <w:rPr>
                      <w:rFonts w:hint="eastAsia" w:eastAsia="仿宋" w:cs="Times New Roman"/>
                      <w:bCs/>
                      <w:color w:val="auto"/>
                      <w:sz w:val="21"/>
                      <w:szCs w:val="21"/>
                      <w:highlight w:val="none"/>
                      <w:lang w:val="en-US" w:eastAsia="zh-CN"/>
                    </w:rPr>
                    <w:t>）</w:t>
                  </w:r>
                </w:p>
              </w:tc>
              <w:tc>
                <w:tcPr>
                  <w:tcW w:w="2338" w:type="pct"/>
                  <w:tcBorders>
                    <w:tl2br w:val="nil"/>
                    <w:tr2bl w:val="nil"/>
                  </w:tcBorders>
                  <w:noWrap w:val="0"/>
                  <w:tcMar>
                    <w:top w:w="0" w:type="dxa"/>
                    <w:left w:w="68" w:type="dxa"/>
                    <w:bottom w:w="0" w:type="dxa"/>
                    <w:right w:w="68" w:type="dxa"/>
                  </w:tcMar>
                  <w:vAlign w:val="center"/>
                </w:tcPr>
                <w:p w14:paraId="0EF79E8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kern w:val="2"/>
                      <w:sz w:val="21"/>
                      <w:szCs w:val="21"/>
                      <w:highlight w:val="none"/>
                      <w:lang w:val="en-US" w:eastAsia="zh-CN" w:bidi="zh-CN"/>
                    </w:rPr>
                    <w:t>≤40</w:t>
                  </w:r>
                </w:p>
              </w:tc>
            </w:tr>
            <w:tr w14:paraId="1D7E0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2EEDDA0A">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kern w:val="2"/>
                      <w:sz w:val="21"/>
                      <w:szCs w:val="21"/>
                      <w:highlight w:val="none"/>
                      <w:lang w:val="en-US" w:eastAsia="zh-CN" w:bidi="zh-CN"/>
                    </w:rPr>
                    <w:t>8</w:t>
                  </w:r>
                </w:p>
              </w:tc>
              <w:tc>
                <w:tcPr>
                  <w:tcW w:w="2342" w:type="pct"/>
                  <w:tcBorders>
                    <w:tl2br w:val="nil"/>
                    <w:tr2bl w:val="nil"/>
                  </w:tcBorders>
                  <w:noWrap w:val="0"/>
                  <w:tcMar>
                    <w:top w:w="0" w:type="dxa"/>
                    <w:left w:w="68" w:type="dxa"/>
                    <w:bottom w:w="0" w:type="dxa"/>
                    <w:right w:w="68" w:type="dxa"/>
                  </w:tcMar>
                  <w:vAlign w:val="center"/>
                </w:tcPr>
                <w:p w14:paraId="154B7FD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填装量（t/次）</w:t>
                  </w:r>
                </w:p>
              </w:tc>
              <w:tc>
                <w:tcPr>
                  <w:tcW w:w="2338" w:type="pct"/>
                  <w:tcBorders>
                    <w:tl2br w:val="nil"/>
                    <w:tr2bl w:val="nil"/>
                  </w:tcBorders>
                  <w:noWrap w:val="0"/>
                  <w:tcMar>
                    <w:top w:w="0" w:type="dxa"/>
                    <w:left w:w="68" w:type="dxa"/>
                    <w:bottom w:w="0" w:type="dxa"/>
                    <w:right w:w="68" w:type="dxa"/>
                  </w:tcMar>
                  <w:vAlign w:val="center"/>
                </w:tcPr>
                <w:p w14:paraId="511E89E1">
                  <w:pPr>
                    <w:autoSpaceDE w:val="0"/>
                    <w:autoSpaceDN w:val="0"/>
                    <w:adjustRightInd w:val="0"/>
                    <w:snapToGrid w:val="0"/>
                    <w:jc w:val="center"/>
                    <w:rPr>
                      <w:rFonts w:hint="default" w:ascii="Times New Roman" w:hAnsi="Times New Roman" w:eastAsia="仿宋" w:cs="Times New Roman"/>
                      <w:color w:val="auto"/>
                      <w:sz w:val="21"/>
                      <w:szCs w:val="21"/>
                      <w:highlight w:val="none"/>
                    </w:rPr>
                  </w:pPr>
                  <w:r>
                    <w:rPr>
                      <w:rFonts w:hint="eastAsia" w:eastAsia="仿宋" w:cs="Times New Roman"/>
                      <w:bCs/>
                      <w:color w:val="auto"/>
                      <w:sz w:val="21"/>
                      <w:szCs w:val="21"/>
                      <w:highlight w:val="none"/>
                      <w:lang w:val="en-US" w:eastAsia="zh-CN"/>
                    </w:rPr>
                    <w:t>1.908</w:t>
                  </w:r>
                  <w:r>
                    <w:rPr>
                      <w:rFonts w:hint="default" w:ascii="Times New Roman" w:hAnsi="Times New Roman" w:eastAsia="仿宋" w:cs="Times New Roman"/>
                      <w:bCs/>
                      <w:color w:val="auto"/>
                      <w:sz w:val="21"/>
                      <w:szCs w:val="21"/>
                      <w:highlight w:val="none"/>
                      <w:lang w:val="en-US" w:eastAsia="zh-CN"/>
                    </w:rPr>
                    <w:t>（</w:t>
                  </w:r>
                  <w:r>
                    <w:rPr>
                      <w:rFonts w:hint="eastAsia" w:eastAsia="仿宋" w:cs="Times New Roman"/>
                      <w:bCs/>
                      <w:color w:val="auto"/>
                      <w:sz w:val="21"/>
                      <w:szCs w:val="21"/>
                      <w:highlight w:val="none"/>
                      <w:lang w:val="en-US" w:eastAsia="zh-CN"/>
                    </w:rPr>
                    <w:t>两个</w:t>
                  </w:r>
                  <w:r>
                    <w:rPr>
                      <w:rFonts w:hint="default" w:ascii="Times New Roman" w:hAnsi="Times New Roman" w:eastAsia="仿宋" w:cs="Times New Roman"/>
                      <w:bCs/>
                      <w:color w:val="auto"/>
                      <w:sz w:val="21"/>
                      <w:szCs w:val="21"/>
                      <w:highlight w:val="none"/>
                      <w:lang w:val="en-US" w:eastAsia="zh-CN"/>
                    </w:rPr>
                    <w:t>共计）</w:t>
                  </w:r>
                </w:p>
              </w:tc>
            </w:tr>
            <w:tr w14:paraId="32D08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756DABF2">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default" w:ascii="Times New Roman" w:hAnsi="Times New Roman" w:eastAsia="仿宋" w:cs="Times New Roman"/>
                      <w:color w:val="auto"/>
                      <w:sz w:val="21"/>
                      <w:szCs w:val="21"/>
                      <w:highlight w:val="none"/>
                      <w:lang w:bidi="zh-CN"/>
                    </w:rPr>
                    <w:t>9</w:t>
                  </w:r>
                </w:p>
              </w:tc>
              <w:tc>
                <w:tcPr>
                  <w:tcW w:w="2342" w:type="pct"/>
                  <w:tcBorders>
                    <w:tl2br w:val="nil"/>
                    <w:tr2bl w:val="nil"/>
                  </w:tcBorders>
                  <w:noWrap w:val="0"/>
                  <w:tcMar>
                    <w:top w:w="0" w:type="dxa"/>
                    <w:left w:w="68" w:type="dxa"/>
                    <w:bottom w:w="0" w:type="dxa"/>
                    <w:right w:w="68" w:type="dxa"/>
                  </w:tcMar>
                  <w:vAlign w:val="center"/>
                </w:tcPr>
                <w:p w14:paraId="5E33191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更换周期</w:t>
                  </w:r>
                </w:p>
              </w:tc>
              <w:tc>
                <w:tcPr>
                  <w:tcW w:w="2338" w:type="pct"/>
                  <w:tcBorders>
                    <w:tl2br w:val="nil"/>
                    <w:tr2bl w:val="nil"/>
                  </w:tcBorders>
                  <w:noWrap w:val="0"/>
                  <w:tcMar>
                    <w:top w:w="0" w:type="dxa"/>
                    <w:left w:w="68" w:type="dxa"/>
                    <w:bottom w:w="0" w:type="dxa"/>
                    <w:right w:w="68" w:type="dxa"/>
                  </w:tcMar>
                  <w:vAlign w:val="center"/>
                </w:tcPr>
                <w:p w14:paraId="46ED0C13">
                  <w:pPr>
                    <w:autoSpaceDE w:val="0"/>
                    <w:autoSpaceDN w:val="0"/>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3个月</w:t>
                  </w:r>
                </w:p>
              </w:tc>
            </w:tr>
            <w:tr w14:paraId="095C7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11113AD6">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sz w:val="21"/>
                      <w:szCs w:val="21"/>
                      <w:highlight w:val="none"/>
                      <w:lang w:val="en-US" w:bidi="zh-CN"/>
                    </w:rPr>
                    <w:t>10</w:t>
                  </w:r>
                </w:p>
              </w:tc>
              <w:tc>
                <w:tcPr>
                  <w:tcW w:w="2342" w:type="pct"/>
                  <w:tcBorders>
                    <w:tl2br w:val="nil"/>
                    <w:tr2bl w:val="nil"/>
                  </w:tcBorders>
                  <w:noWrap w:val="0"/>
                  <w:tcMar>
                    <w:top w:w="0" w:type="dxa"/>
                    <w:left w:w="68" w:type="dxa"/>
                    <w:bottom w:w="0" w:type="dxa"/>
                    <w:right w:w="68" w:type="dxa"/>
                  </w:tcMar>
                  <w:vAlign w:val="center"/>
                </w:tcPr>
                <w:p w14:paraId="1F056C7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截面积（</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lang w:val="en-US" w:eastAsia="zh-CN"/>
                    </w:rPr>
                    <w:t>2</w:t>
                  </w:r>
                  <w:r>
                    <w:rPr>
                      <w:rFonts w:hint="default" w:ascii="Times New Roman" w:hAnsi="Times New Roman" w:eastAsia="仿宋" w:cs="Times New Roman"/>
                      <w:bCs/>
                      <w:color w:val="auto"/>
                      <w:sz w:val="21"/>
                      <w:szCs w:val="21"/>
                      <w:highlight w:val="none"/>
                      <w:lang w:val="en-US" w:eastAsia="zh-CN"/>
                    </w:rPr>
                    <w:t>）</w:t>
                  </w:r>
                </w:p>
              </w:tc>
              <w:tc>
                <w:tcPr>
                  <w:tcW w:w="2338" w:type="pct"/>
                  <w:tcBorders>
                    <w:tl2br w:val="nil"/>
                    <w:tr2bl w:val="nil"/>
                  </w:tcBorders>
                  <w:noWrap w:val="0"/>
                  <w:tcMar>
                    <w:top w:w="0" w:type="dxa"/>
                    <w:left w:w="68" w:type="dxa"/>
                    <w:bottom w:w="0" w:type="dxa"/>
                    <w:right w:w="68" w:type="dxa"/>
                  </w:tcMar>
                  <w:vAlign w:val="center"/>
                </w:tcPr>
                <w:p w14:paraId="520015DA">
                  <w:pPr>
                    <w:autoSpaceDE w:val="0"/>
                    <w:autoSpaceDN w:val="0"/>
                    <w:adjustRightInd w:val="0"/>
                    <w:snapToGrid w:val="0"/>
                    <w:jc w:val="center"/>
                    <w:rPr>
                      <w:rFonts w:hint="default" w:ascii="Times New Roman" w:hAnsi="Times New Roman" w:eastAsia="仿宋" w:cs="Times New Roman"/>
                      <w:color w:val="auto"/>
                      <w:sz w:val="21"/>
                      <w:szCs w:val="21"/>
                      <w:highlight w:val="none"/>
                      <w:lang w:val="en-US"/>
                    </w:rPr>
                  </w:pPr>
                  <w:r>
                    <w:rPr>
                      <w:rFonts w:hint="eastAsia" w:eastAsia="仿宋" w:cs="Times New Roman"/>
                      <w:bCs/>
                      <w:color w:val="auto"/>
                      <w:sz w:val="21"/>
                      <w:szCs w:val="21"/>
                      <w:highlight w:val="none"/>
                      <w:lang w:val="en-US" w:eastAsia="zh-CN"/>
                    </w:rPr>
                    <w:t>10.6</w:t>
                  </w:r>
                </w:p>
              </w:tc>
            </w:tr>
            <w:tr w14:paraId="72402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56174660">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sz w:val="21"/>
                      <w:szCs w:val="21"/>
                      <w:highlight w:val="none"/>
                      <w:lang w:val="en-US" w:bidi="zh-CN"/>
                    </w:rPr>
                    <w:t>11</w:t>
                  </w:r>
                </w:p>
              </w:tc>
              <w:tc>
                <w:tcPr>
                  <w:tcW w:w="2342" w:type="pct"/>
                  <w:tcBorders>
                    <w:tl2br w:val="nil"/>
                    <w:tr2bl w:val="nil"/>
                  </w:tcBorders>
                  <w:noWrap w:val="0"/>
                  <w:tcMar>
                    <w:top w:w="0" w:type="dxa"/>
                    <w:left w:w="68" w:type="dxa"/>
                    <w:bottom w:w="0" w:type="dxa"/>
                    <w:right w:w="68" w:type="dxa"/>
                  </w:tcMar>
                  <w:vAlign w:val="center"/>
                </w:tcPr>
                <w:p w14:paraId="3C11038E">
                  <w:pPr>
                    <w:keepNext w:val="0"/>
                    <w:keepLines w:val="0"/>
                    <w:pageBreakBefore w:val="0"/>
                    <w:widowControl w:val="0"/>
                    <w:tabs>
                      <w:tab w:val="left" w:pos="560"/>
                    </w:tabs>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lang w:val="en-US" w:eastAsia="zh-CN"/>
                    </w:rPr>
                    <w:t>碳层厚度（m）</w:t>
                  </w:r>
                </w:p>
              </w:tc>
              <w:tc>
                <w:tcPr>
                  <w:tcW w:w="2338" w:type="pct"/>
                  <w:tcBorders>
                    <w:tl2br w:val="nil"/>
                    <w:tr2bl w:val="nil"/>
                  </w:tcBorders>
                  <w:noWrap w:val="0"/>
                  <w:tcMar>
                    <w:top w:w="0" w:type="dxa"/>
                    <w:left w:w="68" w:type="dxa"/>
                    <w:bottom w:w="0" w:type="dxa"/>
                    <w:right w:w="68" w:type="dxa"/>
                  </w:tcMar>
                  <w:vAlign w:val="center"/>
                </w:tcPr>
                <w:p w14:paraId="59BCFBFF">
                  <w:pPr>
                    <w:keepNext w:val="0"/>
                    <w:keepLines w:val="0"/>
                    <w:pageBreakBefore w:val="0"/>
                    <w:widowControl w:val="0"/>
                    <w:tabs>
                      <w:tab w:val="left" w:pos="560"/>
                      <w:tab w:val="left" w:pos="2412"/>
                      <w:tab w:val="center" w:pos="3202"/>
                    </w:tabs>
                    <w:kinsoku/>
                    <w:wordWrap/>
                    <w:overflowPunct/>
                    <w:topLinePunct w:val="0"/>
                    <w:autoSpaceDE/>
                    <w:autoSpaceDN/>
                    <w:bidi w:val="0"/>
                    <w:adjustRightInd/>
                    <w:snapToGrid/>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highlight w:val="none"/>
                      <w:lang w:val="en-US" w:eastAsia="zh-CN"/>
                    </w:rPr>
                    <w:t>0.</w:t>
                  </w:r>
                  <w:r>
                    <w:rPr>
                      <w:rFonts w:hint="eastAsia" w:eastAsia="仿宋" w:cs="Times New Roman"/>
                      <w:color w:val="auto"/>
                      <w:highlight w:val="none"/>
                      <w:lang w:val="en-US" w:eastAsia="zh-CN"/>
                    </w:rPr>
                    <w:t>4</w:t>
                  </w:r>
                </w:p>
              </w:tc>
            </w:tr>
            <w:tr w14:paraId="7F93A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9" w:type="pct"/>
                  <w:tcBorders>
                    <w:tl2br w:val="nil"/>
                    <w:tr2bl w:val="nil"/>
                  </w:tcBorders>
                  <w:shd w:val="clear" w:color="auto" w:fill="auto"/>
                  <w:noWrap w:val="0"/>
                  <w:tcMar>
                    <w:top w:w="0" w:type="dxa"/>
                    <w:left w:w="68" w:type="dxa"/>
                    <w:bottom w:w="0" w:type="dxa"/>
                    <w:right w:w="68" w:type="dxa"/>
                  </w:tcMar>
                  <w:vAlign w:val="center"/>
                </w:tcPr>
                <w:p w14:paraId="488A2389">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sz w:val="21"/>
                      <w:szCs w:val="21"/>
                      <w:highlight w:val="none"/>
                      <w:lang w:val="en-US" w:bidi="zh-CN"/>
                    </w:rPr>
                    <w:t>12</w:t>
                  </w:r>
                </w:p>
              </w:tc>
              <w:tc>
                <w:tcPr>
                  <w:tcW w:w="2342" w:type="pct"/>
                  <w:tcBorders>
                    <w:tl2br w:val="nil"/>
                    <w:tr2bl w:val="nil"/>
                  </w:tcBorders>
                  <w:noWrap w:val="0"/>
                  <w:tcMar>
                    <w:top w:w="0" w:type="dxa"/>
                    <w:left w:w="68" w:type="dxa"/>
                    <w:bottom w:w="0" w:type="dxa"/>
                    <w:right w:w="68" w:type="dxa"/>
                  </w:tcMar>
                  <w:vAlign w:val="center"/>
                </w:tcPr>
                <w:p w14:paraId="444AD4E7">
                  <w:pPr>
                    <w:widowControl/>
                    <w:overflowPunct w:val="0"/>
                    <w:topLinePunct/>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Cs w:val="21"/>
                      <w:highlight w:val="none"/>
                    </w:rPr>
                    <w:t>气体流速</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m/s</w:t>
                  </w:r>
                  <w:r>
                    <w:rPr>
                      <w:rFonts w:hint="default" w:ascii="Times New Roman" w:hAnsi="Times New Roman" w:eastAsia="仿宋" w:cs="Times New Roman"/>
                      <w:color w:val="auto"/>
                      <w:szCs w:val="21"/>
                      <w:highlight w:val="none"/>
                      <w:lang w:eastAsia="zh-CN"/>
                    </w:rPr>
                    <w:t>）</w:t>
                  </w:r>
                </w:p>
              </w:tc>
              <w:tc>
                <w:tcPr>
                  <w:tcW w:w="2338" w:type="pct"/>
                  <w:tcBorders>
                    <w:tl2br w:val="nil"/>
                    <w:tr2bl w:val="nil"/>
                  </w:tcBorders>
                  <w:noWrap w:val="0"/>
                  <w:tcMar>
                    <w:top w:w="0" w:type="dxa"/>
                    <w:left w:w="68" w:type="dxa"/>
                    <w:bottom w:w="0" w:type="dxa"/>
                    <w:right w:w="68" w:type="dxa"/>
                  </w:tcMar>
                  <w:vAlign w:val="center"/>
                </w:tcPr>
                <w:p w14:paraId="1C454352">
                  <w:pPr>
                    <w:keepNext w:val="0"/>
                    <w:keepLines w:val="0"/>
                    <w:pageBreakBefore w:val="0"/>
                    <w:widowControl/>
                    <w:kinsoku/>
                    <w:wordWrap/>
                    <w:overflowPunct w:val="0"/>
                    <w:topLinePunct/>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rPr>
                  </w:pPr>
                  <w:r>
                    <w:rPr>
                      <w:rFonts w:hint="eastAsia" w:eastAsia="仿宋" w:cs="Times New Roman"/>
                      <w:color w:val="auto"/>
                      <w:highlight w:val="none"/>
                      <w:lang w:val="en-US" w:eastAsia="zh-CN"/>
                    </w:rPr>
                    <w:t>0.59</w:t>
                  </w:r>
                </w:p>
              </w:tc>
            </w:tr>
            <w:tr w14:paraId="0665E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13" w:type="dxa"/>
                  <w:tcBorders>
                    <w:tl2br w:val="nil"/>
                    <w:tr2bl w:val="nil"/>
                  </w:tcBorders>
                  <w:shd w:val="clear" w:color="auto" w:fill="auto"/>
                  <w:noWrap w:val="0"/>
                  <w:tcMar>
                    <w:top w:w="0" w:type="dxa"/>
                    <w:left w:w="68" w:type="dxa"/>
                    <w:bottom w:w="0" w:type="dxa"/>
                    <w:right w:w="68" w:type="dxa"/>
                  </w:tcMar>
                  <w:vAlign w:val="center"/>
                </w:tcPr>
                <w:p w14:paraId="0607586F">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仿宋" w:cs="Times New Roman"/>
                      <w:color w:val="auto"/>
                      <w:kern w:val="2"/>
                      <w:sz w:val="21"/>
                      <w:szCs w:val="21"/>
                      <w:highlight w:val="none"/>
                      <w:lang w:val="en-US" w:eastAsia="zh-CN" w:bidi="zh-CN"/>
                    </w:rPr>
                  </w:pPr>
                  <w:r>
                    <w:rPr>
                      <w:rFonts w:hint="eastAsia" w:eastAsia="仿宋" w:cs="Times New Roman"/>
                      <w:color w:val="auto"/>
                      <w:sz w:val="21"/>
                      <w:szCs w:val="21"/>
                      <w:highlight w:val="none"/>
                      <w:lang w:val="en-US" w:bidi="zh-CN"/>
                    </w:rPr>
                    <w:t>13</w:t>
                  </w:r>
                </w:p>
              </w:tc>
              <w:tc>
                <w:tcPr>
                  <w:tcW w:w="4500" w:type="dxa"/>
                  <w:tcBorders>
                    <w:tl2br w:val="nil"/>
                    <w:tr2bl w:val="nil"/>
                  </w:tcBorders>
                  <w:noWrap w:val="0"/>
                  <w:tcMar>
                    <w:top w:w="0" w:type="dxa"/>
                    <w:left w:w="68" w:type="dxa"/>
                    <w:bottom w:w="0" w:type="dxa"/>
                    <w:right w:w="68" w:type="dxa"/>
                  </w:tcMar>
                  <w:vAlign w:val="center"/>
                </w:tcPr>
                <w:p w14:paraId="114EAE2F">
                  <w:pPr>
                    <w:widowControl/>
                    <w:overflowPunct w:val="0"/>
                    <w:topLinePunct/>
                    <w:adjustRightInd w:val="0"/>
                    <w:snapToGrid w:val="0"/>
                    <w:jc w:val="center"/>
                    <w:rPr>
                      <w:rFonts w:hint="eastAsia"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停留时间（s）</w:t>
                  </w:r>
                </w:p>
              </w:tc>
              <w:tc>
                <w:tcPr>
                  <w:tcW w:w="2338" w:type="pct"/>
                  <w:tcBorders>
                    <w:tl2br w:val="nil"/>
                    <w:tr2bl w:val="nil"/>
                  </w:tcBorders>
                  <w:noWrap w:val="0"/>
                  <w:tcMar>
                    <w:top w:w="0" w:type="dxa"/>
                    <w:left w:w="68" w:type="dxa"/>
                    <w:bottom w:w="0" w:type="dxa"/>
                    <w:right w:w="68" w:type="dxa"/>
                  </w:tcMar>
                  <w:vAlign w:val="center"/>
                </w:tcPr>
                <w:p w14:paraId="0ABFB8ED">
                  <w:pPr>
                    <w:keepNext w:val="0"/>
                    <w:keepLines w:val="0"/>
                    <w:pageBreakBefore w:val="0"/>
                    <w:widowControl/>
                    <w:kinsoku/>
                    <w:wordWrap/>
                    <w:overflowPunct w:val="0"/>
                    <w:topLinePunct/>
                    <w:autoSpaceDE/>
                    <w:autoSpaceDN/>
                    <w:bidi w:val="0"/>
                    <w:adjustRightInd w:val="0"/>
                    <w:snapToGrid w:val="0"/>
                    <w:jc w:val="center"/>
                    <w:textAlignment w:val="auto"/>
                    <w:rPr>
                      <w:rFonts w:hint="default" w:eastAsia="仿宋" w:cs="Times New Roman"/>
                      <w:color w:val="auto"/>
                      <w:highlight w:val="none"/>
                      <w:lang w:val="en-US" w:eastAsia="zh-CN"/>
                    </w:rPr>
                  </w:pPr>
                  <w:r>
                    <w:rPr>
                      <w:rFonts w:hint="eastAsia" w:eastAsia="仿宋" w:cs="Times New Roman"/>
                      <w:color w:val="auto"/>
                      <w:highlight w:val="none"/>
                      <w:lang w:val="en-US" w:eastAsia="zh-CN"/>
                    </w:rPr>
                    <w:t>0.678</w:t>
                  </w:r>
                </w:p>
              </w:tc>
            </w:tr>
          </w:tbl>
          <w:p w14:paraId="3DDF6DC0">
            <w:pPr>
              <w:autoSpaceDE w:val="0"/>
              <w:autoSpaceDN w:val="0"/>
              <w:adjustRightInd w:val="0"/>
              <w:snapToGrid w:val="0"/>
              <w:spacing w:line="240" w:lineRule="auto"/>
              <w:rPr>
                <w:rFonts w:hint="eastAsia" w:ascii="仿宋" w:hAnsi="仿宋" w:eastAsia="仿宋" w:cs="仿宋"/>
                <w:color w:val="auto"/>
                <w:sz w:val="24"/>
                <w:szCs w:val="24"/>
              </w:rPr>
            </w:pPr>
            <w:r>
              <w:rPr>
                <w:rFonts w:hint="eastAsia" w:ascii="仿宋" w:hAnsi="仿宋" w:eastAsia="仿宋" w:cs="仿宋"/>
                <w:color w:val="auto"/>
                <w:sz w:val="21"/>
                <w:szCs w:val="21"/>
                <w:highlight w:val="none"/>
                <w:lang w:val="en-US" w:eastAsia="zh-CN"/>
              </w:rPr>
              <w:t>〔备注〕：</w:t>
            </w:r>
            <w:r>
              <w:rPr>
                <w:rFonts w:hint="eastAsia" w:ascii="仿宋" w:hAnsi="仿宋" w:eastAsia="仿宋" w:cs="仿宋"/>
                <w:color w:val="auto"/>
                <w:sz w:val="21"/>
                <w:szCs w:val="21"/>
                <w:highlight w:val="none"/>
                <w:lang w:eastAsia="zh-CN"/>
              </w:rPr>
              <w:t>受安装条件的限制，废气处理设施的实际尺寸参数可能会发生变化，在保障净化效果的前提下，废气处理设施的尺寸参数以实际安装为准，但活性炭吸附装置的设计参数和技术指标必须满足《吸附法工业有机废气治理工程技术规范》的基本要求。</w:t>
            </w:r>
          </w:p>
          <w:p w14:paraId="3F39073F">
            <w:pPr>
              <w:tabs>
                <w:tab w:val="left" w:pos="560"/>
              </w:tabs>
              <w:snapToGrid w:val="0"/>
              <w:spacing w:before="0" w:beforeLines="0"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活性炭吸附装置</w:t>
            </w:r>
            <w:r>
              <w:rPr>
                <w:rFonts w:hint="default" w:ascii="Times New Roman" w:hAnsi="Times New Roman" w:eastAsia="宋体" w:cs="Times New Roman"/>
                <w:color w:val="auto"/>
                <w:kern w:val="0"/>
                <w:sz w:val="24"/>
                <w:lang w:eastAsia="zh-CN"/>
              </w:rPr>
              <w:t>：</w:t>
            </w:r>
          </w:p>
          <w:p w14:paraId="78EC587C">
            <w:pPr>
              <w:tabs>
                <w:tab w:val="left" w:pos="560"/>
              </w:tabs>
              <w:snapToGrid w:val="0"/>
              <w:spacing w:before="0" w:beforeLines="0"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两级活性炭吸附装置有效容积=炭层长度×炭层宽度×炭层厚度×炭层</w:t>
            </w:r>
            <w:r>
              <w:rPr>
                <w:rFonts w:hint="eastAsia" w:cs="Times New Roman"/>
                <w:color w:val="auto"/>
                <w:kern w:val="0"/>
                <w:sz w:val="24"/>
                <w:lang w:val="en-US" w:eastAsia="zh-CN"/>
              </w:rPr>
              <w:t>数量</w:t>
            </w:r>
            <w:r>
              <w:rPr>
                <w:rFonts w:hint="default" w:ascii="Times New Roman" w:hAnsi="Times New Roman" w:eastAsia="宋体" w:cs="Times New Roman"/>
                <w:color w:val="auto"/>
                <w:kern w:val="0"/>
                <w:sz w:val="24"/>
              </w:rPr>
              <w:t>=</w:t>
            </w:r>
            <w:r>
              <w:rPr>
                <w:rFonts w:hint="eastAsia" w:cs="Times New Roman"/>
                <w:color w:val="auto"/>
                <w:kern w:val="0"/>
                <w:sz w:val="24"/>
                <w:lang w:val="en-US" w:eastAsia="zh-CN"/>
              </w:rPr>
              <w:t>2.5</w:t>
            </w:r>
            <w:r>
              <w:rPr>
                <w:rFonts w:hint="default" w:ascii="Times New Roman" w:hAnsi="Times New Roman" w:eastAsia="宋体" w:cs="Times New Roman"/>
                <w:color w:val="auto"/>
                <w:kern w:val="0"/>
                <w:sz w:val="24"/>
              </w:rPr>
              <w:t>m×</w:t>
            </w:r>
            <w:r>
              <w:rPr>
                <w:rFonts w:hint="eastAsia" w:cs="Times New Roman"/>
                <w:color w:val="auto"/>
                <w:kern w:val="0"/>
                <w:sz w:val="24"/>
                <w:lang w:val="en-US" w:eastAsia="zh-CN"/>
              </w:rPr>
              <w:t>2.12</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lang w:val="en-US" w:eastAsia="zh-CN"/>
              </w:rPr>
              <w:t>0.</w:t>
            </w:r>
            <w:r>
              <w:rPr>
                <w:rFonts w:hint="eastAsia" w:cs="Times New Roman"/>
                <w:color w:val="auto"/>
                <w:kern w:val="0"/>
                <w:sz w:val="24"/>
                <w:lang w:val="en-US" w:eastAsia="zh-CN"/>
              </w:rPr>
              <w:t>2</w:t>
            </w:r>
            <w:r>
              <w:rPr>
                <w:rFonts w:hint="default" w:ascii="Times New Roman" w:hAnsi="Times New Roman" w:eastAsia="宋体" w:cs="Times New Roman"/>
                <w:color w:val="auto"/>
                <w:kern w:val="0"/>
                <w:sz w:val="24"/>
              </w:rPr>
              <w:t>m×</w:t>
            </w:r>
            <w:r>
              <w:rPr>
                <w:rFonts w:hint="eastAsia" w:cs="Times New Roman"/>
                <w:color w:val="auto"/>
                <w:kern w:val="0"/>
                <w:sz w:val="24"/>
                <w:lang w:val="en-US" w:eastAsia="zh-CN"/>
              </w:rPr>
              <w:t>2</w:t>
            </w:r>
            <w:r>
              <w:rPr>
                <w:rFonts w:hint="default" w:ascii="Times New Roman" w:hAnsi="Times New Roman" w:eastAsia="宋体" w:cs="Times New Roman"/>
                <w:color w:val="auto"/>
                <w:kern w:val="0"/>
                <w:sz w:val="24"/>
              </w:rPr>
              <w:t>=</w:t>
            </w:r>
            <w:r>
              <w:rPr>
                <w:rFonts w:hint="eastAsia" w:cs="Times New Roman"/>
                <w:color w:val="auto"/>
                <w:kern w:val="0"/>
                <w:sz w:val="24"/>
                <w:lang w:val="en-US" w:eastAsia="zh-CN"/>
              </w:rPr>
              <w:t>2.12</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单个</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，活性炭填充量=密度×有效容积</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0.</w:t>
            </w:r>
            <w:r>
              <w:rPr>
                <w:rFonts w:hint="default" w:cs="Times New Roman"/>
                <w:color w:val="auto"/>
                <w:kern w:val="0"/>
                <w:sz w:val="24"/>
                <w:lang w:val="en-US" w:eastAsia="zh-CN"/>
              </w:rPr>
              <w:t>45</w:t>
            </w:r>
            <w:r>
              <w:rPr>
                <w:rFonts w:hint="default" w:ascii="Times New Roman" w:hAnsi="Times New Roman" w:eastAsia="宋体" w:cs="Times New Roman"/>
                <w:color w:val="auto"/>
                <w:kern w:val="0"/>
                <w:sz w:val="24"/>
              </w:rPr>
              <w:t>×</w:t>
            </w:r>
            <w:r>
              <w:rPr>
                <w:rFonts w:hint="default"/>
                <w:color w:val="auto"/>
                <w:kern w:val="0"/>
                <w:sz w:val="24"/>
                <w:lang w:val="en-US" w:eastAsia="zh-CN"/>
              </w:rPr>
              <w:t>2.12</w:t>
            </w:r>
            <w:r>
              <w:rPr>
                <w:rFonts w:hint="default" w:ascii="Times New Roman" w:hAnsi="Times New Roman" w:eastAsia="宋体" w:cs="Times New Roman"/>
                <w:color w:val="auto"/>
                <w:kern w:val="0"/>
                <w:sz w:val="24"/>
              </w:rPr>
              <w:t>=</w:t>
            </w:r>
            <w:r>
              <w:rPr>
                <w:rFonts w:hint="default" w:eastAsia="宋体" w:cs="Times New Roman"/>
                <w:color w:val="auto"/>
                <w:kern w:val="0"/>
                <w:sz w:val="24"/>
                <w:lang w:val="en-US" w:eastAsia="zh-CN"/>
              </w:rPr>
              <w:t>0.</w:t>
            </w:r>
            <w:r>
              <w:rPr>
                <w:rFonts w:hint="default" w:cs="Times New Roman"/>
                <w:color w:val="auto"/>
                <w:kern w:val="0"/>
                <w:sz w:val="24"/>
                <w:lang w:val="en-US" w:eastAsia="zh-CN"/>
              </w:rPr>
              <w:t>95</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rPr>
              <w:t>t</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单个</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总</w:t>
            </w:r>
            <w:r>
              <w:rPr>
                <w:rFonts w:hint="default" w:ascii="Times New Roman" w:hAnsi="Times New Roman" w:eastAsia="宋体" w:cs="Times New Roman"/>
                <w:color w:val="auto"/>
                <w:kern w:val="0"/>
                <w:sz w:val="24"/>
              </w:rPr>
              <w:t>活性炭填充量</w:t>
            </w:r>
            <w:r>
              <w:rPr>
                <w:rFonts w:hint="eastAsia" w:ascii="Times New Roman" w:hAnsi="Times New Roman" w:eastAsia="宋体" w:cs="Times New Roman"/>
                <w:color w:val="auto"/>
                <w:kern w:val="0"/>
                <w:sz w:val="24"/>
                <w:lang w:val="en-US" w:eastAsia="zh-CN"/>
              </w:rPr>
              <w:t>=单个</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2=</w:t>
            </w:r>
            <w:r>
              <w:rPr>
                <w:rFonts w:hint="eastAsia" w:eastAsia="宋体" w:cs="Times New Roman"/>
                <w:color w:val="auto"/>
                <w:kern w:val="0"/>
                <w:sz w:val="24"/>
                <w:lang w:val="en-US" w:eastAsia="zh-CN"/>
              </w:rPr>
              <w:t>0.</w:t>
            </w:r>
            <w:r>
              <w:rPr>
                <w:rFonts w:hint="eastAsia" w:cs="Times New Roman"/>
                <w:color w:val="auto"/>
                <w:kern w:val="0"/>
                <w:sz w:val="24"/>
                <w:lang w:val="en-US" w:eastAsia="zh-CN"/>
              </w:rPr>
              <w:t>954</w:t>
            </w:r>
            <w:r>
              <w:rPr>
                <w:rFonts w:hint="eastAsia" w:ascii="Times New Roman" w:hAnsi="Times New Roman" w:eastAsia="宋体" w:cs="Times New Roman"/>
                <w:color w:val="auto"/>
                <w:kern w:val="0"/>
                <w:sz w:val="24"/>
                <w:lang w:val="en-US" w:eastAsia="zh-CN"/>
              </w:rPr>
              <w:t>t</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2=</w:t>
            </w:r>
            <w:r>
              <w:rPr>
                <w:rFonts w:hint="eastAsia" w:eastAsia="宋体" w:cs="Times New Roman"/>
                <w:color w:val="auto"/>
                <w:kern w:val="0"/>
                <w:sz w:val="24"/>
                <w:lang w:val="en-US" w:eastAsia="zh-CN"/>
              </w:rPr>
              <w:t>1.</w:t>
            </w:r>
            <w:r>
              <w:rPr>
                <w:rFonts w:hint="eastAsia" w:cs="Times New Roman"/>
                <w:color w:val="auto"/>
                <w:kern w:val="0"/>
                <w:sz w:val="24"/>
                <w:lang w:val="en-US" w:eastAsia="zh-CN"/>
              </w:rPr>
              <w:t>908</w:t>
            </w:r>
            <w:r>
              <w:rPr>
                <w:rFonts w:hint="eastAsia" w:ascii="Times New Roman" w:hAnsi="Times New Roman" w:eastAsia="宋体" w:cs="Times New Roman"/>
                <w:color w:val="auto"/>
                <w:kern w:val="0"/>
                <w:sz w:val="24"/>
                <w:lang w:val="en-US" w:eastAsia="zh-CN"/>
              </w:rPr>
              <w:t>t。</w:t>
            </w:r>
          </w:p>
          <w:p w14:paraId="797AC1C8">
            <w:pPr>
              <w:tabs>
                <w:tab w:val="left" w:pos="560"/>
              </w:tabs>
              <w:snapToGrid w:val="0"/>
              <w:spacing w:before="0" w:beforeLines="0"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气体流速计算</w:t>
            </w:r>
            <w:r>
              <w:rPr>
                <w:rFonts w:hint="default"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活性炭每层气体流速=风量/碳层截面积=</w:t>
            </w:r>
            <w:r>
              <w:rPr>
                <w:rFonts w:hint="eastAsia" w:cs="Times New Roman"/>
                <w:color w:val="auto"/>
                <w:kern w:val="0"/>
                <w:sz w:val="24"/>
                <w:lang w:val="en-US" w:eastAsia="zh-CN"/>
              </w:rPr>
              <w:t>225</w:t>
            </w:r>
            <w:r>
              <w:rPr>
                <w:rFonts w:hint="eastAsia" w:eastAsia="宋体" w:cs="Times New Roman"/>
                <w:color w:val="auto"/>
                <w:kern w:val="0"/>
                <w:sz w:val="24"/>
                <w:lang w:val="en-US" w:eastAsia="zh-CN"/>
              </w:rPr>
              <w:t>00</w:t>
            </w:r>
            <w:r>
              <w:rPr>
                <w:rFonts w:hint="default"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10.6</w:t>
            </w:r>
            <w:r>
              <w:rPr>
                <w:rFonts w:hint="default" w:ascii="Times New Roman" w:hAnsi="Times New Roman" w:eastAsia="宋体" w:cs="Times New Roman"/>
                <w:color w:val="auto"/>
                <w:kern w:val="0"/>
                <w:sz w:val="24"/>
                <w:lang w:val="en-US" w:eastAsia="zh-CN"/>
              </w:rPr>
              <w:t>/3600≈</w:t>
            </w:r>
            <w:r>
              <w:rPr>
                <w:rFonts w:hint="eastAsia" w:cs="Times New Roman"/>
                <w:color w:val="auto"/>
                <w:kern w:val="0"/>
                <w:sz w:val="24"/>
                <w:lang w:val="en-US" w:eastAsia="zh-CN"/>
              </w:rPr>
              <w:t>0.59</w:t>
            </w:r>
            <w:r>
              <w:rPr>
                <w:rFonts w:hint="default" w:ascii="Times New Roman" w:hAnsi="Times New Roman" w:eastAsia="宋体" w:cs="Times New Roman"/>
                <w:color w:val="auto"/>
                <w:kern w:val="0"/>
                <w:sz w:val="24"/>
              </w:rPr>
              <w:t>m/s</w:t>
            </w:r>
            <w:r>
              <w:rPr>
                <w:rFonts w:hint="default" w:ascii="Times New Roman" w:hAnsi="Times New Roman" w:eastAsia="宋体" w:cs="Times New Roman"/>
                <w:color w:val="auto"/>
                <w:kern w:val="0"/>
                <w:sz w:val="24"/>
                <w:lang w:eastAsia="zh-CN"/>
              </w:rPr>
              <w:t>。</w:t>
            </w:r>
          </w:p>
          <w:p w14:paraId="06EB7507">
            <w:pPr>
              <w:tabs>
                <w:tab w:val="left" w:pos="560"/>
              </w:tabs>
              <w:snapToGrid w:val="0"/>
              <w:spacing w:before="0" w:beforeLines="0"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本项目活性炭吸附装置吸附的有机废气量</w:t>
            </w:r>
            <w:r>
              <w:rPr>
                <w:rFonts w:hint="default" w:ascii="Times New Roman" w:hAnsi="Times New Roman" w:eastAsia="宋体" w:cs="Times New Roman"/>
                <w:color w:val="auto"/>
                <w:kern w:val="0"/>
                <w:sz w:val="24"/>
                <w:lang w:val="en-US" w:eastAsia="zh-CN"/>
              </w:rPr>
              <w:t>约</w:t>
            </w:r>
            <w:r>
              <w:rPr>
                <w:rFonts w:hint="default" w:ascii="Times New Roman" w:hAnsi="Times New Roman" w:eastAsia="宋体" w:cs="Times New Roman"/>
                <w:color w:val="auto"/>
                <w:kern w:val="0"/>
                <w:sz w:val="24"/>
              </w:rPr>
              <w:t>为</w:t>
            </w:r>
            <w:r>
              <w:rPr>
                <w:rFonts w:hint="eastAsia" w:cs="Times New Roman"/>
                <w:color w:val="auto"/>
                <w:kern w:val="0"/>
                <w:sz w:val="24"/>
                <w:lang w:val="en-US" w:eastAsia="zh-CN"/>
              </w:rPr>
              <w:t>1.7757t</w:t>
            </w:r>
            <w:r>
              <w:rPr>
                <w:rFonts w:hint="default" w:ascii="Times New Roman" w:hAnsi="Times New Roman" w:eastAsia="宋体" w:cs="Times New Roman"/>
                <w:color w:val="auto"/>
                <w:kern w:val="0"/>
                <w:sz w:val="24"/>
              </w:rPr>
              <w:t>/a，根据《省生态环境厅关于将排污单位活性炭使用更换纳入排污许可管理的通知》文件：</w:t>
            </w:r>
          </w:p>
          <w:p w14:paraId="53AC4DF3">
            <w:pPr>
              <w:tabs>
                <w:tab w:val="left" w:pos="560"/>
              </w:tabs>
              <w:snapToGrid w:val="0"/>
              <w:spacing w:beforeLines="0" w:line="360" w:lineRule="auto"/>
              <w:ind w:firstLine="480" w:firstLineChars="20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T=m×s÷（c×10</w:t>
            </w:r>
            <w:r>
              <w:rPr>
                <w:rFonts w:hint="default" w:ascii="Times New Roman" w:hAnsi="Times New Roman" w:eastAsia="宋体" w:cs="Times New Roman"/>
                <w:color w:val="auto"/>
                <w:kern w:val="0"/>
                <w:sz w:val="24"/>
                <w:vertAlign w:val="superscript"/>
              </w:rPr>
              <w:t>-6</w:t>
            </w:r>
            <w:r>
              <w:rPr>
                <w:rFonts w:hint="default" w:ascii="Times New Roman" w:hAnsi="Times New Roman" w:eastAsia="宋体" w:cs="Times New Roman"/>
                <w:color w:val="auto"/>
                <w:kern w:val="0"/>
                <w:sz w:val="24"/>
              </w:rPr>
              <w:t>×Q×t）</w:t>
            </w:r>
          </w:p>
          <w:p w14:paraId="033CBC40">
            <w:pPr>
              <w:tabs>
                <w:tab w:val="left" w:pos="560"/>
              </w:tabs>
              <w:snapToGrid w:val="0"/>
              <w:spacing w:beforeLines="0"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式中：T—更换周期，天；</w:t>
            </w:r>
          </w:p>
          <w:p w14:paraId="793E1D46">
            <w:pPr>
              <w:tabs>
                <w:tab w:val="left" w:pos="560"/>
              </w:tabs>
              <w:snapToGrid w:val="0"/>
              <w:spacing w:beforeLines="0" w:line="360" w:lineRule="auto"/>
              <w:ind w:firstLine="1200" w:firstLineChars="5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m—活性炭的用量，kg；</w:t>
            </w:r>
          </w:p>
          <w:p w14:paraId="1CF5EE8B">
            <w:pPr>
              <w:tabs>
                <w:tab w:val="left" w:pos="560"/>
              </w:tabs>
              <w:snapToGrid w:val="0"/>
              <w:spacing w:beforeLines="0" w:line="360" w:lineRule="auto"/>
              <w:ind w:firstLine="1200" w:firstLineChars="5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s—动态吸附量，%；（本项目取</w:t>
            </w:r>
            <w:r>
              <w:rPr>
                <w:rFonts w:hint="eastAsia" w:cs="Times New Roman"/>
                <w:color w:val="auto"/>
                <w:kern w:val="0"/>
                <w:sz w:val="24"/>
                <w:lang w:val="en-US" w:eastAsia="zh-CN"/>
              </w:rPr>
              <w:t>15</w:t>
            </w:r>
            <w:r>
              <w:rPr>
                <w:rFonts w:hint="default" w:ascii="Times New Roman" w:hAnsi="Times New Roman" w:eastAsia="宋体" w:cs="Times New Roman"/>
                <w:color w:val="auto"/>
                <w:kern w:val="0"/>
                <w:sz w:val="24"/>
              </w:rPr>
              <w:t>%）</w:t>
            </w:r>
          </w:p>
          <w:p w14:paraId="18312D2C">
            <w:pPr>
              <w:tabs>
                <w:tab w:val="left" w:pos="560"/>
              </w:tabs>
              <w:snapToGrid w:val="0"/>
              <w:spacing w:beforeLines="0" w:line="360" w:lineRule="auto"/>
              <w:ind w:firstLine="1200" w:firstLineChars="5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c—活性炭削减的VOC</w:t>
            </w:r>
            <w:r>
              <w:rPr>
                <w:rFonts w:hint="default" w:ascii="Times New Roman" w:hAnsi="Times New Roman" w:eastAsia="宋体" w:cs="Times New Roman"/>
                <w:color w:val="auto"/>
                <w:kern w:val="0"/>
                <w:sz w:val="24"/>
                <w:vertAlign w:val="subscript"/>
              </w:rPr>
              <w:t>S</w:t>
            </w:r>
            <w:r>
              <w:rPr>
                <w:rFonts w:hint="default" w:ascii="Times New Roman" w:hAnsi="Times New Roman" w:eastAsia="宋体" w:cs="Times New Roman"/>
                <w:color w:val="auto"/>
                <w:kern w:val="0"/>
                <w:sz w:val="24"/>
              </w:rPr>
              <w:t>浓度，mg/m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w:t>
            </w:r>
          </w:p>
          <w:p w14:paraId="6323DEA8">
            <w:pPr>
              <w:tabs>
                <w:tab w:val="left" w:pos="560"/>
              </w:tabs>
              <w:snapToGrid w:val="0"/>
              <w:spacing w:beforeLines="0" w:line="360" w:lineRule="auto"/>
              <w:ind w:firstLine="1200" w:firstLineChars="5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Q—风量，单位m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/h；</w:t>
            </w:r>
          </w:p>
          <w:p w14:paraId="705D7FEE">
            <w:pPr>
              <w:tabs>
                <w:tab w:val="left" w:pos="560"/>
              </w:tabs>
              <w:snapToGrid w:val="0"/>
              <w:spacing w:beforeLines="0" w:line="360" w:lineRule="auto"/>
              <w:ind w:firstLine="1200" w:firstLineChars="5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t—运行时间，单位h/d。</w:t>
            </w:r>
          </w:p>
          <w:p w14:paraId="3E99B928">
            <w:pPr>
              <w:pStyle w:val="5"/>
              <w:wordWrap/>
              <w:adjustRightInd/>
              <w:snapToGrid/>
              <w:spacing w:before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1"/>
                <w:lang w:val="en-US" w:eastAsia="zh-CN" w:bidi="ar-SA"/>
              </w:rPr>
              <w:t>经计算，本项目活性炭更换周期T=</w:t>
            </w:r>
            <w:r>
              <w:rPr>
                <w:rFonts w:hint="eastAsia" w:cs="Times New Roman"/>
                <w:color w:val="auto"/>
                <w:kern w:val="0"/>
                <w:sz w:val="24"/>
                <w:szCs w:val="21"/>
                <w:lang w:val="en-US" w:eastAsia="zh-CN" w:bidi="ar-SA"/>
              </w:rPr>
              <w:t>1908*15</w:t>
            </w:r>
            <w:r>
              <w:rPr>
                <w:rFonts w:hint="default" w:ascii="Times New Roman" w:hAnsi="Times New Roman" w:eastAsia="宋体" w:cs="Times New Roman"/>
                <w:color w:val="auto"/>
                <w:kern w:val="0"/>
                <w:sz w:val="24"/>
                <w:szCs w:val="21"/>
                <w:lang w:val="en-US" w:eastAsia="zh-CN" w:bidi="ar-SA"/>
              </w:rPr>
              <w:t>%÷（</w:t>
            </w:r>
            <w:r>
              <w:rPr>
                <w:rFonts w:hint="eastAsia" w:cs="Times New Roman"/>
                <w:color w:val="auto"/>
                <w:kern w:val="0"/>
                <w:sz w:val="24"/>
                <w:szCs w:val="21"/>
                <w:lang w:val="en-US" w:eastAsia="zh-CN" w:bidi="ar-SA"/>
              </w:rPr>
              <w:t>26.3066</w:t>
            </w:r>
            <w:r>
              <w:rPr>
                <w:rFonts w:hint="default" w:ascii="Times New Roman" w:hAnsi="Times New Roman" w:eastAsia="宋体" w:cs="Times New Roman"/>
                <w:color w:val="auto"/>
                <w:kern w:val="0"/>
                <w:sz w:val="24"/>
                <w:szCs w:val="21"/>
                <w:lang w:val="en-US" w:eastAsia="zh-CN" w:bidi="ar-SA"/>
              </w:rPr>
              <w:t>×10</w:t>
            </w:r>
            <w:r>
              <w:rPr>
                <w:rFonts w:hint="default" w:ascii="Times New Roman" w:hAnsi="Times New Roman" w:eastAsia="宋体" w:cs="Times New Roman"/>
                <w:color w:val="auto"/>
                <w:kern w:val="0"/>
                <w:sz w:val="24"/>
                <w:szCs w:val="21"/>
                <w:vertAlign w:val="superscript"/>
                <w:lang w:val="en-US" w:eastAsia="zh-CN" w:bidi="ar-SA"/>
              </w:rPr>
              <w:t>-6</w:t>
            </w:r>
            <w:r>
              <w:rPr>
                <w:rFonts w:hint="default" w:ascii="Times New Roman" w:hAnsi="Times New Roman" w:eastAsia="宋体" w:cs="Times New Roman"/>
                <w:color w:val="auto"/>
                <w:kern w:val="0"/>
                <w:sz w:val="24"/>
                <w:szCs w:val="21"/>
                <w:lang w:val="en-US" w:eastAsia="zh-CN" w:bidi="ar-SA"/>
              </w:rPr>
              <w:t>×</w:t>
            </w:r>
            <w:r>
              <w:rPr>
                <w:rFonts w:hint="eastAsia" w:cs="Times New Roman"/>
                <w:color w:val="auto"/>
                <w:kern w:val="0"/>
                <w:sz w:val="24"/>
                <w:szCs w:val="21"/>
                <w:lang w:val="en-US" w:eastAsia="zh-CN" w:bidi="ar-SA"/>
              </w:rPr>
              <w:t>225</w:t>
            </w:r>
            <w:r>
              <w:rPr>
                <w:rFonts w:hint="default" w:ascii="Times New Roman" w:hAnsi="Times New Roman" w:eastAsia="宋体" w:cs="Times New Roman"/>
                <w:color w:val="auto"/>
                <w:kern w:val="0"/>
                <w:sz w:val="24"/>
                <w:szCs w:val="21"/>
                <w:lang w:val="en-US" w:eastAsia="zh-CN" w:bidi="ar-SA"/>
              </w:rPr>
              <w:t>00×</w:t>
            </w:r>
            <w:r>
              <w:rPr>
                <w:rFonts w:hint="eastAsia" w:cs="Times New Roman"/>
                <w:color w:val="auto"/>
                <w:kern w:val="0"/>
                <w:sz w:val="24"/>
                <w:szCs w:val="21"/>
                <w:lang w:val="en-US" w:eastAsia="zh-CN" w:bidi="ar-SA"/>
              </w:rPr>
              <w:t>10</w:t>
            </w:r>
            <w:r>
              <w:rPr>
                <w:rFonts w:hint="default" w:ascii="Times New Roman" w:hAnsi="Times New Roman" w:eastAsia="宋体" w:cs="Times New Roman"/>
                <w:color w:val="auto"/>
                <w:kern w:val="0"/>
                <w:sz w:val="24"/>
                <w:szCs w:val="21"/>
                <w:lang w:val="en-US" w:eastAsia="zh-CN" w:bidi="ar-SA"/>
              </w:rPr>
              <w:t>）≈</w:t>
            </w:r>
            <w:r>
              <w:rPr>
                <w:rFonts w:hint="eastAsia" w:cs="Times New Roman"/>
                <w:color w:val="auto"/>
                <w:kern w:val="0"/>
                <w:sz w:val="24"/>
                <w:szCs w:val="21"/>
                <w:lang w:val="en-US" w:eastAsia="zh-CN" w:bidi="ar-SA"/>
              </w:rPr>
              <w:t>48.4</w:t>
            </w:r>
            <w:r>
              <w:rPr>
                <w:rFonts w:hint="default" w:ascii="Times New Roman" w:hAnsi="Times New Roman" w:eastAsia="宋体" w:cs="Times New Roman"/>
                <w:color w:val="auto"/>
                <w:kern w:val="0"/>
                <w:sz w:val="24"/>
                <w:szCs w:val="21"/>
                <w:lang w:val="en-US" w:eastAsia="zh-CN" w:bidi="ar-SA"/>
              </w:rPr>
              <w:t>d，为保证活性炭使用效率，结合</w:t>
            </w:r>
            <w:r>
              <w:rPr>
                <w:rFonts w:hint="eastAsia" w:ascii="Times New Roman" w:hAnsi="Times New Roman" w:eastAsia="宋体" w:cs="Times New Roman"/>
                <w:color w:val="auto"/>
                <w:kern w:val="0"/>
                <w:sz w:val="24"/>
                <w:szCs w:val="21"/>
                <w:lang w:val="en-US" w:eastAsia="zh-CN" w:bidi="ar-SA"/>
              </w:rPr>
              <w:t>《省生态环境厅关于深入开展涉VOCs治理重点工作核查的通知》</w:t>
            </w:r>
            <w:r>
              <w:rPr>
                <w:rFonts w:hint="eastAsia"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活性炭更换周期一般不</w:t>
            </w:r>
            <w:r>
              <w:rPr>
                <w:rFonts w:hint="eastAsia" w:ascii="Times New Roman" w:hAnsi="Times New Roman" w:eastAsia="宋体" w:cs="Times New Roman"/>
                <w:color w:val="auto"/>
                <w:kern w:val="0"/>
                <w:sz w:val="24"/>
                <w:szCs w:val="21"/>
                <w:lang w:val="en-US" w:eastAsia="zh-CN" w:bidi="ar-SA"/>
              </w:rPr>
              <w:t>应</w:t>
            </w:r>
            <w:r>
              <w:rPr>
                <w:rFonts w:hint="default" w:ascii="Times New Roman" w:hAnsi="Times New Roman" w:eastAsia="宋体" w:cs="Times New Roman"/>
                <w:color w:val="auto"/>
                <w:kern w:val="0"/>
                <w:sz w:val="24"/>
                <w:szCs w:val="21"/>
                <w:lang w:val="en-US" w:eastAsia="zh-CN" w:bidi="ar-SA"/>
              </w:rPr>
              <w:t>超过累计运</w:t>
            </w:r>
            <w:r>
              <w:rPr>
                <w:rFonts w:hint="eastAsia" w:ascii="Times New Roman" w:hAnsi="Times New Roman" w:eastAsia="宋体" w:cs="Times New Roman"/>
                <w:color w:val="auto"/>
                <w:kern w:val="0"/>
                <w:sz w:val="24"/>
                <w:szCs w:val="21"/>
                <w:lang w:val="en-US" w:eastAsia="zh-CN" w:bidi="ar-SA"/>
              </w:rPr>
              <w:t>行</w:t>
            </w:r>
            <w:r>
              <w:rPr>
                <w:rFonts w:hint="default" w:ascii="Times New Roman" w:hAnsi="Times New Roman" w:eastAsia="宋体" w:cs="Times New Roman"/>
                <w:color w:val="auto"/>
                <w:kern w:val="0"/>
                <w:sz w:val="24"/>
                <w:szCs w:val="21"/>
                <w:lang w:val="en-US" w:eastAsia="zh-CN" w:bidi="ar-SA"/>
              </w:rPr>
              <w:t>500小时或3个月</w:t>
            </w:r>
            <w:r>
              <w:rPr>
                <w:rFonts w:hint="eastAsia"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w:t>
            </w:r>
            <w:r>
              <w:rPr>
                <w:rFonts w:hint="eastAsia" w:cs="Times New Roman"/>
                <w:color w:val="auto"/>
                <w:kern w:val="0"/>
                <w:sz w:val="24"/>
                <w:szCs w:val="21"/>
                <w:lang w:val="en-US" w:eastAsia="zh-CN" w:bidi="ar-SA"/>
              </w:rPr>
              <w:t>本项目活性炭50d更换一次，企业年工作300天，</w:t>
            </w:r>
            <w:r>
              <w:rPr>
                <w:rFonts w:hint="default" w:ascii="Times New Roman" w:hAnsi="Times New Roman" w:eastAsia="宋体" w:cs="Times New Roman"/>
                <w:color w:val="auto"/>
                <w:kern w:val="0"/>
                <w:sz w:val="24"/>
                <w:szCs w:val="21"/>
                <w:lang w:val="en-US" w:eastAsia="zh-CN" w:bidi="ar-SA"/>
              </w:rPr>
              <w:t>则每年约需更换活性炭</w:t>
            </w:r>
            <w:r>
              <w:rPr>
                <w:rFonts w:hint="eastAsia" w:cs="Times New Roman"/>
                <w:color w:val="auto"/>
                <w:kern w:val="0"/>
                <w:sz w:val="24"/>
                <w:szCs w:val="21"/>
                <w:lang w:val="en-US" w:eastAsia="zh-CN" w:bidi="ar-SA"/>
              </w:rPr>
              <w:t>6</w:t>
            </w:r>
            <w:r>
              <w:rPr>
                <w:rFonts w:hint="default" w:ascii="Times New Roman" w:hAnsi="Times New Roman" w:eastAsia="宋体" w:cs="Times New Roman"/>
                <w:color w:val="auto"/>
                <w:kern w:val="0"/>
                <w:sz w:val="24"/>
                <w:szCs w:val="21"/>
                <w:lang w:val="en-US" w:eastAsia="zh-CN" w:bidi="ar-SA"/>
              </w:rPr>
              <w:t>次</w:t>
            </w:r>
            <w:r>
              <w:rPr>
                <w:rFonts w:hint="eastAsia" w:ascii="Times New Roman" w:hAnsi="Times New Roman" w:eastAsia="宋体" w:cs="Times New Roman"/>
                <w:color w:val="auto"/>
                <w:kern w:val="0"/>
                <w:sz w:val="24"/>
                <w:szCs w:val="21"/>
                <w:lang w:val="en-US" w:eastAsia="zh-CN" w:bidi="ar-SA"/>
              </w:rPr>
              <w:t>，</w:t>
            </w:r>
            <w:r>
              <w:rPr>
                <w:rFonts w:hint="default" w:ascii="Times New Roman" w:hAnsi="Times New Roman" w:eastAsia="宋体" w:cs="Times New Roman"/>
                <w:color w:val="auto"/>
                <w:kern w:val="0"/>
                <w:sz w:val="24"/>
                <w:szCs w:val="21"/>
                <w:lang w:val="en-US" w:eastAsia="zh-CN" w:bidi="ar-SA"/>
              </w:rPr>
              <w:t>则废活性炭产生量</w:t>
            </w:r>
            <w:r>
              <w:rPr>
                <w:rFonts w:hint="eastAsia" w:cs="Times New Roman"/>
                <w:color w:val="auto"/>
                <w:kern w:val="0"/>
                <w:sz w:val="24"/>
                <w:szCs w:val="21"/>
                <w:lang w:val="en-US" w:eastAsia="zh-CN" w:bidi="ar-SA"/>
              </w:rPr>
              <w:t>约</w:t>
            </w:r>
            <w:r>
              <w:rPr>
                <w:rFonts w:hint="default" w:ascii="Times New Roman" w:hAnsi="Times New Roman" w:eastAsia="宋体" w:cs="Times New Roman"/>
                <w:color w:val="auto"/>
                <w:kern w:val="0"/>
                <w:sz w:val="24"/>
                <w:szCs w:val="21"/>
                <w:lang w:val="en-US" w:eastAsia="zh-CN" w:bidi="ar-SA"/>
              </w:rPr>
              <w:t>为</w:t>
            </w:r>
            <w:r>
              <w:rPr>
                <w:rFonts w:hint="eastAsia" w:cs="Times New Roman"/>
                <w:color w:val="auto"/>
                <w:kern w:val="0"/>
                <w:sz w:val="24"/>
                <w:szCs w:val="21"/>
                <w:lang w:val="en-US" w:eastAsia="zh-CN" w:bidi="ar-SA"/>
              </w:rPr>
              <w:t>13.2237</w:t>
            </w:r>
            <w:r>
              <w:rPr>
                <w:rFonts w:hint="eastAsia" w:ascii="Times New Roman" w:hAnsi="Times New Roman" w:eastAsia="宋体" w:cs="Times New Roman"/>
                <w:color w:val="auto"/>
                <w:kern w:val="0"/>
                <w:sz w:val="24"/>
                <w:szCs w:val="21"/>
                <w:lang w:val="en-US" w:eastAsia="zh-CN" w:bidi="ar-SA"/>
              </w:rPr>
              <w:t>t</w:t>
            </w:r>
            <w:r>
              <w:rPr>
                <w:rFonts w:hint="default" w:ascii="Times New Roman" w:hAnsi="Times New Roman" w:eastAsia="宋体" w:cs="Times New Roman"/>
                <w:color w:val="auto"/>
                <w:kern w:val="0"/>
                <w:sz w:val="24"/>
                <w:szCs w:val="21"/>
                <w:lang w:val="en-US" w:eastAsia="zh-CN" w:bidi="ar-SA"/>
              </w:rPr>
              <w:t>/a</w:t>
            </w:r>
            <w:r>
              <w:rPr>
                <w:rFonts w:hint="eastAsia" w:cs="Times New Roman"/>
                <w:color w:val="auto"/>
                <w:kern w:val="0"/>
                <w:sz w:val="24"/>
                <w:szCs w:val="21"/>
                <w:lang w:val="en-US" w:eastAsia="zh-CN" w:bidi="ar-SA"/>
              </w:rPr>
              <w:t>（包含废气1.7757t/a）</w:t>
            </w:r>
            <w:r>
              <w:rPr>
                <w:rFonts w:hint="default" w:ascii="Times New Roman" w:hAnsi="Times New Roman" w:eastAsia="宋体" w:cs="Times New Roman"/>
                <w:color w:val="auto"/>
                <w:kern w:val="0"/>
                <w:sz w:val="24"/>
                <w:szCs w:val="21"/>
                <w:lang w:val="en-US" w:eastAsia="zh-CN" w:bidi="ar-SA"/>
              </w:rPr>
              <w:t>，委托有资质单位处置</w:t>
            </w:r>
            <w:r>
              <w:rPr>
                <w:rFonts w:hint="default" w:ascii="Times New Roman" w:hAnsi="Times New Roman" w:eastAsia="宋体" w:cs="Times New Roman"/>
                <w:color w:val="auto"/>
                <w:sz w:val="24"/>
                <w:szCs w:val="24"/>
              </w:rPr>
              <w:t>。</w:t>
            </w:r>
          </w:p>
          <w:p w14:paraId="1289C23E">
            <w:pPr>
              <w:pStyle w:val="27"/>
              <w:numPr>
                <w:ilvl w:val="0"/>
                <w:numId w:val="0"/>
              </w:numPr>
              <w:spacing w:line="360" w:lineRule="auto"/>
              <w:ind w:firstLine="480"/>
              <w:jc w:val="left"/>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4"/>
                <w:szCs w:val="24"/>
              </w:rPr>
              <w:t>本项目二级活性炭吸附处理装置主要技术参数与《吸附法工业有机废气治理工程技术规范》（HJ2026-2013）中相关要求比较见下表</w:t>
            </w:r>
            <w:r>
              <w:rPr>
                <w:rFonts w:hint="eastAsia" w:ascii="Times New Roman" w:hAnsi="Times New Roman" w:eastAsia="宋体" w:cs="Times New Roman"/>
                <w:color w:val="auto"/>
                <w:sz w:val="24"/>
                <w:szCs w:val="24"/>
                <w:lang w:eastAsia="zh-CN"/>
              </w:rPr>
              <w:t>。</w:t>
            </w:r>
          </w:p>
          <w:p w14:paraId="5800D584">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活性炭吸附装置主要技术参数对照表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541"/>
              <w:gridCol w:w="5113"/>
              <w:gridCol w:w="2960"/>
              <w:gridCol w:w="877"/>
            </w:tblGrid>
            <w:tr w14:paraId="47978E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2C7F2D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bCs w:val="0"/>
                      <w:color w:val="auto"/>
                      <w:sz w:val="21"/>
                      <w:szCs w:val="21"/>
                      <w:highlight w:val="none"/>
                      <w:vertAlign w:val="baseline"/>
                      <w:lang w:val="en-US" w:eastAsia="zh-CN"/>
                    </w:rPr>
                    <w:t>序号</w:t>
                  </w:r>
                </w:p>
              </w:tc>
              <w:tc>
                <w:tcPr>
                  <w:tcW w:w="2693" w:type="pct"/>
                  <w:tcBorders>
                    <w:tl2br w:val="nil"/>
                    <w:tr2bl w:val="nil"/>
                  </w:tcBorders>
                  <w:noWrap w:val="0"/>
                  <w:vAlign w:val="center"/>
                </w:tcPr>
                <w:p w14:paraId="3E632B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规范要求</w:t>
                  </w:r>
                </w:p>
              </w:tc>
              <w:tc>
                <w:tcPr>
                  <w:tcW w:w="1559" w:type="pct"/>
                  <w:tcBorders>
                    <w:tl2br w:val="nil"/>
                    <w:tr2bl w:val="nil"/>
                  </w:tcBorders>
                  <w:noWrap w:val="0"/>
                  <w:vAlign w:val="center"/>
                </w:tcPr>
                <w:p w14:paraId="6F2B11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项目情况</w:t>
                  </w:r>
                </w:p>
              </w:tc>
              <w:tc>
                <w:tcPr>
                  <w:tcW w:w="462" w:type="pct"/>
                  <w:tcBorders>
                    <w:tl2br w:val="nil"/>
                    <w:tr2bl w:val="nil"/>
                  </w:tcBorders>
                  <w:noWrap w:val="0"/>
                  <w:vAlign w:val="center"/>
                </w:tcPr>
                <w:p w14:paraId="605D6B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相符性</w:t>
                  </w:r>
                </w:p>
              </w:tc>
            </w:tr>
            <w:tr w14:paraId="741F57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7C73BF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1</w:t>
                  </w:r>
                </w:p>
              </w:tc>
              <w:tc>
                <w:tcPr>
                  <w:tcW w:w="2693" w:type="pct"/>
                  <w:tcBorders>
                    <w:tl2br w:val="nil"/>
                    <w:tr2bl w:val="nil"/>
                  </w:tcBorders>
                  <w:noWrap w:val="0"/>
                  <w:vAlign w:val="center"/>
                </w:tcPr>
                <w:p w14:paraId="0BD64A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颗粒分子筛的BET比表面积应不低于350m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/g。</w:t>
                  </w:r>
                </w:p>
              </w:tc>
              <w:tc>
                <w:tcPr>
                  <w:tcW w:w="1559" w:type="pct"/>
                  <w:tcBorders>
                    <w:tl2br w:val="nil"/>
                    <w:tr2bl w:val="nil"/>
                  </w:tcBorders>
                  <w:noWrap w:val="0"/>
                  <w:vAlign w:val="center"/>
                </w:tcPr>
                <w:p w14:paraId="52562C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本项目使用的颗粒活性炭的比表面积不低于350m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/g。</w:t>
                  </w:r>
                </w:p>
              </w:tc>
              <w:tc>
                <w:tcPr>
                  <w:tcW w:w="462" w:type="pct"/>
                  <w:tcBorders>
                    <w:tl2br w:val="nil"/>
                    <w:tr2bl w:val="nil"/>
                  </w:tcBorders>
                  <w:noWrap w:val="0"/>
                  <w:vAlign w:val="center"/>
                </w:tcPr>
                <w:p w14:paraId="7B31D6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1788B4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5E00F8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2</w:t>
                  </w:r>
                </w:p>
              </w:tc>
              <w:tc>
                <w:tcPr>
                  <w:tcW w:w="2693" w:type="pct"/>
                  <w:tcBorders>
                    <w:tl2br w:val="nil"/>
                    <w:tr2bl w:val="nil"/>
                  </w:tcBorders>
                  <w:noWrap w:val="0"/>
                  <w:vAlign w:val="center"/>
                </w:tcPr>
                <w:p w14:paraId="5730C7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采用颗粒状吸附剂时，气体流速宜低于0.6m/s。</w:t>
                  </w:r>
                </w:p>
              </w:tc>
              <w:tc>
                <w:tcPr>
                  <w:tcW w:w="1559" w:type="pct"/>
                  <w:tcBorders>
                    <w:tl2br w:val="nil"/>
                    <w:tr2bl w:val="nil"/>
                  </w:tcBorders>
                  <w:noWrap w:val="0"/>
                  <w:vAlign w:val="center"/>
                </w:tcPr>
                <w:p w14:paraId="2012C0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本项目活性炭装置气体流速</w:t>
                  </w:r>
                  <w:r>
                    <w:rPr>
                      <w:rFonts w:hint="eastAsia" w:eastAsia="仿宋" w:cs="Times New Roman"/>
                      <w:b w:val="0"/>
                      <w:bCs/>
                      <w:color w:val="auto"/>
                      <w:kern w:val="2"/>
                      <w:sz w:val="21"/>
                      <w:szCs w:val="21"/>
                      <w:highlight w:val="none"/>
                      <w:vertAlign w:val="baseline"/>
                      <w:lang w:val="en-US" w:eastAsia="zh-CN" w:bidi="ar-SA"/>
                    </w:rPr>
                    <w:t>0.59</w:t>
                  </w:r>
                  <w:r>
                    <w:rPr>
                      <w:rFonts w:hint="default" w:ascii="Times New Roman" w:hAnsi="Times New Roman" w:eastAsia="仿宋" w:cs="Times New Roman"/>
                      <w:b w:val="0"/>
                      <w:bCs/>
                      <w:color w:val="auto"/>
                      <w:kern w:val="2"/>
                      <w:sz w:val="21"/>
                      <w:szCs w:val="21"/>
                      <w:highlight w:val="none"/>
                      <w:vertAlign w:val="baseline"/>
                      <w:lang w:val="en-US" w:eastAsia="zh-CN" w:bidi="ar-SA"/>
                    </w:rPr>
                    <w:t>m/s。</w:t>
                  </w:r>
                </w:p>
              </w:tc>
              <w:tc>
                <w:tcPr>
                  <w:tcW w:w="462" w:type="pct"/>
                  <w:tcBorders>
                    <w:tl2br w:val="nil"/>
                    <w:tr2bl w:val="nil"/>
                  </w:tcBorders>
                  <w:noWrap w:val="0"/>
                  <w:vAlign w:val="center"/>
                </w:tcPr>
                <w:p w14:paraId="4E3A46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645F4C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4EF373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3</w:t>
                  </w:r>
                </w:p>
              </w:tc>
              <w:tc>
                <w:tcPr>
                  <w:tcW w:w="2693" w:type="pct"/>
                  <w:tcBorders>
                    <w:tl2br w:val="nil"/>
                    <w:tr2bl w:val="nil"/>
                  </w:tcBorders>
                  <w:noWrap w:val="0"/>
                  <w:vAlign w:val="center"/>
                </w:tcPr>
                <w:p w14:paraId="0B0CDD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过滤装置两端应装设压差计，当过滤器的阻力超过规定值时应及时清理或更换过滤材料。</w:t>
                  </w:r>
                </w:p>
              </w:tc>
              <w:tc>
                <w:tcPr>
                  <w:tcW w:w="1559" w:type="pct"/>
                  <w:tcBorders>
                    <w:tl2br w:val="nil"/>
                    <w:tr2bl w:val="nil"/>
                  </w:tcBorders>
                  <w:noWrap w:val="0"/>
                  <w:vAlign w:val="center"/>
                </w:tcPr>
                <w:p w14:paraId="0C0FF1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过滤装置两端拟安装压差计</w:t>
                  </w:r>
                  <w:r>
                    <w:rPr>
                      <w:rFonts w:hint="eastAsia"/>
                      <w:color w:val="auto"/>
                      <w:lang w:eastAsia="zh-CN"/>
                    </w:rPr>
                    <w:t>。</w:t>
                  </w:r>
                </w:p>
              </w:tc>
              <w:tc>
                <w:tcPr>
                  <w:tcW w:w="462" w:type="pct"/>
                  <w:tcBorders>
                    <w:tl2br w:val="nil"/>
                    <w:tr2bl w:val="nil"/>
                  </w:tcBorders>
                  <w:noWrap w:val="0"/>
                  <w:vAlign w:val="center"/>
                </w:tcPr>
                <w:p w14:paraId="4E29F5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16F916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431483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4</w:t>
                  </w:r>
                </w:p>
              </w:tc>
              <w:tc>
                <w:tcPr>
                  <w:tcW w:w="2693" w:type="pct"/>
                  <w:tcBorders>
                    <w:tl2br w:val="nil"/>
                    <w:tr2bl w:val="nil"/>
                  </w:tcBorders>
                  <w:noWrap w:val="0"/>
                  <w:vAlign w:val="center"/>
                </w:tcPr>
                <w:p w14:paraId="1112A1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过滤材料、吸附剂和催化剂的处理应符合固体废弃物处理与处置相关管理规定。</w:t>
                  </w:r>
                </w:p>
              </w:tc>
              <w:tc>
                <w:tcPr>
                  <w:tcW w:w="1559" w:type="pct"/>
                  <w:tcBorders>
                    <w:tl2br w:val="nil"/>
                    <w:tr2bl w:val="nil"/>
                  </w:tcBorders>
                  <w:noWrap w:val="0"/>
                  <w:vAlign w:val="center"/>
                </w:tcPr>
                <w:p w14:paraId="42F383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废活性炭委托有资质危废单位处理。</w:t>
                  </w:r>
                </w:p>
              </w:tc>
              <w:tc>
                <w:tcPr>
                  <w:tcW w:w="462" w:type="pct"/>
                  <w:tcBorders>
                    <w:tl2br w:val="nil"/>
                    <w:tr2bl w:val="nil"/>
                  </w:tcBorders>
                  <w:noWrap w:val="0"/>
                  <w:vAlign w:val="center"/>
                </w:tcPr>
                <w:p w14:paraId="26C476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2C3389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626E54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5</w:t>
                  </w:r>
                </w:p>
              </w:tc>
              <w:tc>
                <w:tcPr>
                  <w:tcW w:w="2693" w:type="pct"/>
                  <w:tcBorders>
                    <w:tl2br w:val="nil"/>
                    <w:tr2bl w:val="nil"/>
                  </w:tcBorders>
                  <w:noWrap w:val="0"/>
                  <w:vAlign w:val="center"/>
                </w:tcPr>
                <w:p w14:paraId="097241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治理设备应设置永久性采样口，采样口的设置应符合HJ/T397-2007的要求，采样频次和检测项目应根据工艺控制要求确定。</w:t>
                  </w:r>
                </w:p>
              </w:tc>
              <w:tc>
                <w:tcPr>
                  <w:tcW w:w="1559" w:type="pct"/>
                  <w:tcBorders>
                    <w:tl2br w:val="nil"/>
                    <w:tr2bl w:val="nil"/>
                  </w:tcBorders>
                  <w:noWrap w:val="0"/>
                  <w:vAlign w:val="center"/>
                </w:tcPr>
                <w:p w14:paraId="08B7AD48">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highlight w:val="none"/>
                    </w:rPr>
                    <w:t>废气设施设置永久采样口，采样口的设置应符合HJ/T397-2007的要求</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根据工艺要求定期进行检测。</w:t>
                  </w:r>
                </w:p>
              </w:tc>
              <w:tc>
                <w:tcPr>
                  <w:tcW w:w="462" w:type="pct"/>
                  <w:tcBorders>
                    <w:tl2br w:val="nil"/>
                    <w:tr2bl w:val="nil"/>
                  </w:tcBorders>
                  <w:noWrap w:val="0"/>
                  <w:vAlign w:val="center"/>
                </w:tcPr>
                <w:p w14:paraId="1E460D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4014BF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3653B5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6</w:t>
                  </w:r>
                </w:p>
              </w:tc>
              <w:tc>
                <w:tcPr>
                  <w:tcW w:w="2693" w:type="pct"/>
                  <w:tcBorders>
                    <w:tl2br w:val="nil"/>
                    <w:tr2bl w:val="nil"/>
                  </w:tcBorders>
                  <w:noWrap w:val="0"/>
                  <w:vAlign w:val="center"/>
                </w:tcPr>
                <w:p w14:paraId="61A7B7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应定期检测过滤装置两端的压差。</w:t>
                  </w:r>
                </w:p>
              </w:tc>
              <w:tc>
                <w:tcPr>
                  <w:tcW w:w="1559" w:type="pct"/>
                  <w:tcBorders>
                    <w:tl2br w:val="nil"/>
                    <w:tr2bl w:val="nil"/>
                  </w:tcBorders>
                  <w:noWrap w:val="0"/>
                  <w:vAlign w:val="center"/>
                </w:tcPr>
                <w:p w14:paraId="6FF46F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每天检查过滤层前后压差。</w:t>
                  </w:r>
                </w:p>
              </w:tc>
              <w:tc>
                <w:tcPr>
                  <w:tcW w:w="462" w:type="pct"/>
                  <w:tcBorders>
                    <w:tl2br w:val="nil"/>
                    <w:tr2bl w:val="nil"/>
                  </w:tcBorders>
                  <w:noWrap w:val="0"/>
                  <w:vAlign w:val="center"/>
                </w:tcPr>
                <w:p w14:paraId="6F2536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25C7A3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6E6421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7</w:t>
                  </w:r>
                </w:p>
              </w:tc>
              <w:tc>
                <w:tcPr>
                  <w:tcW w:w="2693" w:type="pct"/>
                  <w:tcBorders>
                    <w:tl2br w:val="nil"/>
                    <w:tr2bl w:val="nil"/>
                  </w:tcBorders>
                  <w:noWrap w:val="0"/>
                  <w:vAlign w:val="center"/>
                </w:tcPr>
                <w:p w14:paraId="5DFC97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治理工程应先于产生废气的生产工艺设备开启，后于生产工艺设备停机，并实现联锁控制</w:t>
                  </w:r>
                  <w:r>
                    <w:rPr>
                      <w:rFonts w:hint="default" w:ascii="Times New Roman" w:hAnsi="Times New Roman" w:eastAsia="仿宋" w:cs="Times New Roman"/>
                      <w:b w:val="0"/>
                      <w:bCs/>
                      <w:color w:val="auto"/>
                      <w:kern w:val="2"/>
                      <w:sz w:val="21"/>
                      <w:szCs w:val="21"/>
                      <w:highlight w:val="none"/>
                      <w:vertAlign w:val="baseline"/>
                      <w:lang w:val="en-US" w:eastAsia="zh-CN" w:bidi="ar-SA"/>
                    </w:rPr>
                    <w:t>。</w:t>
                  </w:r>
                </w:p>
              </w:tc>
              <w:tc>
                <w:tcPr>
                  <w:tcW w:w="1559" w:type="pct"/>
                  <w:tcBorders>
                    <w:tl2br w:val="nil"/>
                    <w:tr2bl w:val="nil"/>
                  </w:tcBorders>
                  <w:noWrap w:val="0"/>
                  <w:vAlign w:val="center"/>
                </w:tcPr>
                <w:p w14:paraId="3924DE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根据工程方案，在严格执行监管措施下，设施稳定运行的情况下，对有机废气的去除率可达90%。</w:t>
                  </w:r>
                </w:p>
              </w:tc>
              <w:tc>
                <w:tcPr>
                  <w:tcW w:w="462" w:type="pct"/>
                  <w:tcBorders>
                    <w:tl2br w:val="nil"/>
                    <w:tr2bl w:val="nil"/>
                  </w:tcBorders>
                  <w:noWrap w:val="0"/>
                  <w:vAlign w:val="center"/>
                </w:tcPr>
                <w:p w14:paraId="5669AC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77A3D8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5" w:type="pct"/>
                  <w:tcBorders>
                    <w:tl2br w:val="nil"/>
                    <w:tr2bl w:val="nil"/>
                  </w:tcBorders>
                  <w:noWrap w:val="0"/>
                  <w:vAlign w:val="center"/>
                </w:tcPr>
                <w:p w14:paraId="3A1CE9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8</w:t>
                  </w:r>
                </w:p>
              </w:tc>
              <w:tc>
                <w:tcPr>
                  <w:tcW w:w="2693" w:type="pct"/>
                  <w:tcBorders>
                    <w:tl2br w:val="nil"/>
                    <w:tr2bl w:val="nil"/>
                  </w:tcBorders>
                  <w:noWrap w:val="0"/>
                  <w:vAlign w:val="center"/>
                </w:tcPr>
                <w:p w14:paraId="64FF11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进入吸附装置的废气温度宜低于</w:t>
                  </w:r>
                  <w:r>
                    <w:rPr>
                      <w:rFonts w:hint="default" w:ascii="Times New Roman" w:hAnsi="Times New Roman" w:eastAsia="仿宋" w:cs="Times New Roman"/>
                      <w:bCs/>
                      <w:color w:val="auto"/>
                      <w:sz w:val="21"/>
                      <w:szCs w:val="21"/>
                      <w:highlight w:val="none"/>
                      <w:lang w:val="en-US" w:eastAsia="zh-CN"/>
                    </w:rPr>
                    <w:t>40</w:t>
                  </w:r>
                  <w:r>
                    <w:rPr>
                      <w:rFonts w:hint="default" w:ascii="Times New Roman" w:hAnsi="Times New Roman" w:eastAsia="仿宋" w:cs="Times New Roman"/>
                      <w:bCs/>
                      <w:color w:val="auto"/>
                      <w:sz w:val="21"/>
                      <w:szCs w:val="21"/>
                      <w:highlight w:val="none"/>
                    </w:rPr>
                    <w:t>℃</w:t>
                  </w:r>
                </w:p>
              </w:tc>
              <w:tc>
                <w:tcPr>
                  <w:tcW w:w="1559" w:type="pct"/>
                  <w:tcBorders>
                    <w:tl2br w:val="nil"/>
                    <w:tr2bl w:val="nil"/>
                  </w:tcBorders>
                  <w:noWrap w:val="0"/>
                  <w:vAlign w:val="center"/>
                </w:tcPr>
                <w:p w14:paraId="7533FC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本项目进入废气吸附装置温度</w:t>
                  </w:r>
                  <w:r>
                    <w:rPr>
                      <w:rFonts w:hint="default" w:ascii="Times New Roman" w:hAnsi="Times New Roman" w:eastAsia="仿宋" w:cs="Times New Roman"/>
                      <w:b w:val="0"/>
                      <w:bCs/>
                      <w:color w:val="auto"/>
                      <w:kern w:val="2"/>
                      <w:sz w:val="21"/>
                      <w:szCs w:val="21"/>
                      <w:highlight w:val="none"/>
                      <w:vertAlign w:val="baseline"/>
                      <w:lang w:val="en-US" w:eastAsia="zh-Hans" w:bidi="ar-SA"/>
                    </w:rPr>
                    <w:t>低于</w:t>
                  </w:r>
                  <w:r>
                    <w:rPr>
                      <w:rFonts w:hint="default" w:ascii="Times New Roman" w:hAnsi="Times New Roman" w:eastAsia="仿宋" w:cs="Times New Roman"/>
                      <w:bCs/>
                      <w:color w:val="auto"/>
                      <w:sz w:val="21"/>
                      <w:szCs w:val="21"/>
                      <w:highlight w:val="none"/>
                    </w:rPr>
                    <w:t>40℃</w:t>
                  </w:r>
                  <w:r>
                    <w:rPr>
                      <w:rFonts w:hint="default" w:ascii="Times New Roman" w:hAnsi="Times New Roman" w:eastAsia="仿宋" w:cs="Times New Roman"/>
                      <w:bCs/>
                      <w:color w:val="auto"/>
                      <w:sz w:val="21"/>
                      <w:szCs w:val="21"/>
                      <w:highlight w:val="none"/>
                      <w:lang w:eastAsia="zh-CN"/>
                    </w:rPr>
                    <w:t>。</w:t>
                  </w:r>
                </w:p>
              </w:tc>
              <w:tc>
                <w:tcPr>
                  <w:tcW w:w="462" w:type="pct"/>
                  <w:tcBorders>
                    <w:tl2br w:val="nil"/>
                    <w:tr2bl w:val="nil"/>
                  </w:tcBorders>
                  <w:noWrap w:val="0"/>
                  <w:vAlign w:val="center"/>
                </w:tcPr>
                <w:p w14:paraId="640EFD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bl>
          <w:p w14:paraId="50CB01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综上，本项目活性炭吸附装置满足《吸附法工业有机废气治理工程技术规范》（HJ2026-2013）的要求。</w:t>
            </w:r>
          </w:p>
          <w:p w14:paraId="0BC8C6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4"/>
                <w:szCs w:val="24"/>
              </w:rPr>
              <w:t>本项目二级活性炭吸附处理装置与《省生态环境厅关于深入开展涉VOCs治理重点工作核查的通知》苏环办</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rPr>
              <w:t>2022〕218号相符性分析见下表</w:t>
            </w:r>
            <w:r>
              <w:rPr>
                <w:rFonts w:hint="eastAsia" w:ascii="Times New Roman" w:hAnsi="Times New Roman" w:eastAsia="宋体" w:cs="Times New Roman"/>
                <w:color w:val="auto"/>
                <w:sz w:val="24"/>
                <w:szCs w:val="24"/>
                <w:lang w:eastAsia="zh-CN"/>
              </w:rPr>
              <w:t>。</w:t>
            </w:r>
          </w:p>
          <w:p w14:paraId="34BD8E2F">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与苏环办</w:t>
            </w:r>
            <w:r>
              <w:rPr>
                <w:rFonts w:hint="eastAsia" w:cs="Times New Roman"/>
                <w:b/>
                <w:color w:val="auto"/>
                <w:kern w:val="0"/>
                <w:sz w:val="24"/>
                <w:szCs w:val="24"/>
                <w:highlight w:val="none"/>
                <w:lang w:val="en-US" w:eastAsia="zh-CN"/>
              </w:rPr>
              <w:t>〔</w:t>
            </w:r>
            <w:r>
              <w:rPr>
                <w:rFonts w:hint="default" w:cs="Times New Roman"/>
                <w:b/>
                <w:color w:val="auto"/>
                <w:kern w:val="0"/>
                <w:sz w:val="24"/>
                <w:szCs w:val="24"/>
                <w:highlight w:val="none"/>
                <w:lang w:val="en-US" w:eastAsia="zh-CN"/>
              </w:rPr>
              <w:t>2022〕218号相符性分析</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531"/>
              <w:gridCol w:w="5293"/>
              <w:gridCol w:w="2695"/>
              <w:gridCol w:w="970"/>
            </w:tblGrid>
            <w:tr w14:paraId="31D8E3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686F39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bCs w:val="0"/>
                      <w:color w:val="auto"/>
                      <w:sz w:val="21"/>
                      <w:szCs w:val="21"/>
                      <w:highlight w:val="none"/>
                      <w:vertAlign w:val="baseline"/>
                      <w:lang w:val="en-US" w:eastAsia="zh-CN"/>
                    </w:rPr>
                    <w:t>序号</w:t>
                  </w:r>
                </w:p>
              </w:tc>
              <w:tc>
                <w:tcPr>
                  <w:tcW w:w="2787" w:type="pct"/>
                  <w:tcBorders>
                    <w:tl2br w:val="nil"/>
                    <w:tr2bl w:val="nil"/>
                  </w:tcBorders>
                  <w:noWrap w:val="0"/>
                  <w:vAlign w:val="center"/>
                </w:tcPr>
                <w:p w14:paraId="3ED408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规范要求</w:t>
                  </w:r>
                </w:p>
              </w:tc>
              <w:tc>
                <w:tcPr>
                  <w:tcW w:w="1419" w:type="pct"/>
                  <w:tcBorders>
                    <w:tl2br w:val="nil"/>
                    <w:tr2bl w:val="nil"/>
                  </w:tcBorders>
                  <w:noWrap w:val="0"/>
                  <w:vAlign w:val="center"/>
                </w:tcPr>
                <w:p w14:paraId="1A4714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项目情况</w:t>
                  </w:r>
                </w:p>
              </w:tc>
              <w:tc>
                <w:tcPr>
                  <w:tcW w:w="511" w:type="pct"/>
                  <w:tcBorders>
                    <w:tl2br w:val="nil"/>
                    <w:tr2bl w:val="nil"/>
                  </w:tcBorders>
                  <w:noWrap w:val="0"/>
                  <w:vAlign w:val="center"/>
                </w:tcPr>
                <w:p w14:paraId="448BBF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bCs w:val="0"/>
                      <w:color w:val="auto"/>
                      <w:kern w:val="2"/>
                      <w:sz w:val="21"/>
                      <w:szCs w:val="21"/>
                      <w:highlight w:val="none"/>
                      <w:vertAlign w:val="baseline"/>
                      <w:lang w:val="en-US" w:eastAsia="zh-CN" w:bidi="ar-SA"/>
                    </w:rPr>
                  </w:pPr>
                  <w:r>
                    <w:rPr>
                      <w:rFonts w:hint="default" w:ascii="Times New Roman" w:hAnsi="Times New Roman" w:eastAsia="仿宋" w:cs="Times New Roman"/>
                      <w:b/>
                      <w:bCs w:val="0"/>
                      <w:color w:val="auto"/>
                      <w:kern w:val="2"/>
                      <w:sz w:val="21"/>
                      <w:szCs w:val="21"/>
                      <w:highlight w:val="none"/>
                      <w:vertAlign w:val="baseline"/>
                      <w:lang w:val="en-US" w:eastAsia="zh-CN" w:bidi="ar-SA"/>
                    </w:rPr>
                    <w:t>相符性</w:t>
                  </w:r>
                </w:p>
              </w:tc>
            </w:tr>
            <w:tr w14:paraId="0F8B64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5A81EC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1</w:t>
                  </w:r>
                </w:p>
              </w:tc>
              <w:tc>
                <w:tcPr>
                  <w:tcW w:w="2787" w:type="pct"/>
                  <w:tcBorders>
                    <w:tl2br w:val="nil"/>
                    <w:tr2bl w:val="nil"/>
                  </w:tcBorders>
                  <w:noWrap w:val="0"/>
                  <w:vAlign w:val="center"/>
                </w:tcPr>
                <w:p w14:paraId="2D3E61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设置能有效收集废气的集气罩，距集气罩开口面最远处的VOCs无组织排放位置，控制风速不低于0.3米</w:t>
                  </w:r>
                  <w:r>
                    <w:rPr>
                      <w:rFonts w:hint="default" w:ascii="Times New Roman" w:hAnsi="Times New Roman" w:eastAsia="仿宋" w:cs="Times New Roman"/>
                      <w:color w:val="auto"/>
                      <w:sz w:val="21"/>
                      <w:szCs w:val="21"/>
                      <w:lang w:val="en-US" w:eastAsia="zh-CN"/>
                    </w:rPr>
                    <w:t>/秒</w:t>
                  </w:r>
                  <w:r>
                    <w:rPr>
                      <w:rFonts w:hint="default" w:ascii="Times New Roman" w:hAnsi="Times New Roman" w:eastAsia="仿宋" w:cs="Times New Roman"/>
                      <w:color w:val="auto"/>
                      <w:sz w:val="21"/>
                      <w:szCs w:val="21"/>
                    </w:rPr>
                    <w:t>。</w:t>
                  </w:r>
                </w:p>
              </w:tc>
              <w:tc>
                <w:tcPr>
                  <w:tcW w:w="1419" w:type="pct"/>
                  <w:tcBorders>
                    <w:tl2br w:val="nil"/>
                    <w:tr2bl w:val="nil"/>
                  </w:tcBorders>
                  <w:noWrap w:val="0"/>
                  <w:vAlign w:val="center"/>
                </w:tcPr>
                <w:p w14:paraId="12E016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本项目集气罩规范设置，无组织排放控制风速不低于0.3米/秒。</w:t>
                  </w:r>
                </w:p>
              </w:tc>
              <w:tc>
                <w:tcPr>
                  <w:tcW w:w="511" w:type="pct"/>
                  <w:tcBorders>
                    <w:tl2br w:val="nil"/>
                    <w:tr2bl w:val="nil"/>
                  </w:tcBorders>
                  <w:noWrap w:val="0"/>
                  <w:vAlign w:val="center"/>
                </w:tcPr>
                <w:p w14:paraId="182238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1F625C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035D40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2</w:t>
                  </w:r>
                </w:p>
              </w:tc>
              <w:tc>
                <w:tcPr>
                  <w:tcW w:w="2787" w:type="pct"/>
                  <w:tcBorders>
                    <w:tl2br w:val="nil"/>
                    <w:tr2bl w:val="nil"/>
                  </w:tcBorders>
                  <w:noWrap w:val="0"/>
                  <w:vAlign w:val="center"/>
                </w:tcPr>
                <w:p w14:paraId="335325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无论是卧式活性炭罐还是箱式活性炭罐内部结构应设计合理，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w:t>
                  </w:r>
                  <w:r>
                    <w:rPr>
                      <w:rFonts w:hint="default" w:ascii="Times New Roman" w:hAnsi="Times New Roman" w:eastAsia="仿宋" w:cs="Times New Roman"/>
                      <w:color w:val="auto"/>
                      <w:sz w:val="21"/>
                      <w:szCs w:val="21"/>
                      <w:lang w:eastAsia="zh-CN"/>
                    </w:rPr>
                    <w:t>。</w:t>
                  </w:r>
                </w:p>
              </w:tc>
              <w:tc>
                <w:tcPr>
                  <w:tcW w:w="1419" w:type="pct"/>
                  <w:tcBorders>
                    <w:tl2br w:val="nil"/>
                    <w:tr2bl w:val="nil"/>
                  </w:tcBorders>
                  <w:noWrap w:val="0"/>
                  <w:vAlign w:val="center"/>
                </w:tcPr>
                <w:p w14:paraId="4810F3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本项目活性炭箱按技术要求规范设置，风机安装在吸附装置后端，设置采样口</w:t>
                  </w:r>
                  <w:r>
                    <w:rPr>
                      <w:rFonts w:hint="default" w:ascii="Times New Roman" w:hAnsi="Times New Roman" w:eastAsia="仿宋" w:cs="Times New Roman"/>
                      <w:color w:val="auto"/>
                      <w:sz w:val="21"/>
                      <w:szCs w:val="21"/>
                      <w:lang w:eastAsia="zh-CN"/>
                    </w:rPr>
                    <w:t>。</w:t>
                  </w:r>
                </w:p>
              </w:tc>
              <w:tc>
                <w:tcPr>
                  <w:tcW w:w="511" w:type="pct"/>
                  <w:tcBorders>
                    <w:tl2br w:val="nil"/>
                    <w:tr2bl w:val="nil"/>
                  </w:tcBorders>
                  <w:noWrap w:val="0"/>
                  <w:vAlign w:val="center"/>
                </w:tcPr>
                <w:p w14:paraId="1F20E8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7DD7C5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7DB2FE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3</w:t>
                  </w:r>
                </w:p>
              </w:tc>
              <w:tc>
                <w:tcPr>
                  <w:tcW w:w="2787" w:type="pct"/>
                  <w:tcBorders>
                    <w:tl2br w:val="nil"/>
                    <w:tr2bl w:val="nil"/>
                  </w:tcBorders>
                  <w:noWrap w:val="0"/>
                  <w:vAlign w:val="center"/>
                </w:tcPr>
                <w:p w14:paraId="6E5D1F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采用颗粒活性炭时，气体流速宜低于0.60m/s，装填厚度不得低于0.4m</w:t>
                  </w:r>
                  <w:r>
                    <w:rPr>
                      <w:rFonts w:hint="default" w:ascii="Times New Roman" w:hAnsi="Times New Roman" w:eastAsia="仿宋" w:cs="Times New Roman"/>
                      <w:b w:val="0"/>
                      <w:bCs/>
                      <w:color w:val="auto"/>
                      <w:kern w:val="2"/>
                      <w:sz w:val="21"/>
                      <w:szCs w:val="21"/>
                      <w:highlight w:val="none"/>
                      <w:vertAlign w:val="baseline"/>
                      <w:lang w:val="en-US" w:eastAsia="zh-CN" w:bidi="ar-SA"/>
                    </w:rPr>
                    <w:t>。</w:t>
                  </w:r>
                </w:p>
              </w:tc>
              <w:tc>
                <w:tcPr>
                  <w:tcW w:w="1419" w:type="pct"/>
                  <w:tcBorders>
                    <w:tl2br w:val="nil"/>
                    <w:tr2bl w:val="nil"/>
                  </w:tcBorders>
                  <w:noWrap w:val="0"/>
                  <w:vAlign w:val="center"/>
                </w:tcPr>
                <w:p w14:paraId="4492BD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本项目采用颗粒活性炭，气体流速</w:t>
                  </w:r>
                  <w:r>
                    <w:rPr>
                      <w:rFonts w:hint="eastAsia" w:eastAsia="仿宋" w:cs="Times New Roman"/>
                      <w:color w:val="auto"/>
                      <w:sz w:val="21"/>
                      <w:szCs w:val="21"/>
                      <w:lang w:val="en-US" w:eastAsia="zh-CN"/>
                    </w:rPr>
                    <w:t>为0.59</w:t>
                  </w:r>
                  <w:r>
                    <w:rPr>
                      <w:rFonts w:hint="default" w:ascii="Times New Roman" w:hAnsi="Times New Roman" w:eastAsia="仿宋" w:cs="Times New Roman"/>
                      <w:color w:val="auto"/>
                      <w:sz w:val="21"/>
                      <w:szCs w:val="21"/>
                    </w:rPr>
                    <w:t>m/s，厚度</w:t>
                  </w:r>
                  <w:r>
                    <w:rPr>
                      <w:rFonts w:hint="eastAsia" w:eastAsia="仿宋" w:cs="Times New Roman"/>
                      <w:color w:val="auto"/>
                      <w:sz w:val="21"/>
                      <w:szCs w:val="21"/>
                      <w:lang w:val="en-US" w:eastAsia="zh-CN"/>
                    </w:rPr>
                    <w:t>为</w:t>
                  </w:r>
                  <w:r>
                    <w:rPr>
                      <w:rFonts w:hint="default" w:ascii="Times New Roman" w:hAnsi="Times New Roman" w:eastAsia="仿宋" w:cs="Times New Roman"/>
                      <w:color w:val="auto"/>
                      <w:sz w:val="21"/>
                      <w:szCs w:val="21"/>
                    </w:rPr>
                    <w:t>0.4m。</w:t>
                  </w:r>
                </w:p>
              </w:tc>
              <w:tc>
                <w:tcPr>
                  <w:tcW w:w="511" w:type="pct"/>
                  <w:tcBorders>
                    <w:tl2br w:val="nil"/>
                    <w:tr2bl w:val="nil"/>
                  </w:tcBorders>
                  <w:noWrap w:val="0"/>
                  <w:vAlign w:val="center"/>
                </w:tcPr>
                <w:p w14:paraId="7FE451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51EC50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1244B6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4</w:t>
                  </w:r>
                </w:p>
              </w:tc>
              <w:tc>
                <w:tcPr>
                  <w:tcW w:w="2787" w:type="pct"/>
                  <w:tcBorders>
                    <w:tl2br w:val="nil"/>
                    <w:tr2bl w:val="nil"/>
                  </w:tcBorders>
                  <w:noWrap w:val="0"/>
                  <w:vAlign w:val="center"/>
                </w:tcPr>
                <w:p w14:paraId="4E7FCB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进入吸附设备的废气颗粒物含量和温度应分别低于lmg/m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和40℃，若颗粒物含量超过lmg/m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时，应先采用过滤或洗涤等方式进行预处理。活性炭对酸性废气吸附效果较差，且酸性气体易对设备本体造成腐蚀，应先采用洗涤进行预处理。企业应制订定期更换过滤材料的设备运行维护规程，保障活性炭在低颗粒物、低含水率条件下使用。</w:t>
                  </w:r>
                </w:p>
              </w:tc>
              <w:tc>
                <w:tcPr>
                  <w:tcW w:w="1419" w:type="pct"/>
                  <w:tcBorders>
                    <w:tl2br w:val="nil"/>
                    <w:tr2bl w:val="nil"/>
                  </w:tcBorders>
                  <w:noWrap w:val="0"/>
                  <w:vAlign w:val="center"/>
                </w:tcPr>
                <w:p w14:paraId="00EDD2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b w:val="0"/>
                      <w:bCs/>
                      <w:color w:val="auto"/>
                      <w:kern w:val="2"/>
                      <w:sz w:val="21"/>
                      <w:szCs w:val="21"/>
                      <w:highlight w:val="none"/>
                      <w:vertAlign w:val="baseline"/>
                      <w:lang w:val="en-US" w:eastAsia="zh-CN" w:bidi="ar-SA"/>
                    </w:rPr>
                    <w:t>本项目酸性废气</w:t>
                  </w:r>
                  <w:r>
                    <w:rPr>
                      <w:rFonts w:hint="eastAsia" w:eastAsia="仿宋" w:cs="Times New Roman"/>
                      <w:b w:val="0"/>
                      <w:bCs/>
                      <w:color w:val="auto"/>
                      <w:kern w:val="2"/>
                      <w:sz w:val="21"/>
                      <w:szCs w:val="21"/>
                      <w:highlight w:val="none"/>
                      <w:vertAlign w:val="baseline"/>
                      <w:lang w:val="en-US" w:eastAsia="zh-CN" w:bidi="ar-SA"/>
                    </w:rPr>
                    <w:t>先用碱性喷淋塔进行预处理，且颗粒物的含量低于1mg/m</w:t>
                  </w:r>
                  <w:r>
                    <w:rPr>
                      <w:rFonts w:hint="eastAsia" w:eastAsia="仿宋" w:cs="Times New Roman"/>
                      <w:b w:val="0"/>
                      <w:bCs/>
                      <w:color w:val="auto"/>
                      <w:kern w:val="2"/>
                      <w:sz w:val="21"/>
                      <w:szCs w:val="21"/>
                      <w:highlight w:val="none"/>
                      <w:vertAlign w:val="superscript"/>
                      <w:lang w:val="en-US" w:eastAsia="zh-CN" w:bidi="ar-SA"/>
                    </w:rPr>
                    <w:t>3</w:t>
                  </w:r>
                  <w:r>
                    <w:rPr>
                      <w:rFonts w:hint="default" w:ascii="Times New Roman" w:hAnsi="Times New Roman" w:eastAsia="仿宋" w:cs="Times New Roman"/>
                      <w:b w:val="0"/>
                      <w:bCs/>
                      <w:color w:val="auto"/>
                      <w:kern w:val="2"/>
                      <w:sz w:val="21"/>
                      <w:szCs w:val="21"/>
                      <w:highlight w:val="none"/>
                      <w:vertAlign w:val="baseline"/>
                      <w:lang w:val="en-US" w:eastAsia="zh-CN" w:bidi="ar-SA"/>
                    </w:rPr>
                    <w:t>。</w:t>
                  </w:r>
                </w:p>
              </w:tc>
              <w:tc>
                <w:tcPr>
                  <w:tcW w:w="511" w:type="pct"/>
                  <w:tcBorders>
                    <w:tl2br w:val="nil"/>
                    <w:tr2bl w:val="nil"/>
                  </w:tcBorders>
                  <w:noWrap w:val="0"/>
                  <w:vAlign w:val="center"/>
                </w:tcPr>
                <w:p w14:paraId="478213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4329E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001851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5</w:t>
                  </w:r>
                </w:p>
              </w:tc>
              <w:tc>
                <w:tcPr>
                  <w:tcW w:w="2787" w:type="pct"/>
                  <w:tcBorders>
                    <w:tl2br w:val="nil"/>
                    <w:tr2bl w:val="nil"/>
                  </w:tcBorders>
                  <w:noWrap w:val="0"/>
                  <w:vAlign w:val="center"/>
                </w:tcPr>
                <w:p w14:paraId="71815D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颗粒活性炭碘吸附值≥800mg/g，比表面积≥850m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/g。</w:t>
                  </w:r>
                </w:p>
              </w:tc>
              <w:tc>
                <w:tcPr>
                  <w:tcW w:w="1419" w:type="pct"/>
                  <w:tcBorders>
                    <w:tl2br w:val="nil"/>
                    <w:tr2bl w:val="nil"/>
                  </w:tcBorders>
                  <w:noWrap w:val="0"/>
                  <w:vAlign w:val="center"/>
                </w:tcPr>
                <w:p w14:paraId="5A5CC4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本项目使用的颗粒活性炭碘吸附值</w:t>
                  </w:r>
                  <w:r>
                    <w:rPr>
                      <w:rFonts w:hint="eastAsia" w:eastAsia="仿宋" w:cs="Times New Roman"/>
                      <w:color w:val="auto"/>
                      <w:sz w:val="21"/>
                      <w:szCs w:val="21"/>
                      <w:lang w:val="en-US" w:eastAsia="zh-CN"/>
                    </w:rPr>
                    <w:t>827</w:t>
                  </w:r>
                  <w:r>
                    <w:rPr>
                      <w:rFonts w:hint="default" w:ascii="Times New Roman" w:hAnsi="Times New Roman" w:eastAsia="仿宋" w:cs="Times New Roman"/>
                      <w:color w:val="auto"/>
                      <w:sz w:val="21"/>
                      <w:szCs w:val="21"/>
                    </w:rPr>
                    <w:t>mg/g，比表面积≥850m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/g。</w:t>
                  </w:r>
                </w:p>
              </w:tc>
              <w:tc>
                <w:tcPr>
                  <w:tcW w:w="511" w:type="pct"/>
                  <w:tcBorders>
                    <w:tl2br w:val="nil"/>
                    <w:tr2bl w:val="nil"/>
                  </w:tcBorders>
                  <w:noWrap w:val="0"/>
                  <w:vAlign w:val="center"/>
                </w:tcPr>
                <w:p w14:paraId="7350DB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r w14:paraId="396A74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7" w:hRule="atLeast"/>
              </w:trPr>
              <w:tc>
                <w:tcPr>
                  <w:tcW w:w="280" w:type="pct"/>
                  <w:tcBorders>
                    <w:tl2br w:val="nil"/>
                    <w:tr2bl w:val="nil"/>
                  </w:tcBorders>
                  <w:noWrap w:val="0"/>
                  <w:vAlign w:val="center"/>
                </w:tcPr>
                <w:p w14:paraId="4B6DA2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6</w:t>
                  </w:r>
                </w:p>
              </w:tc>
              <w:tc>
                <w:tcPr>
                  <w:tcW w:w="2787" w:type="pct"/>
                  <w:tcBorders>
                    <w:tl2br w:val="nil"/>
                    <w:tr2bl w:val="nil"/>
                  </w:tcBorders>
                  <w:noWrap w:val="0"/>
                  <w:vAlign w:val="center"/>
                </w:tcPr>
                <w:p w14:paraId="37745D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采用一次性颗粒状活性炭处理VOCs废气，年活性炭使用量不应低于VOCs产生量的5倍，即1吨VOCs产生量，需5吨活性炭用于吸附。活性炭更换周期一般不应超过累计运行500小时或3个月。</w:t>
                  </w:r>
                </w:p>
              </w:tc>
              <w:tc>
                <w:tcPr>
                  <w:tcW w:w="1419" w:type="pct"/>
                  <w:tcBorders>
                    <w:tl2br w:val="nil"/>
                    <w:tr2bl w:val="nil"/>
                  </w:tcBorders>
                  <w:noWrap w:val="0"/>
                  <w:vAlign w:val="center"/>
                </w:tcPr>
                <w:p w14:paraId="6830A3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kern w:val="2"/>
                      <w:sz w:val="21"/>
                      <w:szCs w:val="21"/>
                      <w:highlight w:val="none"/>
                      <w:vertAlign w:val="baseline"/>
                      <w:lang w:val="en-US" w:eastAsia="zh-CN" w:bidi="ar-SA"/>
                    </w:rPr>
                  </w:pPr>
                  <w:r>
                    <w:rPr>
                      <w:rFonts w:hint="default" w:ascii="Times New Roman" w:hAnsi="Times New Roman" w:eastAsia="仿宋" w:cs="Times New Roman"/>
                      <w:color w:val="auto"/>
                      <w:sz w:val="21"/>
                      <w:szCs w:val="21"/>
                    </w:rPr>
                    <w:t>本项目采取颗粒活性炭，</w:t>
                  </w:r>
                  <w:r>
                    <w:rPr>
                      <w:rFonts w:hint="eastAsia" w:eastAsia="仿宋" w:cs="Times New Roman"/>
                      <w:color w:val="auto"/>
                      <w:sz w:val="21"/>
                      <w:szCs w:val="21"/>
                      <w:lang w:val="en-US" w:eastAsia="zh-CN"/>
                    </w:rPr>
                    <w:t>50天</w:t>
                  </w:r>
                  <w:r>
                    <w:rPr>
                      <w:rFonts w:hint="default" w:ascii="Times New Roman" w:hAnsi="Times New Roman" w:eastAsia="仿宋" w:cs="Times New Roman"/>
                      <w:color w:val="auto"/>
                      <w:sz w:val="21"/>
                      <w:szCs w:val="21"/>
                      <w:lang w:val="en-US" w:eastAsia="zh-CN"/>
                    </w:rPr>
                    <w:t>更换一次</w:t>
                  </w:r>
                  <w:r>
                    <w:rPr>
                      <w:rFonts w:hint="default" w:ascii="Times New Roman" w:hAnsi="Times New Roman" w:eastAsia="仿宋" w:cs="Times New Roman"/>
                      <w:color w:val="auto"/>
                      <w:sz w:val="21"/>
                      <w:szCs w:val="21"/>
                    </w:rPr>
                    <w:t>。</w:t>
                  </w:r>
                </w:p>
              </w:tc>
              <w:tc>
                <w:tcPr>
                  <w:tcW w:w="511" w:type="pct"/>
                  <w:tcBorders>
                    <w:tl2br w:val="nil"/>
                    <w:tr2bl w:val="nil"/>
                  </w:tcBorders>
                  <w:noWrap w:val="0"/>
                  <w:vAlign w:val="center"/>
                </w:tcPr>
                <w:p w14:paraId="53A72F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eastAsia="zh-CN"/>
                    </w:rPr>
                  </w:pPr>
                  <w:r>
                    <w:rPr>
                      <w:rFonts w:hint="default" w:ascii="Times New Roman" w:hAnsi="Times New Roman" w:eastAsia="仿宋" w:cs="Times New Roman"/>
                      <w:b w:val="0"/>
                      <w:bCs/>
                      <w:color w:val="auto"/>
                      <w:kern w:val="2"/>
                      <w:sz w:val="21"/>
                      <w:szCs w:val="21"/>
                      <w:highlight w:val="none"/>
                      <w:vertAlign w:val="baseline"/>
                      <w:lang w:val="en-US" w:eastAsia="zh-CN" w:bidi="ar-SA"/>
                    </w:rPr>
                    <w:t>相符</w:t>
                  </w:r>
                </w:p>
              </w:tc>
            </w:tr>
          </w:tbl>
          <w:p w14:paraId="1D69F088">
            <w:pPr>
              <w:keepNext w:val="0"/>
              <w:keepLines w:val="0"/>
              <w:pageBreakBefore w:val="0"/>
              <w:widowControl w:val="0"/>
              <w:kinsoku/>
              <w:overflowPunct/>
              <w:topLinePunct w:val="0"/>
              <w:autoSpaceDE/>
              <w:autoSpaceDN/>
              <w:bidi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本项目活性炭吸附装置满足《省生态环境厅关于深入开展涉VOCs治理重点工作核查的通知》苏环办</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2022〕218号的要求</w:t>
            </w:r>
            <w:r>
              <w:rPr>
                <w:rFonts w:hint="default" w:ascii="Times New Roman" w:hAnsi="Times New Roman" w:eastAsia="宋体" w:cs="Times New Roman"/>
                <w:color w:val="auto"/>
                <w:sz w:val="24"/>
                <w:szCs w:val="24"/>
                <w:highlight w:val="none"/>
                <w:lang w:eastAsia="zh-CN"/>
              </w:rPr>
              <w:t>。</w:t>
            </w:r>
          </w:p>
          <w:p w14:paraId="1F3522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 xml:space="preserve">1.7  </w:t>
            </w:r>
            <w:r>
              <w:rPr>
                <w:rFonts w:hint="default" w:ascii="Times New Roman" w:hAnsi="Times New Roman" w:cs="Times New Roman"/>
                <w:b/>
                <w:bCs/>
                <w:color w:val="auto"/>
                <w:sz w:val="24"/>
                <w:highlight w:val="none"/>
              </w:rPr>
              <w:t>卫生防护距离</w:t>
            </w:r>
          </w:p>
          <w:p w14:paraId="3CFF686F">
            <w:pPr>
              <w:keepNext w:val="0"/>
              <w:keepLines w:val="0"/>
              <w:pageBreakBefore w:val="0"/>
              <w:widowControl w:val="0"/>
              <w:kinsoku/>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rPr>
              <w:t>根据《大气有害物质无组织排放卫生防护距离推导技术导则》（GB/T39499-2020），在选取特征大气有害物质时，应首先考虑其对人体健康损害毒性特点，并根据目标行业企业的产品产能及其原辅材料、工艺特征、中间产物、产排污特点等具体情况，确定单个大气有害物质的无组织排放量及等标排放量（Qc/cm），最终确定卫生防护距离相关的主要特征大气有害物质1种</w:t>
            </w:r>
            <w:r>
              <w:rPr>
                <w:rFonts w:hint="default"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rPr>
              <w:t>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处初值</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经计算，</w:t>
            </w:r>
            <w:r>
              <w:rPr>
                <w:rFonts w:hint="eastAsia" w:ascii="Times New Roman" w:hAnsi="Times New Roman" w:eastAsia="宋体" w:cs="Times New Roman"/>
                <w:color w:val="auto"/>
                <w:sz w:val="24"/>
                <w:highlight w:val="none"/>
                <w:lang w:val="en-US" w:eastAsia="zh-CN"/>
              </w:rPr>
              <w:t>本项目等标排放量最大的物质为</w:t>
            </w:r>
            <w:r>
              <w:rPr>
                <w:rFonts w:hint="eastAsia" w:eastAsia="宋体" w:cs="Times New Roman"/>
                <w:color w:val="auto"/>
                <w:sz w:val="24"/>
                <w:highlight w:val="none"/>
                <w:lang w:val="en-US" w:eastAsia="zh-CN"/>
              </w:rPr>
              <w:t>颗粒物</w:t>
            </w:r>
            <w:r>
              <w:rPr>
                <w:rFonts w:hint="eastAsia" w:ascii="Times New Roman" w:hAnsi="Times New Roman" w:eastAsia="宋体" w:cs="Times New Roman"/>
                <w:color w:val="auto"/>
                <w:sz w:val="24"/>
                <w:highlight w:val="none"/>
                <w:lang w:val="en-US" w:eastAsia="zh-CN"/>
              </w:rPr>
              <w:t>，其次为</w:t>
            </w:r>
            <w:r>
              <w:rPr>
                <w:rFonts w:hint="eastAsia" w:eastAsia="宋体" w:cs="Times New Roman"/>
                <w:color w:val="auto"/>
                <w:sz w:val="24"/>
                <w:highlight w:val="none"/>
                <w:lang w:val="en-US" w:eastAsia="zh-CN"/>
              </w:rPr>
              <w:t>氯化氢</w:t>
            </w:r>
            <w:r>
              <w:rPr>
                <w:rFonts w:hint="eastAsia"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颗粒物</w:t>
            </w:r>
            <w:r>
              <w:rPr>
                <w:rFonts w:hint="eastAsia" w:ascii="Times New Roman" w:hAnsi="Times New Roman" w:eastAsia="宋体" w:cs="Times New Roman"/>
                <w:color w:val="auto"/>
                <w:sz w:val="24"/>
                <w:highlight w:val="none"/>
                <w:lang w:val="en-US" w:eastAsia="zh-CN"/>
              </w:rPr>
              <w:t>与</w:t>
            </w:r>
            <w:r>
              <w:rPr>
                <w:rFonts w:hint="eastAsia" w:eastAsia="宋体" w:cs="Times New Roman"/>
                <w:color w:val="auto"/>
                <w:sz w:val="24"/>
                <w:highlight w:val="none"/>
                <w:lang w:val="en-US" w:eastAsia="zh-CN"/>
              </w:rPr>
              <w:t>氯化氢</w:t>
            </w:r>
            <w:r>
              <w:rPr>
                <w:rFonts w:hint="eastAsia" w:ascii="Times New Roman" w:hAnsi="Times New Roman" w:eastAsia="宋体" w:cs="Times New Roman"/>
                <w:color w:val="auto"/>
                <w:sz w:val="24"/>
                <w:highlight w:val="none"/>
                <w:lang w:val="en-US" w:eastAsia="zh-CN"/>
              </w:rPr>
              <w:t>的等标排放量相差</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1069</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0.048</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1069</w:t>
            </w:r>
            <w:r>
              <w:rPr>
                <w:rFonts w:hint="eastAsia" w:eastAsia="宋体" w:cs="Times New Roman"/>
                <w:color w:val="auto"/>
                <w:sz w:val="24"/>
                <w:highlight w:val="none"/>
                <w:lang w:val="en-US" w:eastAsia="zh-CN"/>
              </w:rPr>
              <w:t>≈</w:t>
            </w:r>
            <w:r>
              <w:rPr>
                <w:rFonts w:hint="eastAsia" w:cs="Times New Roman"/>
                <w:color w:val="auto"/>
                <w:sz w:val="24"/>
                <w:highlight w:val="none"/>
                <w:lang w:val="en-US" w:eastAsia="zh-CN"/>
              </w:rPr>
              <w:t>55.1</w:t>
            </w:r>
            <w:r>
              <w:rPr>
                <w:rFonts w:hint="eastAsia" w:ascii="Times New Roman" w:hAnsi="Times New Roman" w:eastAsia="宋体" w:cs="Times New Roman"/>
                <w:color w:val="auto"/>
                <w:sz w:val="24"/>
                <w:highlight w:val="none"/>
                <w:lang w:val="en-US" w:eastAsia="zh-CN"/>
              </w:rPr>
              <w:t>%&gt;10%，因此</w:t>
            </w:r>
            <w:r>
              <w:rPr>
                <w:rFonts w:hint="default" w:ascii="Times New Roman" w:hAnsi="Times New Roman" w:eastAsia="宋体" w:cs="Times New Roman"/>
                <w:color w:val="auto"/>
                <w:sz w:val="24"/>
                <w:highlight w:val="none"/>
              </w:rPr>
              <w:t>本项目选择</w:t>
            </w:r>
            <w:r>
              <w:rPr>
                <w:rFonts w:hint="eastAsia" w:eastAsia="宋体" w:cs="Times New Roman"/>
                <w:color w:val="auto"/>
                <w:sz w:val="24"/>
                <w:highlight w:val="none"/>
                <w:lang w:val="en-US" w:eastAsia="zh-CN"/>
              </w:rPr>
              <w:t>颗粒物</w:t>
            </w:r>
            <w:r>
              <w:rPr>
                <w:rFonts w:hint="default" w:ascii="Times New Roman" w:hAnsi="Times New Roman" w:eastAsia="宋体" w:cs="Times New Roman"/>
                <w:color w:val="auto"/>
                <w:sz w:val="24"/>
                <w:highlight w:val="none"/>
              </w:rPr>
              <w:t>作为卫生防护距离的主要判断依据</w:t>
            </w:r>
            <w:r>
              <w:rPr>
                <w:rFonts w:hint="eastAsia" w:ascii="Times New Roman" w:hAnsi="Times New Roman" w:eastAsia="宋体" w:cs="Times New Roman"/>
                <w:color w:val="auto"/>
                <w:sz w:val="24"/>
                <w:highlight w:val="none"/>
              </w:rPr>
              <w:t>。</w:t>
            </w:r>
          </w:p>
          <w:p w14:paraId="4DE751A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w:t>
            </w:r>
            <w:r>
              <w:rPr>
                <w:rFonts w:hint="default" w:cs="Times New Roman"/>
                <w:b/>
                <w:color w:val="auto"/>
                <w:kern w:val="0"/>
                <w:sz w:val="24"/>
                <w:szCs w:val="24"/>
                <w:highlight w:val="none"/>
                <w:lang w:val="en-US" w:eastAsia="zh-CN"/>
              </w:rPr>
              <w:t>无组织废气等标污染负荷表</w:t>
            </w:r>
          </w:p>
          <w:tbl>
            <w:tblPr>
              <w:tblStyle w:val="21"/>
              <w:tblW w:w="9571" w:type="dxa"/>
              <w:tblInd w:w="-62"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48"/>
              <w:gridCol w:w="1356"/>
              <w:gridCol w:w="1647"/>
              <w:gridCol w:w="1731"/>
              <w:gridCol w:w="1656"/>
              <w:gridCol w:w="1069"/>
              <w:gridCol w:w="864"/>
            </w:tblGrid>
            <w:tr w14:paraId="585E47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tcBorders>
                    <w:tl2br w:val="nil"/>
                    <w:tr2bl w:val="nil"/>
                  </w:tcBorders>
                  <w:noWrap w:val="0"/>
                  <w:vAlign w:val="center"/>
                </w:tcPr>
                <w:p w14:paraId="199B774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排放源</w:t>
                  </w:r>
                </w:p>
              </w:tc>
              <w:tc>
                <w:tcPr>
                  <w:tcW w:w="708" w:type="pct"/>
                  <w:tcBorders>
                    <w:tl2br w:val="nil"/>
                    <w:tr2bl w:val="nil"/>
                  </w:tcBorders>
                  <w:noWrap w:val="0"/>
                  <w:vAlign w:val="center"/>
                </w:tcPr>
                <w:p w14:paraId="7F919A5C">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污染因子</w:t>
                  </w:r>
                </w:p>
              </w:tc>
              <w:tc>
                <w:tcPr>
                  <w:tcW w:w="860" w:type="pct"/>
                  <w:tcBorders>
                    <w:tl2br w:val="nil"/>
                    <w:tr2bl w:val="nil"/>
                  </w:tcBorders>
                  <w:noWrap w:val="0"/>
                  <w:vAlign w:val="center"/>
                </w:tcPr>
                <w:p w14:paraId="50F8BD3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无组织排放量</w:t>
                  </w:r>
                  <w:r>
                    <w:rPr>
                      <w:rFonts w:hint="default" w:ascii="Times New Roman" w:hAnsi="Times New Roman" w:eastAsia="仿宋" w:cs="Times New Roman"/>
                      <w:b/>
                      <w:bCs/>
                      <w:color w:val="auto"/>
                      <w:sz w:val="21"/>
                      <w:szCs w:val="21"/>
                      <w:highlight w:val="none"/>
                    </w:rPr>
                    <w:t>（kg/h）</w:t>
                  </w:r>
                </w:p>
              </w:tc>
              <w:tc>
                <w:tcPr>
                  <w:tcW w:w="903" w:type="pct"/>
                  <w:tcBorders>
                    <w:tl2br w:val="nil"/>
                    <w:tr2bl w:val="nil"/>
                  </w:tcBorders>
                  <w:noWrap w:val="0"/>
                  <w:vAlign w:val="center"/>
                </w:tcPr>
                <w:p w14:paraId="6817C48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空气质量标准（mg/Nm</w:t>
                  </w:r>
                  <w:r>
                    <w:rPr>
                      <w:rFonts w:hint="default" w:ascii="Times New Roman" w:hAnsi="Times New Roman" w:eastAsia="仿宋" w:cs="Times New Roman"/>
                      <w:b/>
                      <w:bCs/>
                      <w:color w:val="auto"/>
                      <w:sz w:val="21"/>
                      <w:szCs w:val="21"/>
                      <w:highlight w:val="none"/>
                      <w:vertAlign w:val="superscript"/>
                      <w:lang w:val="en-US" w:eastAsia="zh-CN"/>
                    </w:rPr>
                    <w:t>3</w:t>
                  </w:r>
                  <w:r>
                    <w:rPr>
                      <w:rFonts w:hint="eastAsia" w:eastAsia="仿宋" w:cs="Times New Roman"/>
                      <w:b/>
                      <w:bCs/>
                      <w:color w:val="auto"/>
                      <w:sz w:val="21"/>
                      <w:szCs w:val="21"/>
                      <w:highlight w:val="none"/>
                      <w:vertAlign w:val="baseline"/>
                      <w:lang w:val="en-US" w:eastAsia="zh-CN"/>
                    </w:rPr>
                    <w:t>）</w:t>
                  </w:r>
                </w:p>
              </w:tc>
              <w:tc>
                <w:tcPr>
                  <w:tcW w:w="865" w:type="pct"/>
                  <w:tcBorders>
                    <w:tl2br w:val="nil"/>
                    <w:tr2bl w:val="nil"/>
                  </w:tcBorders>
                  <w:noWrap w:val="0"/>
                  <w:vAlign w:val="center"/>
                </w:tcPr>
                <w:p w14:paraId="1228E1AD">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rPr>
                    <w:t>等标排放量</w:t>
                  </w:r>
                  <w:r>
                    <w:rPr>
                      <w:rFonts w:hint="default" w:ascii="Times New Roman" w:hAnsi="Times New Roman" w:eastAsia="仿宋" w:cs="Times New Roman"/>
                      <w:b/>
                      <w:bCs/>
                      <w:color w:val="auto"/>
                      <w:sz w:val="21"/>
                      <w:szCs w:val="21"/>
                      <w:highlight w:val="none"/>
                      <w:lang w:val="en-US" w:eastAsia="zh-CN"/>
                    </w:rPr>
                    <w:t>Pi/</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vertAlign w:val="baseline"/>
                      <w:lang w:val="en-US" w:eastAsia="zh-CN"/>
                    </w:rPr>
                    <w:t>m</w:t>
                  </w:r>
                  <w:r>
                    <w:rPr>
                      <w:rFonts w:hint="default" w:ascii="Times New Roman" w:hAnsi="Times New Roman" w:eastAsia="仿宋" w:cs="Times New Roman"/>
                      <w:b/>
                      <w:bCs/>
                      <w:color w:val="auto"/>
                      <w:sz w:val="21"/>
                      <w:szCs w:val="21"/>
                      <w:highlight w:val="none"/>
                      <w:vertAlign w:val="superscript"/>
                      <w:lang w:val="en-US" w:eastAsia="zh-CN"/>
                    </w:rPr>
                    <w:t>3</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a</w:t>
                  </w:r>
                  <w:r>
                    <w:rPr>
                      <w:rFonts w:hint="default" w:ascii="Times New Roman" w:hAnsi="Times New Roman" w:eastAsia="仿宋" w:cs="Times New Roman"/>
                      <w:b/>
                      <w:bCs/>
                      <w:color w:val="auto"/>
                      <w:sz w:val="21"/>
                      <w:szCs w:val="21"/>
                      <w:highlight w:val="none"/>
                    </w:rPr>
                    <w:t>）</w:t>
                  </w:r>
                </w:p>
              </w:tc>
              <w:tc>
                <w:tcPr>
                  <w:tcW w:w="558" w:type="pct"/>
                  <w:tcBorders>
                    <w:tl2br w:val="nil"/>
                    <w:tr2bl w:val="nil"/>
                  </w:tcBorders>
                  <w:noWrap w:val="0"/>
                  <w:vAlign w:val="center"/>
                </w:tcPr>
                <w:p w14:paraId="07DF5EE8">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Ki/%</w:t>
                  </w:r>
                </w:p>
              </w:tc>
              <w:tc>
                <w:tcPr>
                  <w:tcW w:w="451" w:type="pct"/>
                  <w:tcBorders>
                    <w:tl2br w:val="nil"/>
                    <w:tr2bl w:val="nil"/>
                  </w:tcBorders>
                  <w:noWrap w:val="0"/>
                  <w:vAlign w:val="center"/>
                </w:tcPr>
                <w:p w14:paraId="4DED2D4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排序</w:t>
                  </w:r>
                </w:p>
              </w:tc>
            </w:tr>
            <w:tr w14:paraId="72546A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restart"/>
                  <w:tcBorders>
                    <w:tl2br w:val="nil"/>
                    <w:tr2bl w:val="nil"/>
                  </w:tcBorders>
                  <w:noWrap w:val="0"/>
                  <w:vAlign w:val="center"/>
                </w:tcPr>
                <w:p w14:paraId="5CD439A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rPr>
                    <w:t>生产</w:t>
                  </w:r>
                  <w:r>
                    <w:rPr>
                      <w:rFonts w:hint="default" w:ascii="Times New Roman" w:hAnsi="Times New Roman" w:eastAsia="仿宋" w:cs="Times New Roman"/>
                      <w:b w:val="0"/>
                      <w:bCs w:val="0"/>
                      <w:color w:val="auto"/>
                      <w:sz w:val="21"/>
                      <w:szCs w:val="21"/>
                      <w:highlight w:val="none"/>
                      <w:lang w:val="en-US" w:eastAsia="zh-CN"/>
                    </w:rPr>
                    <w:t>车间</w:t>
                  </w:r>
                </w:p>
              </w:tc>
              <w:tc>
                <w:tcPr>
                  <w:tcW w:w="708" w:type="pct"/>
                  <w:tcBorders>
                    <w:tl2br w:val="nil"/>
                    <w:tr2bl w:val="nil"/>
                  </w:tcBorders>
                  <w:noWrap w:val="0"/>
                  <w:vAlign w:val="center"/>
                </w:tcPr>
                <w:p w14:paraId="44D3F36A">
                  <w:pPr>
                    <w:pStyle w:val="36"/>
                    <w:spacing w:beforeLines="0" w:afterLines="0" w:line="240" w:lineRule="auto"/>
                    <w:ind w:firstLine="0" w:firstLineChars="0"/>
                    <w:jc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lang w:val="en-US" w:eastAsia="zh-CN"/>
                    </w:rPr>
                    <w:t>非甲烷总烃</w:t>
                  </w:r>
                </w:p>
              </w:tc>
              <w:tc>
                <w:tcPr>
                  <w:tcW w:w="1647" w:type="dxa"/>
                  <w:tcBorders>
                    <w:tl2br w:val="nil"/>
                    <w:tr2bl w:val="nil"/>
                  </w:tcBorders>
                  <w:noWrap w:val="0"/>
                  <w:vAlign w:val="center"/>
                </w:tcPr>
                <w:p w14:paraId="4BA6FAB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0.0704</w:t>
                  </w:r>
                </w:p>
              </w:tc>
              <w:tc>
                <w:tcPr>
                  <w:tcW w:w="1731" w:type="dxa"/>
                  <w:tcBorders>
                    <w:tl2br w:val="nil"/>
                    <w:tr2bl w:val="nil"/>
                  </w:tcBorders>
                  <w:noWrap w:val="0"/>
                  <w:vAlign w:val="center"/>
                </w:tcPr>
                <w:p w14:paraId="2DCF15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656" w:type="dxa"/>
                  <w:tcBorders>
                    <w:tl2br w:val="nil"/>
                    <w:tr2bl w:val="nil"/>
                  </w:tcBorders>
                  <w:noWrap w:val="0"/>
                  <w:vAlign w:val="center"/>
                </w:tcPr>
                <w:p w14:paraId="507E31B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0.0352</w:t>
                  </w:r>
                </w:p>
              </w:tc>
              <w:tc>
                <w:tcPr>
                  <w:tcW w:w="1069" w:type="dxa"/>
                  <w:tcBorders>
                    <w:tl2br w:val="nil"/>
                    <w:tr2bl w:val="nil"/>
                  </w:tcBorders>
                  <w:noWrap w:val="0"/>
                  <w:vAlign w:val="center"/>
                </w:tcPr>
                <w:p w14:paraId="5F6A2E3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14.52</w:t>
                  </w:r>
                </w:p>
              </w:tc>
              <w:tc>
                <w:tcPr>
                  <w:tcW w:w="451" w:type="pct"/>
                  <w:tcBorders>
                    <w:tl2br w:val="nil"/>
                    <w:tr2bl w:val="nil"/>
                  </w:tcBorders>
                  <w:noWrap w:val="0"/>
                  <w:vAlign w:val="center"/>
                </w:tcPr>
                <w:p w14:paraId="206990E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r>
            <w:tr w14:paraId="579ED8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continue"/>
                  <w:tcBorders>
                    <w:tl2br w:val="nil"/>
                    <w:tr2bl w:val="nil"/>
                  </w:tcBorders>
                  <w:noWrap w:val="0"/>
                  <w:vAlign w:val="center"/>
                </w:tcPr>
                <w:p w14:paraId="1E65179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c>
                <w:tcPr>
                  <w:tcW w:w="708" w:type="pct"/>
                  <w:tcBorders>
                    <w:tl2br w:val="nil"/>
                    <w:tr2bl w:val="nil"/>
                  </w:tcBorders>
                  <w:noWrap w:val="0"/>
                  <w:vAlign w:val="center"/>
                </w:tcPr>
                <w:p w14:paraId="3EAF3BCF">
                  <w:pPr>
                    <w:pStyle w:val="36"/>
                    <w:spacing w:beforeLines="0" w:afterLines="0" w:line="240" w:lineRule="auto"/>
                    <w:ind w:firstLine="0" w:firstLineChars="0"/>
                    <w:jc w:val="center"/>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颗粒物</w:t>
                  </w:r>
                </w:p>
              </w:tc>
              <w:tc>
                <w:tcPr>
                  <w:tcW w:w="1647" w:type="dxa"/>
                  <w:tcBorders>
                    <w:tl2br w:val="nil"/>
                    <w:tr2bl w:val="nil"/>
                  </w:tcBorders>
                  <w:noWrap w:val="0"/>
                  <w:vAlign w:val="center"/>
                </w:tcPr>
                <w:p w14:paraId="74DDD99E">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0.0481</w:t>
                  </w:r>
                </w:p>
              </w:tc>
              <w:tc>
                <w:tcPr>
                  <w:tcW w:w="1731" w:type="dxa"/>
                  <w:tcBorders>
                    <w:tl2br w:val="nil"/>
                    <w:tr2bl w:val="nil"/>
                  </w:tcBorders>
                  <w:noWrap w:val="0"/>
                  <w:vAlign w:val="center"/>
                </w:tcPr>
                <w:p w14:paraId="4DD78CE9">
                  <w:pPr>
                    <w:keepNext w:val="0"/>
                    <w:keepLines w:val="0"/>
                    <w:widowControl/>
                    <w:suppressLineNumbers w:val="0"/>
                    <w:jc w:val="center"/>
                    <w:textAlignment w:val="center"/>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w:t>
                  </w:r>
                </w:p>
              </w:tc>
              <w:tc>
                <w:tcPr>
                  <w:tcW w:w="1656" w:type="dxa"/>
                  <w:tcBorders>
                    <w:tl2br w:val="nil"/>
                    <w:tr2bl w:val="nil"/>
                  </w:tcBorders>
                  <w:noWrap w:val="0"/>
                  <w:vAlign w:val="center"/>
                </w:tcPr>
                <w:p w14:paraId="317DA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0.1069</w:t>
                  </w:r>
                </w:p>
              </w:tc>
              <w:tc>
                <w:tcPr>
                  <w:tcW w:w="1069" w:type="dxa"/>
                  <w:tcBorders>
                    <w:tl2br w:val="nil"/>
                    <w:tr2bl w:val="nil"/>
                  </w:tcBorders>
                  <w:noWrap w:val="0"/>
                  <w:vAlign w:val="center"/>
                </w:tcPr>
                <w:p w14:paraId="11DA90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44.1</w:t>
                  </w:r>
                </w:p>
              </w:tc>
              <w:tc>
                <w:tcPr>
                  <w:tcW w:w="451" w:type="pct"/>
                  <w:tcBorders>
                    <w:tl2br w:val="nil"/>
                    <w:tr2bl w:val="nil"/>
                  </w:tcBorders>
                  <w:noWrap w:val="0"/>
                  <w:vAlign w:val="center"/>
                </w:tcPr>
                <w:p w14:paraId="71C697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02BC4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continue"/>
                  <w:tcBorders>
                    <w:tl2br w:val="nil"/>
                    <w:tr2bl w:val="nil"/>
                  </w:tcBorders>
                  <w:noWrap w:val="0"/>
                  <w:vAlign w:val="center"/>
                </w:tcPr>
                <w:p w14:paraId="47578F23">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c>
                <w:tcPr>
                  <w:tcW w:w="708" w:type="pct"/>
                  <w:tcBorders>
                    <w:tl2br w:val="nil"/>
                    <w:tr2bl w:val="nil"/>
                  </w:tcBorders>
                  <w:noWrap w:val="0"/>
                  <w:vAlign w:val="center"/>
                </w:tcPr>
                <w:p w14:paraId="53DF8FA0">
                  <w:pPr>
                    <w:pStyle w:val="36"/>
                    <w:spacing w:beforeLines="0" w:afterLines="0" w:line="240" w:lineRule="auto"/>
                    <w:ind w:firstLine="0" w:firstLineChars="0"/>
                    <w:jc w:val="center"/>
                    <w:rPr>
                      <w:rFonts w:hint="default" w:ascii="Times New Roman" w:hAnsi="Times New Roman" w:eastAsia="仿宋" w:cs="Times New Roman"/>
                      <w:b w:val="0"/>
                      <w:bCs w:val="0"/>
                      <w:color w:val="auto"/>
                      <w:sz w:val="21"/>
                      <w:szCs w:val="21"/>
                      <w:highlight w:val="none"/>
                      <w:lang w:val="en-US" w:eastAsia="zh-CN"/>
                    </w:rPr>
                  </w:pPr>
                  <w:r>
                    <w:rPr>
                      <w:rFonts w:hint="eastAsia" w:ascii="Times New Roman" w:eastAsia="仿宋" w:cs="Times New Roman"/>
                      <w:b w:val="0"/>
                      <w:bCs w:val="0"/>
                      <w:color w:val="auto"/>
                      <w:sz w:val="21"/>
                      <w:szCs w:val="21"/>
                      <w:highlight w:val="none"/>
                      <w:lang w:val="en-US" w:eastAsia="zh-CN"/>
                    </w:rPr>
                    <w:t>二氧化硫</w:t>
                  </w:r>
                </w:p>
              </w:tc>
              <w:tc>
                <w:tcPr>
                  <w:tcW w:w="1647" w:type="dxa"/>
                  <w:tcBorders>
                    <w:tl2br w:val="nil"/>
                    <w:tr2bl w:val="nil"/>
                  </w:tcBorders>
                  <w:noWrap w:val="0"/>
                  <w:vAlign w:val="center"/>
                </w:tcPr>
                <w:p w14:paraId="1CDBC01C">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1731" w:type="dxa"/>
                  <w:tcBorders>
                    <w:tl2br w:val="nil"/>
                    <w:tr2bl w:val="nil"/>
                  </w:tcBorders>
                  <w:noWrap w:val="0"/>
                  <w:vAlign w:val="center"/>
                </w:tcPr>
                <w:p w14:paraId="0F90A427">
                  <w:pPr>
                    <w:keepNext w:val="0"/>
                    <w:keepLines w:val="0"/>
                    <w:widowControl/>
                    <w:suppressLineNumbers w:val="0"/>
                    <w:jc w:val="center"/>
                    <w:textAlignment w:val="center"/>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656" w:type="dxa"/>
                  <w:tcBorders>
                    <w:tl2br w:val="nil"/>
                    <w:tr2bl w:val="nil"/>
                  </w:tcBorders>
                  <w:noWrap w:val="0"/>
                  <w:vAlign w:val="center"/>
                </w:tcPr>
                <w:p w14:paraId="5A337D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069" w:type="dxa"/>
                  <w:tcBorders>
                    <w:tl2br w:val="nil"/>
                    <w:tr2bl w:val="nil"/>
                  </w:tcBorders>
                  <w:noWrap w:val="0"/>
                  <w:vAlign w:val="center"/>
                </w:tcPr>
                <w:p w14:paraId="58FD0A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451" w:type="pct"/>
                  <w:tcBorders>
                    <w:tl2br w:val="nil"/>
                    <w:tr2bl w:val="nil"/>
                  </w:tcBorders>
                  <w:noWrap w:val="0"/>
                  <w:vAlign w:val="center"/>
                </w:tcPr>
                <w:p w14:paraId="6FAEB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r>
            <w:tr w14:paraId="61F150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continue"/>
                  <w:tcBorders>
                    <w:tl2br w:val="nil"/>
                    <w:tr2bl w:val="nil"/>
                  </w:tcBorders>
                  <w:noWrap w:val="0"/>
                  <w:vAlign w:val="center"/>
                </w:tcPr>
                <w:p w14:paraId="2473B83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708" w:type="pct"/>
                  <w:tcBorders>
                    <w:tl2br w:val="nil"/>
                    <w:tr2bl w:val="nil"/>
                  </w:tcBorders>
                  <w:shd w:val="clear" w:color="auto" w:fill="auto"/>
                  <w:noWrap w:val="0"/>
                  <w:vAlign w:val="center"/>
                </w:tcPr>
                <w:p w14:paraId="1AE88DE3">
                  <w:pPr>
                    <w:pStyle w:val="36"/>
                    <w:spacing w:beforeLines="0" w:afterLines="0" w:line="240" w:lineRule="auto"/>
                    <w:ind w:firstLine="0" w:firstLineChars="0"/>
                    <w:jc w:val="center"/>
                    <w:rPr>
                      <w:rFonts w:hint="eastAsia" w:ascii="Times New Roman" w:hAnsi="Times New Roman" w:eastAsia="仿宋" w:cs="Times New Roman"/>
                      <w:color w:val="auto"/>
                      <w:spacing w:val="-10"/>
                      <w:kern w:val="0"/>
                      <w:sz w:val="21"/>
                      <w:szCs w:val="21"/>
                      <w:highlight w:val="none"/>
                      <w:vertAlign w:val="baseline"/>
                      <w:lang w:val="en-US" w:eastAsia="zh-CN" w:bidi="ar-SA"/>
                    </w:rPr>
                  </w:pPr>
                  <w:r>
                    <w:rPr>
                      <w:rFonts w:hint="eastAsia" w:ascii="Times New Roman" w:eastAsia="仿宋" w:cs="Times New Roman"/>
                      <w:color w:val="auto"/>
                      <w:sz w:val="21"/>
                      <w:szCs w:val="21"/>
                      <w:highlight w:val="none"/>
                      <w:vertAlign w:val="baseline"/>
                      <w:lang w:val="en-US" w:eastAsia="zh-CN"/>
                    </w:rPr>
                    <w:t>氮氧化物</w:t>
                  </w:r>
                </w:p>
              </w:tc>
              <w:tc>
                <w:tcPr>
                  <w:tcW w:w="1647" w:type="dxa"/>
                  <w:tcBorders>
                    <w:tl2br w:val="nil"/>
                    <w:tr2bl w:val="nil"/>
                  </w:tcBorders>
                  <w:shd w:val="clear" w:color="auto" w:fill="auto"/>
                  <w:noWrap w:val="0"/>
                  <w:vAlign w:val="center"/>
                </w:tcPr>
                <w:p w14:paraId="4AFED7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0.0094</w:t>
                  </w:r>
                </w:p>
              </w:tc>
              <w:tc>
                <w:tcPr>
                  <w:tcW w:w="1731" w:type="dxa"/>
                  <w:tcBorders>
                    <w:tl2br w:val="nil"/>
                    <w:tr2bl w:val="nil"/>
                  </w:tcBorders>
                  <w:shd w:val="clear" w:color="auto" w:fill="auto"/>
                  <w:noWrap w:val="0"/>
                  <w:vAlign w:val="center"/>
                </w:tcPr>
                <w:p w14:paraId="25235BCF">
                  <w:pPr>
                    <w:keepNext w:val="0"/>
                    <w:keepLines w:val="0"/>
                    <w:widowControl/>
                    <w:suppressLineNumbers w:val="0"/>
                    <w:jc w:val="center"/>
                    <w:textAlignment w:val="center"/>
                    <w:rPr>
                      <w:rFonts w:hint="eastAsia" w:ascii="Times New Roman" w:hAnsi="Times New Roman" w:eastAsia="仿宋" w:cs="Times New Roman"/>
                      <w:color w:val="auto"/>
                      <w:spacing w:val="-10"/>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656" w:type="dxa"/>
                  <w:tcBorders>
                    <w:tl2br w:val="nil"/>
                    <w:tr2bl w:val="nil"/>
                  </w:tcBorders>
                  <w:noWrap w:val="0"/>
                  <w:vAlign w:val="center"/>
                </w:tcPr>
                <w:p w14:paraId="562011B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0.0376</w:t>
                  </w:r>
                </w:p>
              </w:tc>
              <w:tc>
                <w:tcPr>
                  <w:tcW w:w="1069" w:type="dxa"/>
                  <w:tcBorders>
                    <w:tl2br w:val="nil"/>
                    <w:tr2bl w:val="nil"/>
                  </w:tcBorders>
                  <w:noWrap w:val="0"/>
                  <w:vAlign w:val="center"/>
                </w:tcPr>
                <w:p w14:paraId="6C39009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15.51</w:t>
                  </w:r>
                </w:p>
              </w:tc>
              <w:tc>
                <w:tcPr>
                  <w:tcW w:w="451" w:type="pct"/>
                  <w:tcBorders>
                    <w:tl2br w:val="nil"/>
                    <w:tr2bl w:val="nil"/>
                  </w:tcBorders>
                  <w:noWrap w:val="0"/>
                  <w:vAlign w:val="center"/>
                </w:tcPr>
                <w:p w14:paraId="1010E8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r>
            <w:tr w14:paraId="27F55A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continue"/>
                  <w:tcBorders>
                    <w:tl2br w:val="nil"/>
                    <w:tr2bl w:val="nil"/>
                  </w:tcBorders>
                  <w:noWrap w:val="0"/>
                  <w:vAlign w:val="center"/>
                </w:tcPr>
                <w:p w14:paraId="4E74DF2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708" w:type="pct"/>
                  <w:tcBorders>
                    <w:tl2br w:val="nil"/>
                    <w:tr2bl w:val="nil"/>
                  </w:tcBorders>
                  <w:noWrap w:val="0"/>
                  <w:vAlign w:val="center"/>
                </w:tcPr>
                <w:p w14:paraId="132E71DC">
                  <w:pPr>
                    <w:pStyle w:val="36"/>
                    <w:spacing w:beforeLines="0" w:afterLines="0" w:line="240" w:lineRule="auto"/>
                    <w:ind w:firstLine="0" w:firstLineChars="0"/>
                    <w:jc w:val="center"/>
                    <w:rPr>
                      <w:rFonts w:hint="default" w:ascii="Times New Roman" w:eastAsia="仿宋" w:cs="Times New Roman"/>
                      <w:color w:val="auto"/>
                      <w:sz w:val="21"/>
                      <w:szCs w:val="21"/>
                      <w:highlight w:val="none"/>
                      <w:vertAlign w:val="baseline"/>
                      <w:lang w:val="en-US" w:eastAsia="zh-CN"/>
                    </w:rPr>
                  </w:pPr>
                  <w:r>
                    <w:rPr>
                      <w:rFonts w:hint="eastAsia" w:ascii="Times New Roman" w:eastAsia="仿宋" w:cs="Times New Roman"/>
                      <w:color w:val="auto"/>
                      <w:sz w:val="21"/>
                      <w:szCs w:val="21"/>
                      <w:highlight w:val="none"/>
                      <w:vertAlign w:val="baseline"/>
                      <w:lang w:val="en-US" w:eastAsia="zh-CN"/>
                    </w:rPr>
                    <w:t>硫酸雾</w:t>
                  </w:r>
                </w:p>
              </w:tc>
              <w:tc>
                <w:tcPr>
                  <w:tcW w:w="1647" w:type="dxa"/>
                  <w:tcBorders>
                    <w:tl2br w:val="nil"/>
                    <w:tr2bl w:val="nil"/>
                  </w:tcBorders>
                  <w:noWrap w:val="0"/>
                  <w:vAlign w:val="center"/>
                </w:tcPr>
                <w:p w14:paraId="1E3B620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0.0038</w:t>
                  </w:r>
                </w:p>
              </w:tc>
              <w:tc>
                <w:tcPr>
                  <w:tcW w:w="1731" w:type="dxa"/>
                  <w:tcBorders>
                    <w:tl2br w:val="nil"/>
                    <w:tr2bl w:val="nil"/>
                  </w:tcBorders>
                  <w:noWrap w:val="0"/>
                  <w:vAlign w:val="center"/>
                </w:tcPr>
                <w:p w14:paraId="52D69D66">
                  <w:pPr>
                    <w:keepNext w:val="0"/>
                    <w:keepLines w:val="0"/>
                    <w:widowControl/>
                    <w:suppressLineNumbers w:val="0"/>
                    <w:jc w:val="center"/>
                    <w:textAlignment w:val="center"/>
                    <w:rPr>
                      <w:rFonts w:hint="default" w:asci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656" w:type="dxa"/>
                  <w:tcBorders>
                    <w:tl2br w:val="nil"/>
                    <w:tr2bl w:val="nil"/>
                  </w:tcBorders>
                  <w:noWrap w:val="0"/>
                  <w:vAlign w:val="center"/>
                </w:tcPr>
                <w:p w14:paraId="6DBFD90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0.0127</w:t>
                  </w:r>
                </w:p>
              </w:tc>
              <w:tc>
                <w:tcPr>
                  <w:tcW w:w="1069" w:type="dxa"/>
                  <w:tcBorders>
                    <w:tl2br w:val="nil"/>
                    <w:tr2bl w:val="nil"/>
                  </w:tcBorders>
                  <w:noWrap w:val="0"/>
                  <w:vAlign w:val="center"/>
                </w:tcPr>
                <w:p w14:paraId="03E3811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5.24</w:t>
                  </w:r>
                </w:p>
              </w:tc>
              <w:tc>
                <w:tcPr>
                  <w:tcW w:w="451" w:type="pct"/>
                  <w:tcBorders>
                    <w:tl2br w:val="nil"/>
                    <w:tr2bl w:val="nil"/>
                  </w:tcBorders>
                  <w:noWrap w:val="0"/>
                  <w:vAlign w:val="center"/>
                </w:tcPr>
                <w:p w14:paraId="6D138C8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r>
            <w:tr w14:paraId="1B9CA4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652" w:type="pct"/>
                  <w:vMerge w:val="continue"/>
                  <w:tcBorders>
                    <w:tl2br w:val="nil"/>
                    <w:tr2bl w:val="nil"/>
                  </w:tcBorders>
                  <w:noWrap w:val="0"/>
                  <w:vAlign w:val="center"/>
                </w:tcPr>
                <w:p w14:paraId="153793C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708" w:type="pct"/>
                  <w:tcBorders>
                    <w:tl2br w:val="nil"/>
                    <w:tr2bl w:val="nil"/>
                  </w:tcBorders>
                  <w:noWrap w:val="0"/>
                  <w:vAlign w:val="center"/>
                </w:tcPr>
                <w:p w14:paraId="728879B4">
                  <w:pPr>
                    <w:pStyle w:val="36"/>
                    <w:spacing w:beforeLines="0" w:afterLines="0" w:line="240" w:lineRule="auto"/>
                    <w:ind w:firstLine="0" w:firstLineChars="0"/>
                    <w:jc w:val="center"/>
                    <w:rPr>
                      <w:rFonts w:hint="default" w:ascii="Times New Roman" w:hAnsi="Times New Roman" w:eastAsia="仿宋" w:cs="Times New Roman"/>
                      <w:color w:val="auto"/>
                      <w:sz w:val="21"/>
                      <w:szCs w:val="21"/>
                      <w:highlight w:val="none"/>
                      <w:vertAlign w:val="baseline"/>
                      <w:lang w:val="en-US" w:eastAsia="zh-CN"/>
                    </w:rPr>
                  </w:pPr>
                  <w:r>
                    <w:rPr>
                      <w:rFonts w:hint="eastAsia" w:ascii="Times New Roman" w:eastAsia="仿宋" w:cs="Times New Roman"/>
                      <w:color w:val="auto"/>
                      <w:sz w:val="21"/>
                      <w:szCs w:val="21"/>
                      <w:highlight w:val="none"/>
                      <w:vertAlign w:val="baseline"/>
                      <w:lang w:val="en-US" w:eastAsia="zh-CN"/>
                    </w:rPr>
                    <w:t>氯化氢</w:t>
                  </w:r>
                </w:p>
              </w:tc>
              <w:tc>
                <w:tcPr>
                  <w:tcW w:w="1647" w:type="dxa"/>
                  <w:tcBorders>
                    <w:tl2br w:val="nil"/>
                    <w:tr2bl w:val="nil"/>
                  </w:tcBorders>
                  <w:noWrap w:val="0"/>
                  <w:vAlign w:val="center"/>
                </w:tcPr>
                <w:p w14:paraId="0394F93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1731" w:type="dxa"/>
                  <w:tcBorders>
                    <w:tl2br w:val="nil"/>
                    <w:tr2bl w:val="nil"/>
                  </w:tcBorders>
                  <w:noWrap w:val="0"/>
                  <w:vAlign w:val="center"/>
                </w:tcPr>
                <w:p w14:paraId="2B62A1D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656" w:type="dxa"/>
                  <w:tcBorders>
                    <w:tl2br w:val="nil"/>
                    <w:tr2bl w:val="nil"/>
                  </w:tcBorders>
                  <w:noWrap w:val="0"/>
                  <w:vAlign w:val="center"/>
                </w:tcPr>
                <w:p w14:paraId="43ECD96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1069" w:type="dxa"/>
                  <w:tcBorders>
                    <w:tl2br w:val="nil"/>
                    <w:tr2bl w:val="nil"/>
                  </w:tcBorders>
                  <w:noWrap w:val="0"/>
                  <w:vAlign w:val="center"/>
                </w:tcPr>
                <w:p w14:paraId="1413825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451" w:type="pct"/>
                  <w:tcBorders>
                    <w:tl2br w:val="nil"/>
                    <w:tr2bl w:val="nil"/>
                  </w:tcBorders>
                  <w:noWrap w:val="0"/>
                  <w:vAlign w:val="center"/>
                </w:tcPr>
                <w:p w14:paraId="517C5B9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r>
            <w:tr w14:paraId="513C0E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 w:hRule="atLeast"/>
              </w:trPr>
              <w:tc>
                <w:tcPr>
                  <w:tcW w:w="3124" w:type="pct"/>
                  <w:gridSpan w:val="4"/>
                  <w:tcBorders>
                    <w:tl2br w:val="nil"/>
                    <w:tr2bl w:val="nil"/>
                  </w:tcBorders>
                  <w:noWrap w:val="0"/>
                  <w:vAlign w:val="center"/>
                </w:tcPr>
                <w:p w14:paraId="3EA09A81">
                  <w:pPr>
                    <w:pStyle w:val="36"/>
                    <w:spacing w:beforeLines="0" w:afterLines="0" w:line="240" w:lineRule="auto"/>
                    <w:ind w:firstLine="0" w:firstLineChars="0"/>
                    <w:jc w:val="center"/>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Σ</w:t>
                  </w:r>
                  <w:r>
                    <w:rPr>
                      <w:rFonts w:hint="default" w:ascii="Times New Roman" w:hAnsi="Times New Roman" w:eastAsia="仿宋" w:cs="Times New Roman"/>
                      <w:color w:val="auto"/>
                      <w:sz w:val="21"/>
                      <w:szCs w:val="21"/>
                      <w:highlight w:val="none"/>
                    </w:rPr>
                    <w:t>pi</w:t>
                  </w:r>
                </w:p>
              </w:tc>
              <w:tc>
                <w:tcPr>
                  <w:tcW w:w="1656" w:type="dxa"/>
                  <w:tcBorders>
                    <w:tl2br w:val="nil"/>
                    <w:tr2bl w:val="nil"/>
                  </w:tcBorders>
                  <w:noWrap w:val="0"/>
                  <w:vAlign w:val="center"/>
                </w:tcPr>
                <w:p w14:paraId="25FDDBE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2424</w:t>
                  </w:r>
                </w:p>
              </w:tc>
              <w:tc>
                <w:tcPr>
                  <w:tcW w:w="1069" w:type="dxa"/>
                  <w:tcBorders>
                    <w:tl2br w:val="nil"/>
                    <w:tr2bl w:val="nil"/>
                  </w:tcBorders>
                  <w:noWrap w:val="0"/>
                  <w:vAlign w:val="center"/>
                </w:tcPr>
                <w:p w14:paraId="57F1ECD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51" w:type="pct"/>
                  <w:tcBorders>
                    <w:tl2br w:val="nil"/>
                    <w:tr2bl w:val="nil"/>
                  </w:tcBorders>
                  <w:noWrap w:val="0"/>
                  <w:vAlign w:val="center"/>
                </w:tcPr>
                <w:p w14:paraId="177BC7F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76BCFD40">
            <w:pPr>
              <w:keepNext w:val="0"/>
              <w:keepLines w:val="0"/>
              <w:pageBreakBefore w:val="0"/>
              <w:widowControl w:val="0"/>
              <w:kinsoku/>
              <w:overflowPunct/>
              <w:topLinePunct w:val="0"/>
              <w:autoSpaceDE/>
              <w:autoSpaceDN/>
              <w:bidi w:val="0"/>
              <w:spacing w:line="360" w:lineRule="auto"/>
              <w:ind w:firstLine="48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本项目选取无组织排放的</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来计算卫生防护距离，卫生防护距离初值计算公式采用《制定地方大气污染物排放标准的技术方法》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GB/T3840-1991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 7.4推荐的估算方法进行计算，计算公式如下</w:t>
            </w:r>
            <w:r>
              <w:rPr>
                <w:rFonts w:hint="eastAsia" w:ascii="Times New Roman" w:hAnsi="Times New Roman" w:eastAsia="宋体" w:cs="Times New Roman"/>
                <w:color w:val="auto"/>
                <w:sz w:val="24"/>
                <w:szCs w:val="24"/>
                <w:highlight w:val="none"/>
                <w:lang w:eastAsia="zh-CN"/>
              </w:rPr>
              <w:t>：</w:t>
            </w:r>
          </w:p>
          <w:p w14:paraId="742954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s="Times New Roman"/>
                <w:color w:val="auto"/>
                <w:sz w:val="24"/>
                <w:szCs w:val="24"/>
                <w:highlight w:val="none"/>
              </w:rPr>
            </w:pPr>
            <w:r>
              <w:rPr>
                <w:rFonts w:ascii="Times New Roman" w:hAnsi="Times New Roman" w:cs="Times New Roman"/>
                <w:color w:val="auto"/>
                <w:position w:val="-30"/>
                <w:sz w:val="24"/>
                <w:szCs w:val="24"/>
                <w:highlight w:val="none"/>
              </w:rPr>
              <w:object>
                <v:shape id="_x0000_i1036" o:spt="75" type="#_x0000_t75" style="height:35.3pt;width:154.85pt;" o:ole="t" filled="f" stroked="f" coordsize="21600,21600">
                  <v:path/>
                  <v:fill on="f" focussize="0,0"/>
                  <v:stroke on="f"/>
                  <v:imagedata r:id="rId34" o:title=""/>
                  <o:lock v:ext="edit" aspectratio="t"/>
                  <w10:wrap type="none"/>
                  <w10:anchorlock/>
                </v:shape>
                <o:OLEObject Type="Embed" ProgID="Equation.3" ShapeID="_x0000_i1036" DrawAspect="Content" ObjectID="_1468075736" r:id="rId33">
                  <o:LockedField>false</o:LockedField>
                </o:OLEObject>
              </w:object>
            </w:r>
          </w:p>
          <w:p w14:paraId="1DA47424">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式中：Qc—大气有害物质的无组织排放量，单位为千克每小时（kg/h）；</w:t>
            </w:r>
          </w:p>
          <w:p w14:paraId="45397F5E">
            <w:pPr>
              <w:keepNext w:val="0"/>
              <w:keepLines w:val="0"/>
              <w:pageBreakBefore w:val="0"/>
              <w:widowControl w:val="0"/>
              <w:kinsoku/>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m</w:t>
            </w:r>
            <w:r>
              <w:rPr>
                <w:rFonts w:hint="default" w:ascii="Times New Roman" w:hAnsi="Times New Roman" w:cs="Times New Roman"/>
                <w:color w:val="auto"/>
                <w:sz w:val="24"/>
                <w:szCs w:val="24"/>
                <w:highlight w:val="none"/>
              </w:rPr>
              <w:t>—大气有害物质环境空气质量的标准限值，单位为毫克每立方米（mg/m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1BAA3C60">
            <w:pPr>
              <w:keepNext w:val="0"/>
              <w:keepLines w:val="0"/>
              <w:pageBreakBefore w:val="0"/>
              <w:widowControl w:val="0"/>
              <w:kinsoku/>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L—大气有害物质卫生防护距离初值，单位为米（m）；</w:t>
            </w:r>
          </w:p>
          <w:p w14:paraId="6FFA0425">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r—有害气体无组织排放源所在生产单元等效半径，单位为米（m）；</w:t>
            </w:r>
          </w:p>
          <w:p w14:paraId="1B637AC5">
            <w:pPr>
              <w:keepNext w:val="0"/>
              <w:keepLines w:val="0"/>
              <w:pageBreakBefore w:val="0"/>
              <w:widowControl w:val="0"/>
              <w:kinsoku/>
              <w:overflowPunct/>
              <w:topLinePunct w:val="0"/>
              <w:autoSpaceDE/>
              <w:autoSpaceDN/>
              <w:bidi w:val="0"/>
              <w:spacing w:line="360" w:lineRule="auto"/>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A、B、C、D—卫生防护距离计算系数，无因次，根据工业企业所在地区近五年平均风速，及工业企业大气污染源构成类</w:t>
            </w:r>
            <w:r>
              <w:rPr>
                <w:rFonts w:hint="default" w:ascii="Times New Roman" w:hAnsi="Times New Roman" w:cs="Times New Roman"/>
                <w:color w:val="auto"/>
                <w:sz w:val="24"/>
                <w:highlight w:val="none"/>
                <w:lang w:val="en-US" w:eastAsia="zh-CN"/>
              </w:rPr>
              <w:t>别</w:t>
            </w:r>
            <w:r>
              <w:rPr>
                <w:rFonts w:hint="default" w:ascii="Times New Roman" w:hAnsi="Times New Roman" w:cs="Times New Roman"/>
                <w:color w:val="auto"/>
                <w:sz w:val="24"/>
                <w:highlight w:val="none"/>
              </w:rPr>
              <w:t>从表中查取。</w:t>
            </w:r>
          </w:p>
          <w:p w14:paraId="7CD9B868">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根据无组织排放量计算，其卫生防护距离如下表所示。</w:t>
            </w:r>
          </w:p>
          <w:p w14:paraId="53C0BC0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企业卫生防护距离计算表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1100"/>
              <w:gridCol w:w="1352"/>
              <w:gridCol w:w="735"/>
              <w:gridCol w:w="703"/>
              <w:gridCol w:w="701"/>
              <w:gridCol w:w="684"/>
              <w:gridCol w:w="1354"/>
              <w:gridCol w:w="1113"/>
              <w:gridCol w:w="851"/>
              <w:gridCol w:w="894"/>
            </w:tblGrid>
            <w:tr w14:paraId="6B3445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80" w:type="pct"/>
                  <w:tcBorders>
                    <w:tl2br w:val="nil"/>
                    <w:tr2bl w:val="nil"/>
                  </w:tcBorders>
                  <w:noWrap w:val="0"/>
                  <w:tcMar>
                    <w:top w:w="15" w:type="dxa"/>
                    <w:left w:w="15" w:type="dxa"/>
                    <w:bottom w:w="0" w:type="dxa"/>
                    <w:right w:w="15" w:type="dxa"/>
                  </w:tcMar>
                  <w:vAlign w:val="center"/>
                </w:tcPr>
                <w:p w14:paraId="65E6A1B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污染源位置</w:t>
                  </w:r>
                </w:p>
              </w:tc>
              <w:tc>
                <w:tcPr>
                  <w:tcW w:w="712" w:type="pct"/>
                  <w:tcBorders>
                    <w:tl2br w:val="nil"/>
                    <w:tr2bl w:val="nil"/>
                  </w:tcBorders>
                  <w:noWrap w:val="0"/>
                  <w:tcMar>
                    <w:top w:w="15" w:type="dxa"/>
                    <w:left w:w="15" w:type="dxa"/>
                    <w:bottom w:w="0" w:type="dxa"/>
                    <w:right w:w="15" w:type="dxa"/>
                  </w:tcMar>
                  <w:vAlign w:val="center"/>
                </w:tcPr>
                <w:p w14:paraId="5DFDCAC5">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污染物名称</w:t>
                  </w:r>
                </w:p>
              </w:tc>
              <w:tc>
                <w:tcPr>
                  <w:tcW w:w="387" w:type="pct"/>
                  <w:tcBorders>
                    <w:tl2br w:val="nil"/>
                    <w:tr2bl w:val="nil"/>
                  </w:tcBorders>
                  <w:noWrap w:val="0"/>
                  <w:tcMar>
                    <w:top w:w="15" w:type="dxa"/>
                    <w:left w:w="15" w:type="dxa"/>
                    <w:bottom w:w="0" w:type="dxa"/>
                    <w:right w:w="15" w:type="dxa"/>
                  </w:tcMar>
                  <w:vAlign w:val="center"/>
                </w:tcPr>
                <w:p w14:paraId="3E9B7EB0">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A</w:t>
                  </w:r>
                </w:p>
              </w:tc>
              <w:tc>
                <w:tcPr>
                  <w:tcW w:w="370" w:type="pct"/>
                  <w:tcBorders>
                    <w:tl2br w:val="nil"/>
                    <w:tr2bl w:val="nil"/>
                  </w:tcBorders>
                  <w:noWrap w:val="0"/>
                  <w:tcMar>
                    <w:top w:w="15" w:type="dxa"/>
                    <w:left w:w="15" w:type="dxa"/>
                    <w:bottom w:w="0" w:type="dxa"/>
                    <w:right w:w="15" w:type="dxa"/>
                  </w:tcMar>
                  <w:vAlign w:val="center"/>
                </w:tcPr>
                <w:p w14:paraId="147D2EA7">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B</w:t>
                  </w:r>
                </w:p>
              </w:tc>
              <w:tc>
                <w:tcPr>
                  <w:tcW w:w="369" w:type="pct"/>
                  <w:tcBorders>
                    <w:tl2br w:val="nil"/>
                    <w:tr2bl w:val="nil"/>
                  </w:tcBorders>
                  <w:noWrap w:val="0"/>
                  <w:tcMar>
                    <w:top w:w="15" w:type="dxa"/>
                    <w:left w:w="15" w:type="dxa"/>
                    <w:bottom w:w="0" w:type="dxa"/>
                    <w:right w:w="15" w:type="dxa"/>
                  </w:tcMar>
                  <w:vAlign w:val="center"/>
                </w:tcPr>
                <w:p w14:paraId="23F54D98">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C</w:t>
                  </w:r>
                </w:p>
              </w:tc>
              <w:tc>
                <w:tcPr>
                  <w:tcW w:w="360" w:type="pct"/>
                  <w:tcBorders>
                    <w:tl2br w:val="nil"/>
                    <w:tr2bl w:val="nil"/>
                  </w:tcBorders>
                  <w:noWrap w:val="0"/>
                  <w:tcMar>
                    <w:top w:w="15" w:type="dxa"/>
                    <w:left w:w="15" w:type="dxa"/>
                    <w:bottom w:w="0" w:type="dxa"/>
                    <w:right w:w="15" w:type="dxa"/>
                  </w:tcMar>
                  <w:vAlign w:val="center"/>
                </w:tcPr>
                <w:p w14:paraId="14F9A68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D</w:t>
                  </w:r>
                </w:p>
              </w:tc>
              <w:tc>
                <w:tcPr>
                  <w:tcW w:w="713" w:type="pct"/>
                  <w:tcBorders>
                    <w:tl2br w:val="nil"/>
                    <w:tr2bl w:val="nil"/>
                  </w:tcBorders>
                  <w:noWrap w:val="0"/>
                  <w:tcMar>
                    <w:top w:w="15" w:type="dxa"/>
                    <w:left w:w="15" w:type="dxa"/>
                    <w:bottom w:w="0" w:type="dxa"/>
                    <w:right w:w="15" w:type="dxa"/>
                  </w:tcMar>
                  <w:vAlign w:val="center"/>
                </w:tcPr>
                <w:p w14:paraId="54EB45D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Cm</w:t>
                  </w:r>
                </w:p>
                <w:p w14:paraId="1E45978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（mg/Nm</w:t>
                  </w:r>
                  <w:r>
                    <w:rPr>
                      <w:rFonts w:hint="default" w:ascii="Times New Roman" w:hAnsi="Times New Roman" w:eastAsia="仿宋" w:cs="Times New Roman"/>
                      <w:b/>
                      <w:bCs/>
                      <w:color w:val="auto"/>
                      <w:sz w:val="21"/>
                      <w:szCs w:val="21"/>
                      <w:highlight w:val="none"/>
                      <w:vertAlign w:val="superscript"/>
                      <w:lang w:val="en-US" w:eastAsia="zh-CN"/>
                    </w:rPr>
                    <w:t>3</w:t>
                  </w:r>
                  <w:r>
                    <w:rPr>
                      <w:rFonts w:hint="default" w:ascii="Times New Roman" w:hAnsi="Times New Roman" w:eastAsia="仿宋" w:cs="Times New Roman"/>
                      <w:b/>
                      <w:bCs/>
                      <w:color w:val="auto"/>
                      <w:sz w:val="21"/>
                      <w:szCs w:val="21"/>
                      <w:highlight w:val="none"/>
                      <w:vertAlign w:val="baseline"/>
                      <w:lang w:val="en-US" w:eastAsia="zh-CN"/>
                    </w:rPr>
                    <w:t>）</w:t>
                  </w:r>
                </w:p>
              </w:tc>
              <w:tc>
                <w:tcPr>
                  <w:tcW w:w="586" w:type="pct"/>
                  <w:tcBorders>
                    <w:tl2br w:val="nil"/>
                    <w:tr2bl w:val="nil"/>
                  </w:tcBorders>
                  <w:noWrap w:val="0"/>
                  <w:tcMar>
                    <w:top w:w="15" w:type="dxa"/>
                    <w:left w:w="15" w:type="dxa"/>
                    <w:bottom w:w="0" w:type="dxa"/>
                    <w:right w:w="15" w:type="dxa"/>
                  </w:tcMar>
                  <w:vAlign w:val="center"/>
                </w:tcPr>
                <w:p w14:paraId="1421FFB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Qc</w:t>
                  </w:r>
                </w:p>
                <w:p w14:paraId="6A91187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（kg/h）</w:t>
                  </w:r>
                </w:p>
              </w:tc>
              <w:tc>
                <w:tcPr>
                  <w:tcW w:w="448" w:type="pct"/>
                  <w:tcBorders>
                    <w:tl2br w:val="nil"/>
                    <w:tr2bl w:val="nil"/>
                  </w:tcBorders>
                  <w:noWrap w:val="0"/>
                  <w:tcMar>
                    <w:top w:w="15" w:type="dxa"/>
                    <w:left w:w="15" w:type="dxa"/>
                    <w:bottom w:w="0" w:type="dxa"/>
                    <w:right w:w="15" w:type="dxa"/>
                  </w:tcMar>
                  <w:vAlign w:val="center"/>
                </w:tcPr>
                <w:p w14:paraId="003EDA3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L</w:t>
                  </w:r>
                </w:p>
                <w:p w14:paraId="2F93BF6B">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（m）</w:t>
                  </w:r>
                </w:p>
              </w:tc>
              <w:tc>
                <w:tcPr>
                  <w:tcW w:w="471" w:type="pct"/>
                  <w:tcBorders>
                    <w:tl2br w:val="nil"/>
                    <w:tr2bl w:val="nil"/>
                  </w:tcBorders>
                  <w:noWrap w:val="0"/>
                  <w:tcMar>
                    <w:top w:w="15" w:type="dxa"/>
                    <w:left w:w="15" w:type="dxa"/>
                    <w:bottom w:w="0" w:type="dxa"/>
                    <w:right w:w="15" w:type="dxa"/>
                  </w:tcMar>
                  <w:vAlign w:val="center"/>
                </w:tcPr>
                <w:p w14:paraId="7EE4B8D2">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终值</w:t>
                  </w:r>
                </w:p>
                <w:p w14:paraId="32916997">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（m）</w:t>
                  </w:r>
                </w:p>
              </w:tc>
            </w:tr>
            <w:tr w14:paraId="54A65F9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80" w:type="pct"/>
                  <w:tcBorders>
                    <w:tl2br w:val="nil"/>
                    <w:tr2bl w:val="nil"/>
                  </w:tcBorders>
                  <w:noWrap w:val="0"/>
                  <w:tcMar>
                    <w:top w:w="15" w:type="dxa"/>
                    <w:left w:w="15" w:type="dxa"/>
                    <w:bottom w:w="0" w:type="dxa"/>
                    <w:right w:w="15" w:type="dxa"/>
                  </w:tcMar>
                  <w:vAlign w:val="center"/>
                </w:tcPr>
                <w:p w14:paraId="076D700A">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生产车间</w:t>
                  </w:r>
                </w:p>
              </w:tc>
              <w:tc>
                <w:tcPr>
                  <w:tcW w:w="712" w:type="pct"/>
                  <w:tcBorders>
                    <w:tl2br w:val="nil"/>
                    <w:tr2bl w:val="nil"/>
                  </w:tcBorders>
                  <w:noWrap w:val="0"/>
                  <w:tcMar>
                    <w:top w:w="15" w:type="dxa"/>
                    <w:left w:w="15" w:type="dxa"/>
                    <w:bottom w:w="0" w:type="dxa"/>
                    <w:right w:w="15" w:type="dxa"/>
                  </w:tcMar>
                  <w:vAlign w:val="center"/>
                </w:tcPr>
                <w:p w14:paraId="52142E9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颗粒物</w:t>
                  </w:r>
                </w:p>
              </w:tc>
              <w:tc>
                <w:tcPr>
                  <w:tcW w:w="387" w:type="pct"/>
                  <w:tcBorders>
                    <w:tl2br w:val="nil"/>
                    <w:tr2bl w:val="nil"/>
                  </w:tcBorders>
                  <w:noWrap w:val="0"/>
                  <w:tcMar>
                    <w:top w:w="15" w:type="dxa"/>
                    <w:left w:w="15" w:type="dxa"/>
                    <w:bottom w:w="0" w:type="dxa"/>
                    <w:right w:w="15" w:type="dxa"/>
                  </w:tcMar>
                  <w:vAlign w:val="center"/>
                </w:tcPr>
                <w:p w14:paraId="6CD3796C">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470</w:t>
                  </w:r>
                </w:p>
              </w:tc>
              <w:tc>
                <w:tcPr>
                  <w:tcW w:w="370" w:type="pct"/>
                  <w:tcBorders>
                    <w:tl2br w:val="nil"/>
                    <w:tr2bl w:val="nil"/>
                  </w:tcBorders>
                  <w:noWrap w:val="0"/>
                  <w:tcMar>
                    <w:top w:w="15" w:type="dxa"/>
                    <w:left w:w="15" w:type="dxa"/>
                    <w:bottom w:w="0" w:type="dxa"/>
                    <w:right w:w="15" w:type="dxa"/>
                  </w:tcMar>
                  <w:vAlign w:val="center"/>
                </w:tcPr>
                <w:p w14:paraId="0940D52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0.21</w:t>
                  </w:r>
                </w:p>
              </w:tc>
              <w:tc>
                <w:tcPr>
                  <w:tcW w:w="369" w:type="pct"/>
                  <w:tcBorders>
                    <w:tl2br w:val="nil"/>
                    <w:tr2bl w:val="nil"/>
                  </w:tcBorders>
                  <w:noWrap w:val="0"/>
                  <w:tcMar>
                    <w:top w:w="15" w:type="dxa"/>
                    <w:left w:w="15" w:type="dxa"/>
                    <w:bottom w:w="0" w:type="dxa"/>
                    <w:right w:w="15" w:type="dxa"/>
                  </w:tcMar>
                  <w:vAlign w:val="center"/>
                </w:tcPr>
                <w:p w14:paraId="1736C3CE">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1.85</w:t>
                  </w:r>
                </w:p>
              </w:tc>
              <w:tc>
                <w:tcPr>
                  <w:tcW w:w="360" w:type="pct"/>
                  <w:tcBorders>
                    <w:tl2br w:val="nil"/>
                    <w:tr2bl w:val="nil"/>
                  </w:tcBorders>
                  <w:noWrap w:val="0"/>
                  <w:tcMar>
                    <w:top w:w="15" w:type="dxa"/>
                    <w:left w:w="15" w:type="dxa"/>
                    <w:bottom w:w="0" w:type="dxa"/>
                    <w:right w:w="15" w:type="dxa"/>
                  </w:tcMar>
                  <w:vAlign w:val="center"/>
                </w:tcPr>
                <w:p w14:paraId="405C9A26">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0.84</w:t>
                  </w:r>
                </w:p>
              </w:tc>
              <w:tc>
                <w:tcPr>
                  <w:tcW w:w="713" w:type="pct"/>
                  <w:tcBorders>
                    <w:tl2br w:val="nil"/>
                    <w:tr2bl w:val="nil"/>
                  </w:tcBorders>
                  <w:noWrap w:val="0"/>
                  <w:tcMar>
                    <w:top w:w="15" w:type="dxa"/>
                    <w:left w:w="15" w:type="dxa"/>
                    <w:bottom w:w="0" w:type="dxa"/>
                    <w:right w:w="15" w:type="dxa"/>
                  </w:tcMar>
                  <w:vAlign w:val="center"/>
                </w:tcPr>
                <w:p w14:paraId="36F39755">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0.45</w:t>
                  </w:r>
                </w:p>
              </w:tc>
              <w:tc>
                <w:tcPr>
                  <w:tcW w:w="586" w:type="pct"/>
                  <w:tcBorders>
                    <w:tl2br w:val="nil"/>
                    <w:tr2bl w:val="nil"/>
                  </w:tcBorders>
                  <w:noWrap w:val="0"/>
                  <w:tcMar>
                    <w:top w:w="15" w:type="dxa"/>
                    <w:left w:w="15" w:type="dxa"/>
                    <w:bottom w:w="0" w:type="dxa"/>
                    <w:right w:w="15" w:type="dxa"/>
                  </w:tcMar>
                  <w:vAlign w:val="center"/>
                </w:tcPr>
                <w:p w14:paraId="0B1C7EE5">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0.1589</w:t>
                  </w:r>
                </w:p>
              </w:tc>
              <w:tc>
                <w:tcPr>
                  <w:tcW w:w="448" w:type="pct"/>
                  <w:tcBorders>
                    <w:tl2br w:val="nil"/>
                    <w:tr2bl w:val="nil"/>
                  </w:tcBorders>
                  <w:noWrap w:val="0"/>
                  <w:tcMar>
                    <w:top w:w="15" w:type="dxa"/>
                    <w:left w:w="15" w:type="dxa"/>
                    <w:bottom w:w="0" w:type="dxa"/>
                    <w:right w:w="15" w:type="dxa"/>
                  </w:tcMar>
                  <w:vAlign w:val="center"/>
                </w:tcPr>
                <w:p w14:paraId="53E6CF8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eastAsia" w:eastAsia="仿宋" w:cs="Times New Roman"/>
                      <w:b w:val="0"/>
                      <w:bCs w:val="0"/>
                      <w:color w:val="auto"/>
                      <w:sz w:val="21"/>
                      <w:szCs w:val="21"/>
                      <w:highlight w:val="none"/>
                      <w:vertAlign w:val="baseline"/>
                      <w:lang w:val="en-US" w:eastAsia="zh-CN"/>
                    </w:rPr>
                    <w:t>3.428</w:t>
                  </w:r>
                </w:p>
              </w:tc>
              <w:tc>
                <w:tcPr>
                  <w:tcW w:w="471" w:type="pct"/>
                  <w:tcBorders>
                    <w:tl2br w:val="nil"/>
                    <w:tr2bl w:val="nil"/>
                  </w:tcBorders>
                  <w:noWrap w:val="0"/>
                  <w:tcMar>
                    <w:top w:w="15" w:type="dxa"/>
                    <w:left w:w="15" w:type="dxa"/>
                    <w:bottom w:w="0" w:type="dxa"/>
                    <w:right w:w="15" w:type="dxa"/>
                  </w:tcMar>
                  <w:vAlign w:val="center"/>
                </w:tcPr>
                <w:p w14:paraId="054AE8A9">
                  <w:pPr>
                    <w:keepNext w:val="0"/>
                    <w:keepLines w:val="0"/>
                    <w:pageBreakBefore w:val="0"/>
                    <w:widowControl w:val="0"/>
                    <w:kinsoku/>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vertAlign w:val="baseline"/>
                      <w:lang w:val="en-US" w:eastAsia="zh-CN"/>
                    </w:rPr>
                  </w:pPr>
                  <w:r>
                    <w:rPr>
                      <w:rFonts w:hint="default" w:ascii="Times New Roman" w:hAnsi="Times New Roman" w:eastAsia="仿宋" w:cs="Times New Roman"/>
                      <w:b w:val="0"/>
                      <w:bCs w:val="0"/>
                      <w:color w:val="auto"/>
                      <w:sz w:val="21"/>
                      <w:szCs w:val="21"/>
                      <w:highlight w:val="none"/>
                      <w:vertAlign w:val="baseline"/>
                      <w:lang w:val="en-US" w:eastAsia="zh-CN"/>
                    </w:rPr>
                    <w:t>50</w:t>
                  </w:r>
                </w:p>
              </w:tc>
            </w:tr>
          </w:tbl>
          <w:p w14:paraId="38EF42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color w:val="auto"/>
                <w:spacing w:val="-6"/>
                <w:sz w:val="24"/>
                <w:szCs w:val="24"/>
                <w:highlight w:val="none"/>
              </w:rPr>
            </w:pPr>
            <w:r>
              <w:rPr>
                <w:rFonts w:hint="default" w:ascii="Times New Roman" w:hAnsi="Times New Roman" w:cs="Times New Roman"/>
                <w:snapToGrid w:val="0"/>
                <w:color w:val="auto"/>
                <w:kern w:val="0"/>
                <w:sz w:val="24"/>
                <w:szCs w:val="24"/>
                <w:highlight w:val="none"/>
                <w:lang w:val="en-US" w:eastAsia="zh-CN"/>
              </w:rPr>
              <w:t>综上，</w:t>
            </w:r>
            <w:r>
              <w:rPr>
                <w:rFonts w:hint="default" w:ascii="Times New Roman" w:hAnsi="Times New Roman" w:cs="Times New Roman"/>
                <w:snapToGrid w:val="0"/>
                <w:color w:val="auto"/>
                <w:kern w:val="0"/>
                <w:sz w:val="24"/>
                <w:szCs w:val="24"/>
                <w:highlight w:val="none"/>
              </w:rPr>
              <w:t>本项目建设完成后以</w:t>
            </w:r>
            <w:r>
              <w:rPr>
                <w:rFonts w:hint="default" w:ascii="Times New Roman" w:hAnsi="Times New Roman" w:cs="Times New Roman"/>
                <w:snapToGrid w:val="0"/>
                <w:color w:val="auto"/>
                <w:kern w:val="0"/>
                <w:sz w:val="24"/>
                <w:szCs w:val="24"/>
                <w:highlight w:val="none"/>
                <w:lang w:val="en-US" w:eastAsia="zh-CN"/>
              </w:rPr>
              <w:t>生产车间边界为起点设置50</w:t>
            </w:r>
            <w:r>
              <w:rPr>
                <w:rFonts w:hint="default" w:ascii="Times New Roman" w:hAnsi="Times New Roman" w:cs="Times New Roman"/>
                <w:snapToGrid w:val="0"/>
                <w:color w:val="auto"/>
                <w:kern w:val="0"/>
                <w:sz w:val="24"/>
                <w:szCs w:val="24"/>
                <w:highlight w:val="none"/>
              </w:rPr>
              <w:t>m卫生防护距离。根据</w:t>
            </w:r>
            <w:r>
              <w:rPr>
                <w:rFonts w:hint="default" w:ascii="Times New Roman" w:hAnsi="Times New Roman" w:cs="Times New Roman"/>
                <w:snapToGrid w:val="0"/>
                <w:color w:val="auto"/>
                <w:kern w:val="0"/>
                <w:sz w:val="24"/>
                <w:szCs w:val="24"/>
                <w:highlight w:val="none"/>
                <w:lang w:eastAsia="zh-CN"/>
              </w:rPr>
              <w:t>现场勘查</w:t>
            </w:r>
            <w:r>
              <w:rPr>
                <w:rFonts w:hint="default" w:ascii="Times New Roman" w:hAnsi="Times New Roman" w:cs="Times New Roman"/>
                <w:snapToGrid w:val="0"/>
                <w:color w:val="auto"/>
                <w:kern w:val="0"/>
                <w:sz w:val="24"/>
                <w:szCs w:val="24"/>
                <w:highlight w:val="none"/>
              </w:rPr>
              <w:t>，项目卫生防护距离内无居民等环境敏感点，且今后也不得设学校、住宅、医院等环境敏感点。本项目无组织废气对当地的环境空气质量影响较小，可满足环境管理要求</w:t>
            </w:r>
            <w:r>
              <w:rPr>
                <w:rFonts w:ascii="Times New Roman" w:hAnsi="Times New Roman" w:cs="Times New Roman"/>
                <w:snapToGrid w:val="0"/>
                <w:color w:val="auto"/>
                <w:kern w:val="0"/>
                <w:sz w:val="24"/>
                <w:szCs w:val="24"/>
                <w:highlight w:val="none"/>
              </w:rPr>
              <w:t>。</w:t>
            </w:r>
          </w:p>
          <w:p w14:paraId="20DA1BFE">
            <w:pPr>
              <w:pStyle w:val="19"/>
              <w:keepNext w:val="0"/>
              <w:keepLines w:val="0"/>
              <w:pageBreakBefore w:val="0"/>
              <w:widowControl w:val="0"/>
              <w:kinsoku/>
              <w:wordWrap/>
              <w:overflowPunct/>
              <w:topLinePunct w:val="0"/>
              <w:bidi w:val="0"/>
              <w:snapToGrid/>
              <w:spacing w:after="0" w:line="360" w:lineRule="auto"/>
              <w:ind w:left="0" w:leftChars="0" w:firstLine="0" w:firstLineChars="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  大气环境影响分析</w:t>
            </w:r>
          </w:p>
          <w:p w14:paraId="5BEA9A0F">
            <w:pPr>
              <w:keepNext w:val="0"/>
              <w:keepLines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cs="Times New Roman"/>
                <w:color w:val="auto"/>
                <w:sz w:val="24"/>
                <w:szCs w:val="21"/>
                <w:highlight w:val="none"/>
                <w:lang w:val="en-US" w:eastAsia="zh-CN"/>
              </w:rPr>
              <w:t>以生产车间边界</w:t>
            </w:r>
            <w:r>
              <w:rPr>
                <w:rFonts w:hint="eastAsia" w:ascii="Times New Roman" w:hAnsi="Times New Roman" w:cs="Times New Roman"/>
                <w:color w:val="auto"/>
                <w:sz w:val="24"/>
                <w:szCs w:val="21"/>
                <w:highlight w:val="none"/>
                <w:lang w:eastAsia="zh-CN"/>
              </w:rPr>
              <w:t>设置</w:t>
            </w:r>
            <w:r>
              <w:rPr>
                <w:rFonts w:hint="eastAsia" w:ascii="Times New Roman" w:hAnsi="Times New Roman" w:cs="Times New Roman"/>
                <w:color w:val="auto"/>
                <w:sz w:val="24"/>
                <w:szCs w:val="21"/>
                <w:highlight w:val="none"/>
                <w:lang w:val="en-US" w:eastAsia="zh-CN"/>
              </w:rPr>
              <w:t>50米</w:t>
            </w:r>
            <w:r>
              <w:rPr>
                <w:rFonts w:hint="eastAsia" w:ascii="Times New Roman" w:hAnsi="Times New Roman" w:cs="Times New Roman"/>
                <w:color w:val="auto"/>
                <w:sz w:val="24"/>
                <w:szCs w:val="21"/>
                <w:highlight w:val="none"/>
              </w:rPr>
              <w:t>卫生防护距离</w:t>
            </w:r>
            <w:r>
              <w:rPr>
                <w:rFonts w:hint="eastAsia" w:ascii="Times New Roman" w:hAnsi="Times New Roman" w:cs="Times New Roman"/>
                <w:color w:val="auto"/>
                <w:sz w:val="24"/>
                <w:szCs w:val="21"/>
                <w:highlight w:val="none"/>
                <w:lang w:eastAsia="zh-CN"/>
              </w:rPr>
              <w:t>，</w:t>
            </w:r>
            <w:r>
              <w:rPr>
                <w:rFonts w:hint="default" w:ascii="Times New Roman" w:hAnsi="Times New Roman" w:cs="Times New Roman"/>
                <w:color w:val="auto"/>
                <w:sz w:val="24"/>
                <w:highlight w:val="none"/>
              </w:rPr>
              <w:t>卫生防护距离</w:t>
            </w:r>
            <w:r>
              <w:rPr>
                <w:rFonts w:ascii="Times New Roman" w:hAnsi="Times New Roman" w:cs="Times New Roman"/>
                <w:color w:val="auto"/>
                <w:sz w:val="24"/>
                <w:szCs w:val="21"/>
                <w:highlight w:val="none"/>
              </w:rPr>
              <w:t>内无环境保护目标；项目采取的污染治理措施为可行技术，无组织废气</w:t>
            </w:r>
            <w:r>
              <w:rPr>
                <w:rFonts w:hint="eastAsia" w:cs="Times New Roman"/>
                <w:color w:val="auto"/>
                <w:sz w:val="24"/>
                <w:szCs w:val="21"/>
                <w:highlight w:val="none"/>
                <w:lang w:val="en-US" w:eastAsia="zh-CN"/>
              </w:rPr>
              <w:t>满足厂界达标要求</w:t>
            </w:r>
            <w:r>
              <w:rPr>
                <w:rFonts w:ascii="Times New Roman" w:hAnsi="Times New Roman" w:cs="Times New Roman"/>
                <w:color w:val="auto"/>
                <w:sz w:val="24"/>
                <w:szCs w:val="21"/>
                <w:highlight w:val="none"/>
              </w:rPr>
              <w:t>，对周围大气环境的影响较小，不会改变项目所在地的环境功能级别</w:t>
            </w:r>
            <w:r>
              <w:rPr>
                <w:rFonts w:hint="default" w:ascii="Times New Roman" w:hAnsi="Times New Roman" w:eastAsia="宋体" w:cs="Times New Roman"/>
                <w:color w:val="auto"/>
                <w:sz w:val="24"/>
                <w:szCs w:val="24"/>
                <w:highlight w:val="none"/>
              </w:rPr>
              <w:t>。</w:t>
            </w:r>
          </w:p>
          <w:p w14:paraId="55107B9E">
            <w:pPr>
              <w:keepNext w:val="0"/>
              <w:keepLines w:val="0"/>
              <w:pageBreakBefore w:val="0"/>
              <w:widowControl w:val="0"/>
              <w:kinsoku/>
              <w:wordWrap/>
              <w:overflowPunct/>
              <w:topLinePunct w:val="0"/>
              <w:bidi w:val="0"/>
              <w:snapToGrid/>
              <w:spacing w:line="360" w:lineRule="auto"/>
              <w:ind w:firstLine="480" w:firstLineChars="200"/>
              <w:rPr>
                <w:rFonts w:hint="default"/>
                <w:color w:val="auto"/>
                <w:sz w:val="24"/>
                <w:highlight w:val="none"/>
              </w:rPr>
            </w:pPr>
            <w:r>
              <w:rPr>
                <w:rFonts w:hint="default"/>
                <w:color w:val="auto"/>
                <w:sz w:val="24"/>
                <w:highlight w:val="none"/>
              </w:rPr>
              <w:t>根据《恶臭污染物排放标准》（GB 14554-93），列入标准的恶臭污染物质有八种，分别为氨、三甲胺、硫化氢、甲硫醇、甲硫醚、二甲二硫醚、二硫化碳、苯乙烯。本项目的异味气体为苯乙烯，针对异味气体，项目采取的主要措施有：a．项目建成后，切实加强管理，加强生产过程的全过程控制；b．定期对厂界无组织废气中</w:t>
            </w:r>
            <w:r>
              <w:rPr>
                <w:rFonts w:hint="eastAsia"/>
                <w:color w:val="auto"/>
                <w:sz w:val="24"/>
                <w:highlight w:val="none"/>
                <w:lang w:val="en-US" w:eastAsia="zh-CN"/>
              </w:rPr>
              <w:t>氨</w:t>
            </w:r>
            <w:r>
              <w:rPr>
                <w:rFonts w:hint="default"/>
                <w:color w:val="auto"/>
                <w:sz w:val="24"/>
                <w:highlight w:val="none"/>
              </w:rPr>
              <w:t>、</w:t>
            </w:r>
            <w:r>
              <w:rPr>
                <w:rFonts w:hint="eastAsia"/>
                <w:color w:val="auto"/>
                <w:sz w:val="24"/>
                <w:highlight w:val="none"/>
                <w:lang w:val="en-US" w:eastAsia="zh-CN"/>
              </w:rPr>
              <w:t>硫化氢</w:t>
            </w:r>
            <w:r>
              <w:rPr>
                <w:rFonts w:hint="default"/>
                <w:color w:val="auto"/>
                <w:sz w:val="24"/>
                <w:highlight w:val="none"/>
              </w:rPr>
              <w:t>等排放浓度、臭气浓度进行监测，以监管无组织废气达标排放情况，同时确保厂界周边不得产生明显的异味。</w:t>
            </w:r>
          </w:p>
          <w:p w14:paraId="61A8CBFF">
            <w:pPr>
              <w:keepNext w:val="0"/>
              <w:keepLines w:val="0"/>
              <w:pageBreakBefore w:val="0"/>
              <w:widowControl w:val="0"/>
              <w:kinsoku/>
              <w:wordWrap/>
              <w:overflowPunct/>
              <w:topLinePunct w:val="0"/>
              <w:bidi w:val="0"/>
              <w:snapToGrid/>
              <w:spacing w:line="360" w:lineRule="auto"/>
              <w:ind w:firstLine="480" w:firstLineChars="200"/>
              <w:rPr>
                <w:rFonts w:hint="default" w:ascii="Times New Roman" w:hAnsi="Times New Roman" w:eastAsia="宋体" w:cs="Times New Roman"/>
                <w:color w:val="auto"/>
                <w:sz w:val="24"/>
                <w:szCs w:val="24"/>
                <w:highlight w:val="none"/>
              </w:rPr>
            </w:pPr>
            <w:r>
              <w:rPr>
                <w:rFonts w:hint="eastAsia"/>
                <w:color w:val="auto"/>
                <w:sz w:val="24"/>
                <w:highlight w:val="none"/>
                <w:lang w:val="en-US" w:eastAsia="zh-CN"/>
              </w:rPr>
              <w:t>污水处理站和危废仓库</w:t>
            </w:r>
            <w:r>
              <w:rPr>
                <w:rFonts w:hint="default"/>
                <w:color w:val="auto"/>
                <w:sz w:val="24"/>
                <w:highlight w:val="none"/>
              </w:rPr>
              <w:t>产生的</w:t>
            </w:r>
            <w:r>
              <w:rPr>
                <w:rFonts w:hint="eastAsia"/>
                <w:color w:val="auto"/>
                <w:sz w:val="24"/>
                <w:highlight w:val="none"/>
                <w:lang w:val="en-US" w:eastAsia="zh-CN"/>
              </w:rPr>
              <w:t>氨和硫化氢</w:t>
            </w:r>
            <w:r>
              <w:rPr>
                <w:rFonts w:hint="default"/>
                <w:color w:val="auto"/>
                <w:sz w:val="24"/>
                <w:highlight w:val="none"/>
              </w:rPr>
              <w:t>为恶臭气体，参照张欢等在《恶臭污染评价分级方法》中基于韦伯-费希纳公式所建立的臭气强度与臭气浓度的关系，将国外臭气强度6级法与我国《恶臭污染物排放标准》（GB 14554-1993）结合（详见表4-13），该分级法以臭气强度的嗅觉感觉和实验经验为分级依据，对臭气浓度进行等级划分，提高了分级的准确程度。本项目</w:t>
            </w:r>
            <w:r>
              <w:rPr>
                <w:rFonts w:hint="eastAsia"/>
                <w:color w:val="auto"/>
                <w:sz w:val="24"/>
                <w:highlight w:val="none"/>
                <w:lang w:val="en-US" w:eastAsia="zh-CN"/>
              </w:rPr>
              <w:t>危废仓库贮存和废水处理站运行时</w:t>
            </w:r>
            <w:r>
              <w:rPr>
                <w:rFonts w:hint="default"/>
                <w:color w:val="auto"/>
                <w:sz w:val="24"/>
                <w:highlight w:val="none"/>
              </w:rPr>
              <w:t>勉强能闻到有气味（恶臭气体），但不易辨认气味性质（感觉阈值）。因此本项目恶臭强度一般在0~1级，折合臭气浓度为10~23无量纲，臭气浓度较低，对周围环境影响较小。</w:t>
            </w:r>
          </w:p>
          <w:p w14:paraId="36553E2D">
            <w:pPr>
              <w:keepNext w:val="0"/>
              <w:keepLines w:val="0"/>
              <w:pageBreakBefore w:val="0"/>
              <w:widowControl w:val="0"/>
              <w:kinsoku/>
              <w:wordWrap/>
              <w:overflowPunct/>
              <w:topLinePunct w:val="0"/>
              <w:bidi w:val="0"/>
              <w:snapToGrid/>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废气监测计划</w:t>
            </w:r>
          </w:p>
          <w:p w14:paraId="6C53A84A">
            <w:pPr>
              <w:pStyle w:val="29"/>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cs="Times New Roman"/>
                <w:color w:val="auto"/>
                <w:sz w:val="24"/>
                <w:szCs w:val="24"/>
                <w:highlight w:val="none"/>
              </w:rPr>
              <w:t>《排污单位自行监测技术指南 总则》（HJ 819-2017）</w:t>
            </w:r>
            <w:r>
              <w:rPr>
                <w:rFonts w:hint="eastAsia" w:ascii="Times New Roman" w:cs="Times New Roman"/>
                <w:color w:val="auto"/>
                <w:sz w:val="24"/>
                <w:szCs w:val="24"/>
                <w:highlight w:val="none"/>
                <w:lang w:eastAsia="zh-CN"/>
              </w:rPr>
              <w:t>、《排污单位自行监测技术指南</w:t>
            </w:r>
            <w:r>
              <w:rPr>
                <w:rFonts w:hint="eastAsia" w:ascii="Times New Roman" w:cs="Times New Roman"/>
                <w:color w:val="auto"/>
                <w:sz w:val="24"/>
                <w:szCs w:val="24"/>
                <w:highlight w:val="none"/>
                <w:lang w:val="en-US" w:eastAsia="zh-CN"/>
              </w:rPr>
              <w:t xml:space="preserve"> 涂装</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HJ 1086-2020</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排污许可证申请与核发技术规范 汽车制造业</w:t>
            </w: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xml:space="preserve">（HJ </w:t>
            </w:r>
            <w:r>
              <w:rPr>
                <w:rFonts w:hint="eastAsia" w:ascii="Times New Roman" w:hAnsi="Times New Roman" w:cs="Times New Roman"/>
                <w:color w:val="auto"/>
                <w:sz w:val="24"/>
                <w:szCs w:val="24"/>
                <w:highlight w:val="none"/>
                <w:lang w:val="en-US" w:eastAsia="zh-CN"/>
              </w:rPr>
              <w:t>971</w:t>
            </w:r>
            <w:r>
              <w:rPr>
                <w:rFonts w:hint="default" w:ascii="Times New Roman" w:hAnsi="Times New Roman" w:cs="Times New Roman"/>
                <w:color w:val="auto"/>
                <w:sz w:val="24"/>
                <w:szCs w:val="24"/>
                <w:highlight w:val="none"/>
              </w:rPr>
              <w:t>-201</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）制定并实施切实可行的环境监测计划</w:t>
            </w:r>
            <w:r>
              <w:rPr>
                <w:rFonts w:hint="eastAsia" w:asci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监测计划</w:t>
            </w:r>
            <w:r>
              <w:rPr>
                <w:rFonts w:hint="default" w:ascii="Times New Roman" w:hAnsi="Times New Roman" w:cs="Times New Roman"/>
                <w:color w:val="auto"/>
                <w:sz w:val="24"/>
                <w:szCs w:val="24"/>
                <w:highlight w:val="none"/>
                <w:lang w:val="en-US" w:eastAsia="zh-CN"/>
              </w:rPr>
              <w:t>如</w:t>
            </w:r>
            <w:r>
              <w:rPr>
                <w:rFonts w:hint="default" w:ascii="Times New Roman" w:hAnsi="Times New Roman" w:eastAsia="宋体" w:cs="Times New Roman"/>
                <w:color w:val="auto"/>
                <w:sz w:val="24"/>
                <w:szCs w:val="24"/>
                <w:highlight w:val="none"/>
              </w:rPr>
              <w:t>下表。</w:t>
            </w:r>
          </w:p>
          <w:p w14:paraId="6DF693D3">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项目废气自行监测要求表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531"/>
              <w:gridCol w:w="1106"/>
              <w:gridCol w:w="3416"/>
            </w:tblGrid>
            <w:tr w14:paraId="4DF5343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tcBorders>
                    <w:tl2br w:val="nil"/>
                    <w:tr2bl w:val="nil"/>
                  </w:tcBorders>
                  <w:vAlign w:val="center"/>
                </w:tcPr>
                <w:p w14:paraId="3A0ADA30">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监测点位</w:t>
                  </w:r>
                </w:p>
              </w:tc>
              <w:tc>
                <w:tcPr>
                  <w:tcW w:w="1332" w:type="pct"/>
                  <w:tcBorders>
                    <w:tl2br w:val="nil"/>
                    <w:tr2bl w:val="nil"/>
                  </w:tcBorders>
                  <w:vAlign w:val="center"/>
                </w:tcPr>
                <w:p w14:paraId="789CCD5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监测因子</w:t>
                  </w:r>
                </w:p>
              </w:tc>
              <w:tc>
                <w:tcPr>
                  <w:tcW w:w="582" w:type="pct"/>
                  <w:tcBorders>
                    <w:tl2br w:val="nil"/>
                    <w:tr2bl w:val="nil"/>
                  </w:tcBorders>
                  <w:vAlign w:val="center"/>
                </w:tcPr>
                <w:p w14:paraId="2F624C38">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监测频次</w:t>
                  </w:r>
                </w:p>
              </w:tc>
              <w:tc>
                <w:tcPr>
                  <w:tcW w:w="1798" w:type="pct"/>
                  <w:tcBorders>
                    <w:tl2br w:val="nil"/>
                    <w:tr2bl w:val="nil"/>
                  </w:tcBorders>
                  <w:vAlign w:val="center"/>
                </w:tcPr>
                <w:p w14:paraId="6326E2C8">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执行排放标准</w:t>
                  </w:r>
                </w:p>
              </w:tc>
            </w:tr>
            <w:tr w14:paraId="72D04A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tcBorders>
                    <w:tl2br w:val="nil"/>
                    <w:tr2bl w:val="nil"/>
                  </w:tcBorders>
                  <w:vAlign w:val="center"/>
                </w:tcPr>
                <w:p w14:paraId="5866B0BB">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DA001</w:t>
                  </w:r>
                  <w:r>
                    <w:rPr>
                      <w:rFonts w:hint="eastAsia" w:ascii="Times New Roman" w:hAnsi="Times New Roman" w:eastAsia="仿宋" w:cs="Times New Roman"/>
                      <w:color w:val="auto"/>
                      <w:sz w:val="21"/>
                      <w:szCs w:val="21"/>
                      <w:highlight w:val="none"/>
                      <w:lang w:val="en-US" w:eastAsia="zh-CN"/>
                    </w:rPr>
                    <w:t>-滤芯回收系统进口、出口（与其他废气混合排放前）</w:t>
                  </w:r>
                </w:p>
              </w:tc>
              <w:tc>
                <w:tcPr>
                  <w:tcW w:w="1332" w:type="pct"/>
                  <w:tcBorders>
                    <w:tl2br w:val="nil"/>
                    <w:tr2bl w:val="nil"/>
                  </w:tcBorders>
                  <w:vAlign w:val="center"/>
                </w:tcPr>
                <w:p w14:paraId="6579F3D9">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颗粒物</w:t>
                  </w:r>
                </w:p>
              </w:tc>
              <w:tc>
                <w:tcPr>
                  <w:tcW w:w="582" w:type="pct"/>
                  <w:vMerge w:val="restart"/>
                  <w:tcBorders>
                    <w:tl2br w:val="nil"/>
                    <w:tr2bl w:val="nil"/>
                  </w:tcBorders>
                  <w:vAlign w:val="center"/>
                </w:tcPr>
                <w:p w14:paraId="50CACCB5">
                  <w:pPr>
                    <w:pStyle w:val="31"/>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1次/年</w:t>
                  </w:r>
                </w:p>
              </w:tc>
              <w:tc>
                <w:tcPr>
                  <w:tcW w:w="1798" w:type="pct"/>
                  <w:vMerge w:val="restart"/>
                  <w:tcBorders>
                    <w:tl2br w:val="nil"/>
                    <w:tr2bl w:val="nil"/>
                  </w:tcBorders>
                  <w:vAlign w:val="center"/>
                </w:tcPr>
                <w:p w14:paraId="05E458B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《表面涂装（汽车零部件）大气污染物排放标准》（DB32/3966-2021）</w:t>
                  </w:r>
                </w:p>
              </w:tc>
            </w:tr>
            <w:tr w14:paraId="118098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restart"/>
                  <w:tcBorders>
                    <w:tl2br w:val="nil"/>
                    <w:tr2bl w:val="nil"/>
                  </w:tcBorders>
                  <w:vAlign w:val="center"/>
                </w:tcPr>
                <w:p w14:paraId="6792EE83">
                  <w:pPr>
                    <w:pStyle w:val="31"/>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DA001-碱性喷淋+干式过滤器+二级活性炭吸附装置装置进口、出口（与喷粉废气混合排放前）</w:t>
                  </w:r>
                </w:p>
              </w:tc>
              <w:tc>
                <w:tcPr>
                  <w:tcW w:w="1332" w:type="pct"/>
                  <w:tcBorders>
                    <w:tl2br w:val="nil"/>
                    <w:tr2bl w:val="nil"/>
                  </w:tcBorders>
                  <w:vAlign w:val="center"/>
                </w:tcPr>
                <w:p w14:paraId="0EF8C36A">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非甲烷总烃</w:t>
                  </w:r>
                </w:p>
              </w:tc>
              <w:tc>
                <w:tcPr>
                  <w:tcW w:w="582" w:type="pct"/>
                  <w:vMerge w:val="continue"/>
                  <w:tcBorders>
                    <w:tl2br w:val="nil"/>
                    <w:tr2bl w:val="nil"/>
                  </w:tcBorders>
                  <w:vAlign w:val="center"/>
                </w:tcPr>
                <w:p w14:paraId="0D8C9396">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6EE12FCD">
                  <w:pPr>
                    <w:pStyle w:val="31"/>
                    <w:rPr>
                      <w:rFonts w:hint="default" w:ascii="Times New Roman" w:hAnsi="Times New Roman" w:eastAsia="仿宋" w:cs="Times New Roman"/>
                      <w:color w:val="auto"/>
                      <w:sz w:val="21"/>
                      <w:szCs w:val="21"/>
                      <w:highlight w:val="none"/>
                      <w:lang w:eastAsia="zh-CN"/>
                    </w:rPr>
                  </w:pPr>
                </w:p>
              </w:tc>
            </w:tr>
            <w:tr w14:paraId="21BF5DF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63015B7E">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07A410B7">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TVOC</w:t>
                  </w:r>
                </w:p>
              </w:tc>
              <w:tc>
                <w:tcPr>
                  <w:tcW w:w="582" w:type="pct"/>
                  <w:vMerge w:val="continue"/>
                  <w:tcBorders>
                    <w:tl2br w:val="nil"/>
                    <w:tr2bl w:val="nil"/>
                  </w:tcBorders>
                  <w:vAlign w:val="center"/>
                </w:tcPr>
                <w:p w14:paraId="42A90AAB">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7501D3F5">
                  <w:pPr>
                    <w:pStyle w:val="31"/>
                    <w:rPr>
                      <w:rFonts w:hint="default" w:ascii="Times New Roman" w:hAnsi="Times New Roman" w:eastAsia="仿宋" w:cs="Times New Roman"/>
                      <w:color w:val="auto"/>
                      <w:sz w:val="21"/>
                      <w:szCs w:val="21"/>
                      <w:highlight w:val="none"/>
                      <w:lang w:eastAsia="zh-CN"/>
                    </w:rPr>
                  </w:pPr>
                </w:p>
              </w:tc>
            </w:tr>
            <w:tr w14:paraId="56EBA9A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749FE6BD">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6E57524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颗粒物</w:t>
                  </w:r>
                </w:p>
              </w:tc>
              <w:tc>
                <w:tcPr>
                  <w:tcW w:w="582" w:type="pct"/>
                  <w:vMerge w:val="continue"/>
                  <w:tcBorders>
                    <w:tl2br w:val="nil"/>
                    <w:tr2bl w:val="nil"/>
                  </w:tcBorders>
                  <w:vAlign w:val="center"/>
                </w:tcPr>
                <w:p w14:paraId="573B84D2">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340C5ACF">
                  <w:pPr>
                    <w:pStyle w:val="31"/>
                    <w:rPr>
                      <w:rFonts w:hint="default" w:ascii="Times New Roman" w:hAnsi="Times New Roman" w:eastAsia="仿宋" w:cs="Times New Roman"/>
                      <w:color w:val="auto"/>
                      <w:sz w:val="21"/>
                      <w:szCs w:val="21"/>
                      <w:highlight w:val="none"/>
                    </w:rPr>
                  </w:pPr>
                </w:p>
              </w:tc>
            </w:tr>
            <w:tr w14:paraId="57363CA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23C97D5A">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46CCD49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SO</w:t>
                  </w:r>
                  <w:r>
                    <w:rPr>
                      <w:rFonts w:hint="eastAsia" w:eastAsia="仿宋" w:cs="Times New Roman"/>
                      <w:color w:val="auto"/>
                      <w:sz w:val="21"/>
                      <w:szCs w:val="21"/>
                      <w:highlight w:val="none"/>
                      <w:vertAlign w:val="subscript"/>
                      <w:lang w:val="en-US" w:eastAsia="zh-CN"/>
                    </w:rPr>
                    <w:t>2</w:t>
                  </w:r>
                </w:p>
              </w:tc>
              <w:tc>
                <w:tcPr>
                  <w:tcW w:w="582" w:type="pct"/>
                  <w:vMerge w:val="continue"/>
                  <w:tcBorders>
                    <w:tl2br w:val="nil"/>
                    <w:tr2bl w:val="nil"/>
                  </w:tcBorders>
                  <w:vAlign w:val="center"/>
                </w:tcPr>
                <w:p w14:paraId="7D962225">
                  <w:pPr>
                    <w:pStyle w:val="31"/>
                    <w:rPr>
                      <w:rFonts w:hint="default" w:ascii="Times New Roman" w:hAnsi="Times New Roman" w:eastAsia="仿宋" w:cs="Times New Roman"/>
                      <w:color w:val="auto"/>
                      <w:sz w:val="21"/>
                      <w:szCs w:val="21"/>
                      <w:highlight w:val="none"/>
                      <w:lang w:val="en-US" w:eastAsia="zh-CN"/>
                    </w:rPr>
                  </w:pPr>
                </w:p>
              </w:tc>
              <w:tc>
                <w:tcPr>
                  <w:tcW w:w="1798" w:type="pct"/>
                  <w:vMerge w:val="restart"/>
                  <w:tcBorders>
                    <w:tl2br w:val="nil"/>
                    <w:tr2bl w:val="nil"/>
                  </w:tcBorders>
                  <w:vAlign w:val="center"/>
                </w:tcPr>
                <w:p w14:paraId="295FBBE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《工业炉窑大气污染物排放标准》</w:t>
                  </w:r>
                </w:p>
                <w:p w14:paraId="42379FA0">
                  <w:pPr>
                    <w:pStyle w:val="31"/>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（DB 32/3728-2020</w:t>
                  </w:r>
                  <w:r>
                    <w:rPr>
                      <w:rFonts w:hint="eastAsia" w:eastAsia="仿宋" w:cs="Times New Roman"/>
                      <w:color w:val="auto"/>
                      <w:sz w:val="21"/>
                      <w:szCs w:val="21"/>
                      <w:highlight w:val="none"/>
                      <w:lang w:eastAsia="zh-CN"/>
                    </w:rPr>
                    <w:t>）</w:t>
                  </w:r>
                </w:p>
              </w:tc>
            </w:tr>
            <w:tr w14:paraId="439CED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5BA085AF">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3B02C5A5">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NOx</w:t>
                  </w:r>
                </w:p>
              </w:tc>
              <w:tc>
                <w:tcPr>
                  <w:tcW w:w="582" w:type="pct"/>
                  <w:vMerge w:val="continue"/>
                  <w:tcBorders>
                    <w:tl2br w:val="nil"/>
                    <w:tr2bl w:val="nil"/>
                  </w:tcBorders>
                  <w:vAlign w:val="center"/>
                </w:tcPr>
                <w:p w14:paraId="1D2A6DAA">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7443433E">
                  <w:pPr>
                    <w:pStyle w:val="31"/>
                    <w:rPr>
                      <w:rFonts w:hint="default" w:ascii="Times New Roman" w:hAnsi="Times New Roman" w:eastAsia="仿宋" w:cs="Times New Roman"/>
                      <w:color w:val="auto"/>
                      <w:sz w:val="21"/>
                      <w:szCs w:val="21"/>
                      <w:highlight w:val="none"/>
                    </w:rPr>
                  </w:pPr>
                </w:p>
              </w:tc>
            </w:tr>
            <w:tr w14:paraId="4435D0F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514B6D39">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120F44B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烟气黑度</w:t>
                  </w:r>
                </w:p>
              </w:tc>
              <w:tc>
                <w:tcPr>
                  <w:tcW w:w="582" w:type="pct"/>
                  <w:vMerge w:val="continue"/>
                  <w:tcBorders>
                    <w:tl2br w:val="nil"/>
                    <w:tr2bl w:val="nil"/>
                  </w:tcBorders>
                  <w:vAlign w:val="center"/>
                </w:tcPr>
                <w:p w14:paraId="6882EC6C">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7EDD2F38">
                  <w:pPr>
                    <w:pStyle w:val="31"/>
                    <w:rPr>
                      <w:rFonts w:hint="default" w:ascii="Times New Roman" w:hAnsi="Times New Roman" w:eastAsia="仿宋" w:cs="Times New Roman"/>
                      <w:color w:val="auto"/>
                      <w:sz w:val="21"/>
                      <w:szCs w:val="21"/>
                      <w:highlight w:val="none"/>
                    </w:rPr>
                  </w:pPr>
                </w:p>
              </w:tc>
            </w:tr>
            <w:tr w14:paraId="64182A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pct"/>
                  <w:vMerge w:val="continue"/>
                  <w:tcBorders>
                    <w:tl2br w:val="nil"/>
                    <w:tr2bl w:val="nil"/>
                  </w:tcBorders>
                  <w:vAlign w:val="center"/>
                </w:tcPr>
                <w:p w14:paraId="40F5330E">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2B7BFB38">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硫酸雾</w:t>
                  </w:r>
                </w:p>
              </w:tc>
              <w:tc>
                <w:tcPr>
                  <w:tcW w:w="582" w:type="pct"/>
                  <w:vMerge w:val="continue"/>
                  <w:tcBorders>
                    <w:tl2br w:val="nil"/>
                    <w:tr2bl w:val="nil"/>
                  </w:tcBorders>
                  <w:vAlign w:val="center"/>
                </w:tcPr>
                <w:p w14:paraId="01AB7746">
                  <w:pPr>
                    <w:pStyle w:val="31"/>
                    <w:rPr>
                      <w:rFonts w:hint="default" w:ascii="Times New Roman" w:hAnsi="Times New Roman" w:eastAsia="仿宋" w:cs="Times New Roman"/>
                      <w:color w:val="auto"/>
                      <w:sz w:val="21"/>
                      <w:szCs w:val="21"/>
                      <w:highlight w:val="none"/>
                      <w:lang w:val="en-US" w:eastAsia="zh-CN"/>
                    </w:rPr>
                  </w:pPr>
                </w:p>
              </w:tc>
              <w:tc>
                <w:tcPr>
                  <w:tcW w:w="1798" w:type="pct"/>
                  <w:vMerge w:val="restart"/>
                  <w:tcBorders>
                    <w:tl2br w:val="nil"/>
                    <w:tr2bl w:val="nil"/>
                  </w:tcBorders>
                  <w:vAlign w:val="center"/>
                </w:tcPr>
                <w:p w14:paraId="67B3855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《大气污染物综合排放标准》（DB32/4041-2021）</w:t>
                  </w:r>
                </w:p>
              </w:tc>
            </w:tr>
            <w:tr w14:paraId="1CEF25B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vMerge w:val="continue"/>
                  <w:tcBorders>
                    <w:tl2br w:val="nil"/>
                    <w:tr2bl w:val="nil"/>
                  </w:tcBorders>
                  <w:vAlign w:val="center"/>
                </w:tcPr>
                <w:p w14:paraId="44C88DE5">
                  <w:pPr>
                    <w:pStyle w:val="31"/>
                    <w:rPr>
                      <w:rFonts w:hint="default" w:ascii="Times New Roman" w:hAnsi="Times New Roman" w:eastAsia="仿宋" w:cs="Times New Roman"/>
                      <w:bCs/>
                      <w:color w:val="auto"/>
                      <w:sz w:val="21"/>
                      <w:szCs w:val="21"/>
                      <w:highlight w:val="none"/>
                      <w:lang w:val="en-US" w:eastAsia="zh-CN"/>
                    </w:rPr>
                  </w:pPr>
                </w:p>
              </w:tc>
              <w:tc>
                <w:tcPr>
                  <w:tcW w:w="1332" w:type="pct"/>
                  <w:tcBorders>
                    <w:tl2br w:val="nil"/>
                    <w:tr2bl w:val="nil"/>
                  </w:tcBorders>
                  <w:vAlign w:val="center"/>
                </w:tcPr>
                <w:p w14:paraId="1AA2EB2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氯化氢</w:t>
                  </w:r>
                </w:p>
              </w:tc>
              <w:tc>
                <w:tcPr>
                  <w:tcW w:w="582" w:type="pct"/>
                  <w:vMerge w:val="continue"/>
                  <w:tcBorders>
                    <w:tl2br w:val="nil"/>
                    <w:tr2bl w:val="nil"/>
                  </w:tcBorders>
                  <w:vAlign w:val="center"/>
                </w:tcPr>
                <w:p w14:paraId="6DD05461">
                  <w:pPr>
                    <w:pStyle w:val="31"/>
                    <w:rPr>
                      <w:rFonts w:hint="default" w:ascii="Times New Roman" w:hAnsi="Times New Roman" w:eastAsia="仿宋" w:cs="Times New Roman"/>
                      <w:color w:val="auto"/>
                      <w:sz w:val="21"/>
                      <w:szCs w:val="21"/>
                      <w:highlight w:val="none"/>
                      <w:lang w:val="en-US" w:eastAsia="zh-CN"/>
                    </w:rPr>
                  </w:pPr>
                </w:p>
              </w:tc>
              <w:tc>
                <w:tcPr>
                  <w:tcW w:w="1798" w:type="pct"/>
                  <w:vMerge w:val="continue"/>
                  <w:tcBorders>
                    <w:tl2br w:val="nil"/>
                    <w:tr2bl w:val="nil"/>
                  </w:tcBorders>
                  <w:vAlign w:val="center"/>
                </w:tcPr>
                <w:p w14:paraId="3E44AF45">
                  <w:pPr>
                    <w:pStyle w:val="31"/>
                    <w:rPr>
                      <w:rFonts w:hint="default" w:ascii="Times New Roman" w:hAnsi="Times New Roman" w:eastAsia="仿宋" w:cs="Times New Roman"/>
                      <w:color w:val="auto"/>
                      <w:sz w:val="21"/>
                      <w:szCs w:val="21"/>
                      <w:highlight w:val="none"/>
                    </w:rPr>
                  </w:pPr>
                </w:p>
              </w:tc>
            </w:tr>
            <w:tr w14:paraId="5E8C7D4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tcBorders>
                    <w:tl2br w:val="nil"/>
                    <w:tr2bl w:val="nil"/>
                  </w:tcBorders>
                  <w:vAlign w:val="center"/>
                </w:tcPr>
                <w:p w14:paraId="2B7685F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rPr>
                    <w:t>厂界上风向1个，下风向3个点位</w:t>
                  </w:r>
                </w:p>
              </w:tc>
              <w:tc>
                <w:tcPr>
                  <w:tcW w:w="1332" w:type="pct"/>
                  <w:tcBorders>
                    <w:tl2br w:val="nil"/>
                    <w:tr2bl w:val="nil"/>
                  </w:tcBorders>
                  <w:vAlign w:val="center"/>
                </w:tcPr>
                <w:p w14:paraId="26A8A666">
                  <w:pPr>
                    <w:pStyle w:val="31"/>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颗粒物</w:t>
                  </w:r>
                  <w:r>
                    <w:rPr>
                      <w:rFonts w:hint="eastAsia" w:eastAsia="仿宋" w:cs="Times New Roman"/>
                      <w:color w:val="auto"/>
                      <w:sz w:val="21"/>
                      <w:szCs w:val="21"/>
                      <w:highlight w:val="none"/>
                      <w:lang w:val="en-US" w:eastAsia="zh-CN"/>
                    </w:rPr>
                    <w:t>、非甲烷总烃、SO</w:t>
                  </w:r>
                  <w:r>
                    <w:rPr>
                      <w:rFonts w:hint="eastAsia" w:eastAsia="仿宋" w:cs="Times New Roman"/>
                      <w:color w:val="auto"/>
                      <w:sz w:val="21"/>
                      <w:szCs w:val="21"/>
                      <w:highlight w:val="none"/>
                      <w:vertAlign w:val="subscript"/>
                      <w:lang w:val="en-US" w:eastAsia="zh-CN"/>
                    </w:rPr>
                    <w:t>2</w:t>
                  </w:r>
                  <w:r>
                    <w:rPr>
                      <w:rFonts w:hint="eastAsia" w:eastAsia="仿宋" w:cs="Times New Roman"/>
                      <w:color w:val="auto"/>
                      <w:sz w:val="21"/>
                      <w:szCs w:val="21"/>
                      <w:highlight w:val="none"/>
                      <w:lang w:val="en-US" w:eastAsia="zh-CN"/>
                    </w:rPr>
                    <w:t>、NOx、硫酸雾、氯化氢、氨、硫化氢、臭气浓度</w:t>
                  </w:r>
                </w:p>
              </w:tc>
              <w:tc>
                <w:tcPr>
                  <w:tcW w:w="582" w:type="pct"/>
                  <w:tcBorders>
                    <w:tl2br w:val="nil"/>
                    <w:tr2bl w:val="nil"/>
                  </w:tcBorders>
                  <w:vAlign w:val="center"/>
                </w:tcPr>
                <w:p w14:paraId="7DEA2AD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1次/</w:t>
                  </w:r>
                  <w:r>
                    <w:rPr>
                      <w:rFonts w:hint="eastAsia" w:eastAsia="仿宋" w:cs="Times New Roman"/>
                      <w:color w:val="auto"/>
                      <w:sz w:val="21"/>
                      <w:szCs w:val="21"/>
                      <w:highlight w:val="none"/>
                      <w:lang w:val="en-US" w:eastAsia="zh-CN"/>
                    </w:rPr>
                    <w:t>半年</w:t>
                  </w:r>
                </w:p>
              </w:tc>
              <w:tc>
                <w:tcPr>
                  <w:tcW w:w="1798" w:type="pct"/>
                  <w:tcBorders>
                    <w:tl2br w:val="nil"/>
                    <w:tr2bl w:val="nil"/>
                  </w:tcBorders>
                  <w:vAlign w:val="center"/>
                </w:tcPr>
                <w:p w14:paraId="0739C51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《大气污染物综合排放标准》（DB32/4041-2021）</w:t>
                  </w:r>
                </w:p>
              </w:tc>
            </w:tr>
            <w:tr w14:paraId="3962FF9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pct"/>
                  <w:tcBorders>
                    <w:tl2br w:val="nil"/>
                    <w:tr2bl w:val="nil"/>
                  </w:tcBorders>
                  <w:vAlign w:val="center"/>
                </w:tcPr>
                <w:p w14:paraId="663FE8AF">
                  <w:pPr>
                    <w:pStyle w:val="31"/>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厂区内车间外</w:t>
                  </w:r>
                </w:p>
              </w:tc>
              <w:tc>
                <w:tcPr>
                  <w:tcW w:w="1332" w:type="pct"/>
                  <w:tcBorders>
                    <w:tl2br w:val="nil"/>
                    <w:tr2bl w:val="nil"/>
                  </w:tcBorders>
                  <w:vAlign w:val="center"/>
                </w:tcPr>
                <w:p w14:paraId="0BCE900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非甲烷总烃</w:t>
                  </w:r>
                </w:p>
              </w:tc>
              <w:tc>
                <w:tcPr>
                  <w:tcW w:w="582" w:type="pct"/>
                  <w:tcBorders>
                    <w:tl2br w:val="nil"/>
                    <w:tr2bl w:val="nil"/>
                  </w:tcBorders>
                  <w:vAlign w:val="center"/>
                </w:tcPr>
                <w:p w14:paraId="405437E2">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1次/年</w:t>
                  </w:r>
                </w:p>
              </w:tc>
              <w:tc>
                <w:tcPr>
                  <w:tcW w:w="1798" w:type="pct"/>
                  <w:tcBorders>
                    <w:tl2br w:val="nil"/>
                    <w:tr2bl w:val="nil"/>
                  </w:tcBorders>
                  <w:vAlign w:val="center"/>
                </w:tcPr>
                <w:p w14:paraId="52E24CC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《表面涂装（汽车零部件）大气污染物排放标准》（DB32/3966-2021）</w:t>
                  </w:r>
                </w:p>
              </w:tc>
            </w:tr>
          </w:tbl>
          <w:p w14:paraId="6ACDA20A">
            <w:pPr>
              <w:adjustRightInd w:val="0"/>
              <w:snapToGrid w:val="0"/>
              <w:spacing w:line="360" w:lineRule="auto"/>
              <w:rPr>
                <w:b/>
                <w:color w:val="auto"/>
                <w:sz w:val="24"/>
                <w:szCs w:val="24"/>
                <w:highlight w:val="none"/>
              </w:rPr>
            </w:pPr>
            <w:r>
              <w:rPr>
                <w:rFonts w:hint="eastAsia"/>
                <w:b/>
                <w:color w:val="auto"/>
                <w:sz w:val="24"/>
                <w:szCs w:val="24"/>
                <w:highlight w:val="none"/>
                <w:lang w:val="en-US" w:eastAsia="zh-CN"/>
              </w:rPr>
              <w:t>2、</w:t>
            </w:r>
            <w:r>
              <w:rPr>
                <w:b/>
                <w:color w:val="auto"/>
                <w:sz w:val="24"/>
                <w:szCs w:val="24"/>
                <w:highlight w:val="none"/>
              </w:rPr>
              <w:t>废水</w:t>
            </w:r>
          </w:p>
          <w:p w14:paraId="2EF2F48E">
            <w:pPr>
              <w:adjustRightInd w:val="0"/>
              <w:snapToGrid w:val="0"/>
              <w:spacing w:line="360" w:lineRule="auto"/>
              <w:rPr>
                <w:rFonts w:hint="default"/>
                <w:b/>
                <w:color w:val="auto"/>
                <w:sz w:val="24"/>
                <w:szCs w:val="24"/>
                <w:highlight w:val="none"/>
                <w:lang w:val="en-US" w:eastAsia="zh-CN"/>
              </w:rPr>
            </w:pPr>
            <w:r>
              <w:rPr>
                <w:rFonts w:hint="eastAsia"/>
                <w:b/>
                <w:color w:val="auto"/>
                <w:sz w:val="24"/>
                <w:szCs w:val="24"/>
                <w:highlight w:val="none"/>
                <w:lang w:val="en-US" w:eastAsia="zh-CN"/>
              </w:rPr>
              <w:t>2.1  产污环节</w:t>
            </w:r>
          </w:p>
          <w:p w14:paraId="3B916926">
            <w:pPr>
              <w:spacing w:line="360" w:lineRule="auto"/>
              <w:ind w:firstLine="480" w:firstLineChars="200"/>
              <w:rPr>
                <w:rFonts w:hint="eastAsia"/>
                <w:color w:val="auto"/>
                <w:kern w:val="0"/>
                <w:sz w:val="24"/>
                <w:szCs w:val="24"/>
                <w:highlight w:val="none"/>
                <w:lang w:val="en-US" w:eastAsia="zh-CN"/>
              </w:rPr>
            </w:pPr>
            <w:r>
              <w:rPr>
                <w:rFonts w:hint="eastAsia"/>
                <w:color w:val="auto"/>
                <w:kern w:val="0"/>
                <w:sz w:val="24"/>
                <w:szCs w:val="24"/>
                <w:highlight w:val="none"/>
              </w:rPr>
              <w:t>本项目生产过程中的废水主要为</w:t>
            </w:r>
            <w:r>
              <w:rPr>
                <w:rFonts w:hint="eastAsia"/>
                <w:color w:val="auto"/>
                <w:kern w:val="0"/>
                <w:sz w:val="24"/>
                <w:szCs w:val="24"/>
                <w:highlight w:val="none"/>
                <w:lang w:val="en-US" w:eastAsia="zh-CN"/>
              </w:rPr>
              <w:t>生产废水、地面清洗废水、纯水制备浓水。</w:t>
            </w:r>
          </w:p>
          <w:p w14:paraId="0044C21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项目</w:t>
            </w:r>
            <w:r>
              <w:rPr>
                <w:rFonts w:hint="eastAsia" w:cs="Times New Roman"/>
                <w:b/>
                <w:color w:val="auto"/>
                <w:kern w:val="0"/>
                <w:sz w:val="24"/>
                <w:szCs w:val="24"/>
                <w:highlight w:val="none"/>
                <w:lang w:val="en-US" w:eastAsia="zh-CN"/>
              </w:rPr>
              <w:t>废水源强核算</w:t>
            </w:r>
            <w:r>
              <w:rPr>
                <w:rFonts w:hint="default" w:cs="Times New Roman"/>
                <w:b/>
                <w:color w:val="auto"/>
                <w:kern w:val="0"/>
                <w:sz w:val="24"/>
                <w:szCs w:val="24"/>
                <w:highlight w:val="none"/>
                <w:lang w:val="en-US" w:eastAsia="zh-CN"/>
              </w:rPr>
              <w:t>表</w:t>
            </w:r>
          </w:p>
          <w:tbl>
            <w:tblPr>
              <w:tblStyle w:val="21"/>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49"/>
              <w:gridCol w:w="1056"/>
              <w:gridCol w:w="955"/>
              <w:gridCol w:w="3080"/>
              <w:gridCol w:w="3119"/>
            </w:tblGrid>
            <w:tr w14:paraId="149B3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5" w:type="dxa"/>
                  <w:gridSpan w:val="2"/>
                  <w:tcBorders>
                    <w:tl2br w:val="nil"/>
                    <w:tr2bl w:val="nil"/>
                  </w:tcBorders>
                  <w:vAlign w:val="center"/>
                </w:tcPr>
                <w:p w14:paraId="3D39FD99">
                  <w:pPr>
                    <w:pStyle w:val="31"/>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产污工序</w:t>
                  </w:r>
                </w:p>
              </w:tc>
              <w:tc>
                <w:tcPr>
                  <w:tcW w:w="1056" w:type="dxa"/>
                  <w:tcBorders>
                    <w:tl2br w:val="nil"/>
                    <w:tr2bl w:val="nil"/>
                  </w:tcBorders>
                  <w:vAlign w:val="center"/>
                </w:tcPr>
                <w:p w14:paraId="7F6F2A04">
                  <w:pPr>
                    <w:pStyle w:val="31"/>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污染源</w:t>
                  </w:r>
                </w:p>
              </w:tc>
              <w:tc>
                <w:tcPr>
                  <w:tcW w:w="955" w:type="dxa"/>
                  <w:tcBorders>
                    <w:tl2br w:val="nil"/>
                    <w:tr2bl w:val="nil"/>
                  </w:tcBorders>
                  <w:vAlign w:val="center"/>
                </w:tcPr>
                <w:p w14:paraId="67553864">
                  <w:pPr>
                    <w:pStyle w:val="31"/>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废水编号</w:t>
                  </w:r>
                </w:p>
              </w:tc>
              <w:tc>
                <w:tcPr>
                  <w:tcW w:w="3080" w:type="dxa"/>
                  <w:tcBorders>
                    <w:tl2br w:val="nil"/>
                    <w:tr2bl w:val="nil"/>
                  </w:tcBorders>
                  <w:vAlign w:val="center"/>
                </w:tcPr>
                <w:p w14:paraId="6B5C20DD">
                  <w:pPr>
                    <w:pStyle w:val="31"/>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污染物核算因子</w:t>
                  </w:r>
                </w:p>
              </w:tc>
              <w:tc>
                <w:tcPr>
                  <w:tcW w:w="3119" w:type="dxa"/>
                  <w:tcBorders>
                    <w:tl2br w:val="nil"/>
                    <w:tr2bl w:val="nil"/>
                  </w:tcBorders>
                  <w:vAlign w:val="center"/>
                </w:tcPr>
                <w:p w14:paraId="195A7355">
                  <w:pPr>
                    <w:pStyle w:val="31"/>
                    <w:jc w:val="center"/>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去向</w:t>
                  </w:r>
                </w:p>
              </w:tc>
            </w:tr>
            <w:tr w14:paraId="58746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restart"/>
                  <w:tcBorders>
                    <w:tl2br w:val="nil"/>
                    <w:tr2bl w:val="nil"/>
                  </w:tcBorders>
                  <w:vAlign w:val="center"/>
                </w:tcPr>
                <w:p w14:paraId="7A47F451">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电泳线</w:t>
                  </w:r>
                </w:p>
              </w:tc>
              <w:tc>
                <w:tcPr>
                  <w:tcW w:w="849" w:type="dxa"/>
                  <w:vMerge w:val="restart"/>
                  <w:tcBorders>
                    <w:tl2br w:val="nil"/>
                    <w:tr2bl w:val="nil"/>
                  </w:tcBorders>
                  <w:vAlign w:val="center"/>
                </w:tcPr>
                <w:p w14:paraId="1B33D3CC">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脱脂段</w:t>
                  </w:r>
                </w:p>
              </w:tc>
              <w:tc>
                <w:tcPr>
                  <w:tcW w:w="1056" w:type="dxa"/>
                  <w:tcBorders>
                    <w:tl2br w:val="nil"/>
                    <w:tr2bl w:val="nil"/>
                  </w:tcBorders>
                  <w:vAlign w:val="center"/>
                </w:tcPr>
                <w:p w14:paraId="660A2B0E">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热脱脂槽</w:t>
                  </w:r>
                </w:p>
              </w:tc>
              <w:tc>
                <w:tcPr>
                  <w:tcW w:w="955" w:type="dxa"/>
                  <w:tcBorders>
                    <w:tl2br w:val="nil"/>
                    <w:tr2bl w:val="nil"/>
                  </w:tcBorders>
                  <w:vAlign w:val="center"/>
                </w:tcPr>
                <w:p w14:paraId="0C070898">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W1-1</w:t>
                  </w:r>
                </w:p>
              </w:tc>
              <w:tc>
                <w:tcPr>
                  <w:tcW w:w="3080" w:type="dxa"/>
                  <w:tcBorders>
                    <w:tl2br w:val="nil"/>
                    <w:tr2bl w:val="nil"/>
                  </w:tcBorders>
                  <w:vAlign w:val="center"/>
                </w:tcPr>
                <w:p w14:paraId="1261F807">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pH、COD、SS、石油类、LAS</w:t>
                  </w:r>
                </w:p>
              </w:tc>
              <w:tc>
                <w:tcPr>
                  <w:tcW w:w="3119" w:type="dxa"/>
                  <w:tcBorders>
                    <w:tl2br w:val="nil"/>
                    <w:tr2bl w:val="nil"/>
                  </w:tcBorders>
                  <w:vAlign w:val="center"/>
                </w:tcPr>
                <w:p w14:paraId="4D3342E4">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0AB38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46712D07">
                  <w:pPr>
                    <w:pStyle w:val="31"/>
                    <w:jc w:val="center"/>
                    <w:rPr>
                      <w:rFonts w:hint="eastAsia"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408ED615">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42492B2C">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纯水洗槽</w:t>
                  </w:r>
                </w:p>
              </w:tc>
              <w:tc>
                <w:tcPr>
                  <w:tcW w:w="955" w:type="dxa"/>
                  <w:tcBorders>
                    <w:tl2br w:val="nil"/>
                    <w:tr2bl w:val="nil"/>
                  </w:tcBorders>
                  <w:vAlign w:val="center"/>
                </w:tcPr>
                <w:p w14:paraId="13301326">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W1-2</w:t>
                  </w:r>
                </w:p>
              </w:tc>
              <w:tc>
                <w:tcPr>
                  <w:tcW w:w="3080" w:type="dxa"/>
                  <w:tcBorders>
                    <w:tl2br w:val="nil"/>
                    <w:tr2bl w:val="nil"/>
                  </w:tcBorders>
                  <w:vAlign w:val="center"/>
                </w:tcPr>
                <w:p w14:paraId="0443B75A">
                  <w:pPr>
                    <w:pStyle w:val="31"/>
                    <w:jc w:val="center"/>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pH、COD、SS、石油类、LAS</w:t>
                  </w:r>
                </w:p>
              </w:tc>
              <w:tc>
                <w:tcPr>
                  <w:tcW w:w="3119" w:type="dxa"/>
                  <w:tcBorders>
                    <w:tl2br w:val="nil"/>
                    <w:tr2bl w:val="nil"/>
                  </w:tcBorders>
                  <w:vAlign w:val="center"/>
                </w:tcPr>
                <w:p w14:paraId="011A9C97">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28C5E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4C9EBFA2">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6F9C84A5">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酸洗段</w:t>
                  </w:r>
                </w:p>
              </w:tc>
              <w:tc>
                <w:tcPr>
                  <w:tcW w:w="1056" w:type="dxa"/>
                  <w:tcBorders>
                    <w:tl2br w:val="nil"/>
                    <w:tr2bl w:val="nil"/>
                  </w:tcBorders>
                  <w:vAlign w:val="center"/>
                </w:tcPr>
                <w:p w14:paraId="383320EA">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酸洗槽</w:t>
                  </w:r>
                </w:p>
              </w:tc>
              <w:tc>
                <w:tcPr>
                  <w:tcW w:w="955" w:type="dxa"/>
                  <w:tcBorders>
                    <w:tl2br w:val="nil"/>
                    <w:tr2bl w:val="nil"/>
                  </w:tcBorders>
                  <w:vAlign w:val="center"/>
                </w:tcPr>
                <w:p w14:paraId="305433FB">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W2-1</w:t>
                  </w:r>
                </w:p>
              </w:tc>
              <w:tc>
                <w:tcPr>
                  <w:tcW w:w="3080" w:type="dxa"/>
                  <w:tcBorders>
                    <w:tl2br w:val="nil"/>
                    <w:tr2bl w:val="nil"/>
                  </w:tcBorders>
                  <w:vAlign w:val="center"/>
                </w:tcPr>
                <w:p w14:paraId="1A0EE1EA">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0EEDA168">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6AF5C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6B199B6F">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56B0DE9A">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23046B23">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纯水洗槽</w:t>
                  </w:r>
                </w:p>
              </w:tc>
              <w:tc>
                <w:tcPr>
                  <w:tcW w:w="955" w:type="dxa"/>
                  <w:tcBorders>
                    <w:tl2br w:val="nil"/>
                    <w:tr2bl w:val="nil"/>
                  </w:tcBorders>
                  <w:vAlign w:val="center"/>
                </w:tcPr>
                <w:p w14:paraId="2D43C987">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W2-2</w:t>
                  </w:r>
                </w:p>
              </w:tc>
              <w:tc>
                <w:tcPr>
                  <w:tcW w:w="3080" w:type="dxa"/>
                  <w:tcBorders>
                    <w:tl2br w:val="nil"/>
                    <w:tr2bl w:val="nil"/>
                  </w:tcBorders>
                  <w:vAlign w:val="center"/>
                </w:tcPr>
                <w:p w14:paraId="169EF70F">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543E8C6C">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138BC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12DD8125">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6089185E">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中和段</w:t>
                  </w:r>
                </w:p>
              </w:tc>
              <w:tc>
                <w:tcPr>
                  <w:tcW w:w="1056" w:type="dxa"/>
                  <w:tcBorders>
                    <w:tl2br w:val="nil"/>
                    <w:tr2bl w:val="nil"/>
                  </w:tcBorders>
                  <w:vAlign w:val="center"/>
                </w:tcPr>
                <w:p w14:paraId="1BC24A1A">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中和槽</w:t>
                  </w:r>
                </w:p>
              </w:tc>
              <w:tc>
                <w:tcPr>
                  <w:tcW w:w="955" w:type="dxa"/>
                  <w:tcBorders>
                    <w:tl2br w:val="nil"/>
                    <w:tr2bl w:val="nil"/>
                  </w:tcBorders>
                  <w:vAlign w:val="center"/>
                </w:tcPr>
                <w:p w14:paraId="264E4B5C">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W3-1</w:t>
                  </w:r>
                </w:p>
              </w:tc>
              <w:tc>
                <w:tcPr>
                  <w:tcW w:w="3080" w:type="dxa"/>
                  <w:tcBorders>
                    <w:tl2br w:val="nil"/>
                    <w:tr2bl w:val="nil"/>
                  </w:tcBorders>
                  <w:vAlign w:val="center"/>
                </w:tcPr>
                <w:p w14:paraId="39050FCD">
                  <w:pPr>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5E7190B7">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38744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6C0396D5">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0EA08CCE">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0C908717">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纯水洗槽</w:t>
                  </w:r>
                </w:p>
              </w:tc>
              <w:tc>
                <w:tcPr>
                  <w:tcW w:w="955" w:type="dxa"/>
                  <w:tcBorders>
                    <w:tl2br w:val="nil"/>
                    <w:tr2bl w:val="nil"/>
                  </w:tcBorders>
                  <w:vAlign w:val="center"/>
                </w:tcPr>
                <w:p w14:paraId="52752910">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W3-2</w:t>
                  </w:r>
                </w:p>
              </w:tc>
              <w:tc>
                <w:tcPr>
                  <w:tcW w:w="3080" w:type="dxa"/>
                  <w:tcBorders>
                    <w:tl2br w:val="nil"/>
                    <w:tr2bl w:val="nil"/>
                  </w:tcBorders>
                  <w:vAlign w:val="center"/>
                </w:tcPr>
                <w:p w14:paraId="0AE56C9B">
                  <w:pPr>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6D646FEE">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0D94D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56DD8392">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6E341242">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硅烷段</w:t>
                  </w:r>
                </w:p>
              </w:tc>
              <w:tc>
                <w:tcPr>
                  <w:tcW w:w="1056" w:type="dxa"/>
                  <w:tcBorders>
                    <w:tl2br w:val="nil"/>
                    <w:tr2bl w:val="nil"/>
                  </w:tcBorders>
                  <w:vAlign w:val="center"/>
                </w:tcPr>
                <w:p w14:paraId="6C9233C0">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硅烷槽</w:t>
                  </w:r>
                </w:p>
              </w:tc>
              <w:tc>
                <w:tcPr>
                  <w:tcW w:w="955" w:type="dxa"/>
                  <w:tcBorders>
                    <w:tl2br w:val="nil"/>
                    <w:tr2bl w:val="nil"/>
                  </w:tcBorders>
                  <w:vAlign w:val="center"/>
                </w:tcPr>
                <w:p w14:paraId="3858CCDB">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W4-1</w:t>
                  </w:r>
                </w:p>
              </w:tc>
              <w:tc>
                <w:tcPr>
                  <w:tcW w:w="3080" w:type="dxa"/>
                  <w:tcBorders>
                    <w:tl2br w:val="nil"/>
                    <w:tr2bl w:val="nil"/>
                  </w:tcBorders>
                  <w:vAlign w:val="center"/>
                </w:tcPr>
                <w:p w14:paraId="0D84B928">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332EE252">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7A0DF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A8F35A8">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52811D7B">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178057E3">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纯水洗槽</w:t>
                  </w:r>
                </w:p>
              </w:tc>
              <w:tc>
                <w:tcPr>
                  <w:tcW w:w="955" w:type="dxa"/>
                  <w:tcBorders>
                    <w:tl2br w:val="nil"/>
                    <w:tr2bl w:val="nil"/>
                  </w:tcBorders>
                  <w:vAlign w:val="center"/>
                </w:tcPr>
                <w:p w14:paraId="0B41BDEF">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W4-2</w:t>
                  </w:r>
                </w:p>
              </w:tc>
              <w:tc>
                <w:tcPr>
                  <w:tcW w:w="3080" w:type="dxa"/>
                  <w:tcBorders>
                    <w:tl2br w:val="nil"/>
                    <w:tr2bl w:val="nil"/>
                  </w:tcBorders>
                  <w:vAlign w:val="center"/>
                </w:tcPr>
                <w:p w14:paraId="1952089B">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6636DA61">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6BE71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562BC1EC">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74A010ED">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电泳段</w:t>
                  </w:r>
                </w:p>
              </w:tc>
              <w:tc>
                <w:tcPr>
                  <w:tcW w:w="1056" w:type="dxa"/>
                  <w:tcBorders>
                    <w:tl2br w:val="nil"/>
                    <w:tr2bl w:val="nil"/>
                  </w:tcBorders>
                  <w:vAlign w:val="center"/>
                </w:tcPr>
                <w:p w14:paraId="1820A769">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电泳槽</w:t>
                  </w:r>
                </w:p>
              </w:tc>
              <w:tc>
                <w:tcPr>
                  <w:tcW w:w="955" w:type="dxa"/>
                  <w:tcBorders>
                    <w:tl2br w:val="nil"/>
                    <w:tr2bl w:val="nil"/>
                  </w:tcBorders>
                  <w:vAlign w:val="center"/>
                </w:tcPr>
                <w:p w14:paraId="175E160E">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W5-1</w:t>
                  </w:r>
                </w:p>
              </w:tc>
              <w:tc>
                <w:tcPr>
                  <w:tcW w:w="3080" w:type="dxa"/>
                  <w:tcBorders>
                    <w:tl2br w:val="nil"/>
                    <w:tr2bl w:val="nil"/>
                  </w:tcBorders>
                  <w:vAlign w:val="center"/>
                </w:tcPr>
                <w:p w14:paraId="742EBF33">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pH、COD、SS、TP、氨氮、TN</w:t>
                  </w:r>
                </w:p>
              </w:tc>
              <w:tc>
                <w:tcPr>
                  <w:tcW w:w="3119" w:type="dxa"/>
                  <w:tcBorders>
                    <w:tl2br w:val="nil"/>
                    <w:tr2bl w:val="nil"/>
                  </w:tcBorders>
                  <w:vAlign w:val="center"/>
                </w:tcPr>
                <w:p w14:paraId="39949B7D">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电泳废水预处理设施+综合废水处理设施</w:t>
                  </w:r>
                </w:p>
              </w:tc>
            </w:tr>
            <w:tr w14:paraId="23398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2627FF85">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7C3B17DA">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572B89E1">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回收槽</w:t>
                  </w:r>
                </w:p>
              </w:tc>
              <w:tc>
                <w:tcPr>
                  <w:tcW w:w="955" w:type="dxa"/>
                  <w:tcBorders>
                    <w:tl2br w:val="nil"/>
                    <w:tr2bl w:val="nil"/>
                  </w:tcBorders>
                  <w:vAlign w:val="center"/>
                </w:tcPr>
                <w:p w14:paraId="6B8CB388">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W5-2</w:t>
                  </w:r>
                </w:p>
              </w:tc>
              <w:tc>
                <w:tcPr>
                  <w:tcW w:w="3080" w:type="dxa"/>
                  <w:tcBorders>
                    <w:tl2br w:val="nil"/>
                    <w:tr2bl w:val="nil"/>
                  </w:tcBorders>
                  <w:vAlign w:val="center"/>
                </w:tcPr>
                <w:p w14:paraId="02491DE1">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pH、COD、SS、TP、氨氮、TN</w:t>
                  </w:r>
                </w:p>
              </w:tc>
              <w:tc>
                <w:tcPr>
                  <w:tcW w:w="3119" w:type="dxa"/>
                  <w:tcBorders>
                    <w:tl2br w:val="nil"/>
                    <w:tr2bl w:val="nil"/>
                  </w:tcBorders>
                  <w:vAlign w:val="center"/>
                </w:tcPr>
                <w:p w14:paraId="08C4860B">
                  <w:pPr>
                    <w:pStyle w:val="31"/>
                    <w:jc w:val="center"/>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电泳废水预处理设施+综合废水处理设施</w:t>
                  </w:r>
                </w:p>
              </w:tc>
            </w:tr>
            <w:tr w14:paraId="6EA6E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4EF79CC4">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13A1B079">
                  <w:pPr>
                    <w:pStyle w:val="31"/>
                    <w:jc w:val="center"/>
                    <w:rPr>
                      <w:rFonts w:hint="eastAsia" w:ascii="Times New Roman" w:hAnsi="Times New Roman" w:eastAsia="仿宋" w:cs="Times New Roman"/>
                      <w:bCs/>
                      <w:color w:val="auto"/>
                      <w:sz w:val="21"/>
                      <w:szCs w:val="21"/>
                      <w:highlight w:val="none"/>
                      <w:lang w:val="en-US" w:eastAsia="zh-CN"/>
                    </w:rPr>
                  </w:pPr>
                </w:p>
              </w:tc>
              <w:tc>
                <w:tcPr>
                  <w:tcW w:w="1056" w:type="dxa"/>
                  <w:tcBorders>
                    <w:tl2br w:val="nil"/>
                    <w:tr2bl w:val="nil"/>
                  </w:tcBorders>
                  <w:vAlign w:val="center"/>
                </w:tcPr>
                <w:p w14:paraId="3E154030">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纯水洗槽</w:t>
                  </w:r>
                </w:p>
              </w:tc>
              <w:tc>
                <w:tcPr>
                  <w:tcW w:w="955" w:type="dxa"/>
                  <w:tcBorders>
                    <w:tl2br w:val="nil"/>
                    <w:tr2bl w:val="nil"/>
                  </w:tcBorders>
                  <w:vAlign w:val="center"/>
                </w:tcPr>
                <w:p w14:paraId="7458E398">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W5-3</w:t>
                  </w:r>
                </w:p>
              </w:tc>
              <w:tc>
                <w:tcPr>
                  <w:tcW w:w="3080" w:type="dxa"/>
                  <w:tcBorders>
                    <w:tl2br w:val="nil"/>
                    <w:tr2bl w:val="nil"/>
                  </w:tcBorders>
                  <w:vAlign w:val="center"/>
                </w:tcPr>
                <w:p w14:paraId="75CCF9A3">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pH、COD、SS、TP、氨氮、TN</w:t>
                  </w:r>
                </w:p>
              </w:tc>
              <w:tc>
                <w:tcPr>
                  <w:tcW w:w="3119" w:type="dxa"/>
                  <w:tcBorders>
                    <w:tl2br w:val="nil"/>
                    <w:tr2bl w:val="nil"/>
                  </w:tcBorders>
                  <w:vAlign w:val="center"/>
                </w:tcPr>
                <w:p w14:paraId="574AF3B3">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197D2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71AC7087">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tcBorders>
                    <w:tl2br w:val="nil"/>
                    <w:tr2bl w:val="nil"/>
                  </w:tcBorders>
                  <w:vAlign w:val="center"/>
                </w:tcPr>
                <w:p w14:paraId="1C21F186">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超滤装置</w:t>
                  </w:r>
                </w:p>
              </w:tc>
              <w:tc>
                <w:tcPr>
                  <w:tcW w:w="1056" w:type="dxa"/>
                  <w:tcBorders>
                    <w:tl2br w:val="nil"/>
                    <w:tr2bl w:val="nil"/>
                  </w:tcBorders>
                  <w:vAlign w:val="center"/>
                </w:tcPr>
                <w:p w14:paraId="709306AA">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超滤</w:t>
                  </w:r>
                </w:p>
              </w:tc>
              <w:tc>
                <w:tcPr>
                  <w:tcW w:w="955" w:type="dxa"/>
                  <w:tcBorders>
                    <w:tl2br w:val="nil"/>
                    <w:tr2bl w:val="nil"/>
                  </w:tcBorders>
                  <w:vAlign w:val="center"/>
                </w:tcPr>
                <w:p w14:paraId="07096237">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W6</w:t>
                  </w:r>
                </w:p>
              </w:tc>
              <w:tc>
                <w:tcPr>
                  <w:tcW w:w="3080" w:type="dxa"/>
                  <w:tcBorders>
                    <w:tl2br w:val="nil"/>
                    <w:tr2bl w:val="nil"/>
                  </w:tcBorders>
                  <w:vAlign w:val="center"/>
                </w:tcPr>
                <w:p w14:paraId="74FE1D06">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pH、COD、SS、TP、氨氮、TN</w:t>
                  </w:r>
                </w:p>
              </w:tc>
              <w:tc>
                <w:tcPr>
                  <w:tcW w:w="3119" w:type="dxa"/>
                  <w:tcBorders>
                    <w:tl2br w:val="nil"/>
                    <w:tr2bl w:val="nil"/>
                  </w:tcBorders>
                  <w:vAlign w:val="center"/>
                </w:tcPr>
                <w:p w14:paraId="4E43C353">
                  <w:pPr>
                    <w:pStyle w:val="31"/>
                    <w:jc w:val="center"/>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74236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7B1107CF">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tcBorders>
                    <w:tl2br w:val="nil"/>
                    <w:tr2bl w:val="nil"/>
                  </w:tcBorders>
                  <w:vAlign w:val="center"/>
                </w:tcPr>
                <w:p w14:paraId="5BF52E50">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切水段</w:t>
                  </w:r>
                </w:p>
              </w:tc>
              <w:tc>
                <w:tcPr>
                  <w:tcW w:w="1056" w:type="dxa"/>
                  <w:tcBorders>
                    <w:tl2br w:val="nil"/>
                    <w:tr2bl w:val="nil"/>
                  </w:tcBorders>
                  <w:vAlign w:val="center"/>
                </w:tcPr>
                <w:p w14:paraId="0630AA57">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切水槽</w:t>
                  </w:r>
                </w:p>
              </w:tc>
              <w:tc>
                <w:tcPr>
                  <w:tcW w:w="955" w:type="dxa"/>
                  <w:tcBorders>
                    <w:tl2br w:val="nil"/>
                    <w:tr2bl w:val="nil"/>
                  </w:tcBorders>
                  <w:vAlign w:val="center"/>
                </w:tcPr>
                <w:p w14:paraId="7D4C5968">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W7</w:t>
                  </w:r>
                </w:p>
              </w:tc>
              <w:tc>
                <w:tcPr>
                  <w:tcW w:w="3080" w:type="dxa"/>
                  <w:tcBorders>
                    <w:tl2br w:val="nil"/>
                    <w:tr2bl w:val="nil"/>
                  </w:tcBorders>
                  <w:vAlign w:val="center"/>
                </w:tcPr>
                <w:p w14:paraId="6FBF8DBF">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004B6B17">
                  <w:pPr>
                    <w:pStyle w:val="31"/>
                    <w:jc w:val="center"/>
                    <w:rPr>
                      <w:rFonts w:hint="eastAsia"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2CFE0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restart"/>
                  <w:tcBorders>
                    <w:tl2br w:val="nil"/>
                    <w:tr2bl w:val="nil"/>
                  </w:tcBorders>
                  <w:vAlign w:val="center"/>
                </w:tcPr>
                <w:p w14:paraId="59480FCD">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喷粉前处理</w:t>
                  </w:r>
                </w:p>
              </w:tc>
              <w:tc>
                <w:tcPr>
                  <w:tcW w:w="849" w:type="dxa"/>
                  <w:vMerge w:val="restart"/>
                  <w:tcBorders>
                    <w:tl2br w:val="nil"/>
                    <w:tr2bl w:val="nil"/>
                  </w:tcBorders>
                  <w:vAlign w:val="center"/>
                </w:tcPr>
                <w:p w14:paraId="016F1DF3">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脱脂段</w:t>
                  </w:r>
                </w:p>
              </w:tc>
              <w:tc>
                <w:tcPr>
                  <w:tcW w:w="1056" w:type="dxa"/>
                  <w:tcBorders>
                    <w:tl2br w:val="nil"/>
                    <w:tr2bl w:val="nil"/>
                  </w:tcBorders>
                  <w:vAlign w:val="center"/>
                </w:tcPr>
                <w:p w14:paraId="34840600">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热脱脂槽</w:t>
                  </w:r>
                </w:p>
              </w:tc>
              <w:tc>
                <w:tcPr>
                  <w:tcW w:w="955" w:type="dxa"/>
                  <w:tcBorders>
                    <w:tl2br w:val="nil"/>
                    <w:tr2bl w:val="nil"/>
                  </w:tcBorders>
                  <w:shd w:val="clear" w:color="auto" w:fill="auto"/>
                  <w:vAlign w:val="center"/>
                </w:tcPr>
                <w:p w14:paraId="6FE613EB">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W1-3</w:t>
                  </w:r>
                </w:p>
              </w:tc>
              <w:tc>
                <w:tcPr>
                  <w:tcW w:w="3080" w:type="dxa"/>
                  <w:tcBorders>
                    <w:tl2br w:val="nil"/>
                    <w:tr2bl w:val="nil"/>
                  </w:tcBorders>
                  <w:vAlign w:val="center"/>
                </w:tcPr>
                <w:p w14:paraId="4074209F">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pH、COD、SS、石油类、LAS</w:t>
                  </w:r>
                </w:p>
              </w:tc>
              <w:tc>
                <w:tcPr>
                  <w:tcW w:w="3119" w:type="dxa"/>
                  <w:tcBorders>
                    <w:tl2br w:val="nil"/>
                    <w:tr2bl w:val="nil"/>
                  </w:tcBorders>
                  <w:shd w:val="clear" w:color="auto" w:fill="auto"/>
                  <w:vAlign w:val="center"/>
                </w:tcPr>
                <w:p w14:paraId="204FB317">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1463F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12EAD18">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4F3D03CE">
                  <w:pPr>
                    <w:pStyle w:val="31"/>
                    <w:jc w:val="center"/>
                    <w:rPr>
                      <w:rFonts w:hint="eastAsia" w:ascii="Times New Roman" w:hAnsi="Times New Roman" w:eastAsia="仿宋" w:cs="Times New Roman"/>
                      <w:bCs/>
                      <w:color w:val="auto"/>
                      <w:sz w:val="21"/>
                      <w:szCs w:val="21"/>
                      <w:highlight w:val="none"/>
                      <w:lang w:val="en-US" w:eastAsia="zh-CN"/>
                    </w:rPr>
                  </w:pPr>
                </w:p>
              </w:tc>
              <w:tc>
                <w:tcPr>
                  <w:tcW w:w="1056" w:type="dxa"/>
                  <w:tcBorders>
                    <w:tl2br w:val="nil"/>
                    <w:tr2bl w:val="nil"/>
                  </w:tcBorders>
                  <w:vAlign w:val="center"/>
                </w:tcPr>
                <w:p w14:paraId="41DB5C00">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水洗槽</w:t>
                  </w:r>
                </w:p>
              </w:tc>
              <w:tc>
                <w:tcPr>
                  <w:tcW w:w="955" w:type="dxa"/>
                  <w:tcBorders>
                    <w:tl2br w:val="nil"/>
                    <w:tr2bl w:val="nil"/>
                  </w:tcBorders>
                  <w:shd w:val="clear" w:color="auto" w:fill="auto"/>
                  <w:vAlign w:val="center"/>
                </w:tcPr>
                <w:p w14:paraId="55AF57D6">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W1-4</w:t>
                  </w:r>
                </w:p>
              </w:tc>
              <w:tc>
                <w:tcPr>
                  <w:tcW w:w="3080" w:type="dxa"/>
                  <w:tcBorders>
                    <w:tl2br w:val="nil"/>
                    <w:tr2bl w:val="nil"/>
                  </w:tcBorders>
                  <w:vAlign w:val="center"/>
                </w:tcPr>
                <w:p w14:paraId="176CAD4D">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pH、COD、SS、石油类、LAS</w:t>
                  </w:r>
                </w:p>
              </w:tc>
              <w:tc>
                <w:tcPr>
                  <w:tcW w:w="3119" w:type="dxa"/>
                  <w:tcBorders>
                    <w:tl2br w:val="nil"/>
                    <w:tr2bl w:val="nil"/>
                  </w:tcBorders>
                  <w:shd w:val="clear" w:color="auto" w:fill="auto"/>
                  <w:vAlign w:val="center"/>
                </w:tcPr>
                <w:p w14:paraId="1B1BA726">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综合废水处理设施</w:t>
                  </w:r>
                </w:p>
              </w:tc>
            </w:tr>
            <w:tr w14:paraId="6A896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25419ECE">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754C1385">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酸洗段</w:t>
                  </w:r>
                </w:p>
              </w:tc>
              <w:tc>
                <w:tcPr>
                  <w:tcW w:w="1056" w:type="dxa"/>
                  <w:tcBorders>
                    <w:tl2br w:val="nil"/>
                    <w:tr2bl w:val="nil"/>
                  </w:tcBorders>
                  <w:vAlign w:val="center"/>
                </w:tcPr>
                <w:p w14:paraId="25B3BFBB">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酸洗槽</w:t>
                  </w:r>
                </w:p>
              </w:tc>
              <w:tc>
                <w:tcPr>
                  <w:tcW w:w="955" w:type="dxa"/>
                  <w:tcBorders>
                    <w:tl2br w:val="nil"/>
                    <w:tr2bl w:val="nil"/>
                  </w:tcBorders>
                  <w:shd w:val="clear" w:color="auto" w:fill="auto"/>
                  <w:vAlign w:val="center"/>
                </w:tcPr>
                <w:p w14:paraId="38B9F9D0">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W2-3</w:t>
                  </w:r>
                </w:p>
              </w:tc>
              <w:tc>
                <w:tcPr>
                  <w:tcW w:w="3080" w:type="dxa"/>
                  <w:tcBorders>
                    <w:tl2br w:val="nil"/>
                    <w:tr2bl w:val="nil"/>
                  </w:tcBorders>
                  <w:vAlign w:val="center"/>
                </w:tcPr>
                <w:p w14:paraId="02423941">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shd w:val="clear" w:color="auto" w:fill="auto"/>
                  <w:vAlign w:val="center"/>
                </w:tcPr>
                <w:p w14:paraId="2E319E8B">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52F05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66ACE994">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479E2AD8">
                  <w:pPr>
                    <w:pStyle w:val="31"/>
                    <w:jc w:val="center"/>
                    <w:rPr>
                      <w:rFonts w:hint="eastAsia" w:ascii="Times New Roman" w:hAnsi="Times New Roman" w:eastAsia="仿宋" w:cs="Times New Roman"/>
                      <w:bCs/>
                      <w:color w:val="auto"/>
                      <w:sz w:val="21"/>
                      <w:szCs w:val="21"/>
                      <w:highlight w:val="none"/>
                      <w:lang w:val="en-US" w:eastAsia="zh-CN"/>
                    </w:rPr>
                  </w:pPr>
                </w:p>
              </w:tc>
              <w:tc>
                <w:tcPr>
                  <w:tcW w:w="1056" w:type="dxa"/>
                  <w:tcBorders>
                    <w:tl2br w:val="nil"/>
                    <w:tr2bl w:val="nil"/>
                  </w:tcBorders>
                  <w:vAlign w:val="center"/>
                </w:tcPr>
                <w:p w14:paraId="2526AA6D">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水洗槽</w:t>
                  </w:r>
                </w:p>
              </w:tc>
              <w:tc>
                <w:tcPr>
                  <w:tcW w:w="955" w:type="dxa"/>
                  <w:tcBorders>
                    <w:tl2br w:val="nil"/>
                    <w:tr2bl w:val="nil"/>
                  </w:tcBorders>
                  <w:shd w:val="clear" w:color="auto" w:fill="auto"/>
                  <w:vAlign w:val="center"/>
                </w:tcPr>
                <w:p w14:paraId="7E0C8D5C">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W2-4</w:t>
                  </w:r>
                </w:p>
              </w:tc>
              <w:tc>
                <w:tcPr>
                  <w:tcW w:w="3080" w:type="dxa"/>
                  <w:tcBorders>
                    <w:tl2br w:val="nil"/>
                    <w:tr2bl w:val="nil"/>
                  </w:tcBorders>
                  <w:vAlign w:val="center"/>
                </w:tcPr>
                <w:p w14:paraId="7463FB3B">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shd w:val="clear" w:color="auto" w:fill="auto"/>
                  <w:vAlign w:val="center"/>
                </w:tcPr>
                <w:p w14:paraId="14DDEDA5">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综合废水处理设施</w:t>
                  </w:r>
                </w:p>
              </w:tc>
            </w:tr>
            <w:tr w14:paraId="5B4A6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99477E9">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5F8449DD">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表调段</w:t>
                  </w:r>
                </w:p>
              </w:tc>
              <w:tc>
                <w:tcPr>
                  <w:tcW w:w="1056" w:type="dxa"/>
                  <w:tcBorders>
                    <w:tl2br w:val="nil"/>
                    <w:tr2bl w:val="nil"/>
                  </w:tcBorders>
                  <w:vAlign w:val="center"/>
                </w:tcPr>
                <w:p w14:paraId="2CC36DDC">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表调槽</w:t>
                  </w:r>
                </w:p>
              </w:tc>
              <w:tc>
                <w:tcPr>
                  <w:tcW w:w="955" w:type="dxa"/>
                  <w:tcBorders>
                    <w:tl2br w:val="nil"/>
                    <w:tr2bl w:val="nil"/>
                  </w:tcBorders>
                  <w:vAlign w:val="center"/>
                </w:tcPr>
                <w:p w14:paraId="4C989B9F">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W8-1</w:t>
                  </w:r>
                </w:p>
              </w:tc>
              <w:tc>
                <w:tcPr>
                  <w:tcW w:w="3080" w:type="dxa"/>
                  <w:tcBorders>
                    <w:tl2br w:val="nil"/>
                    <w:tr2bl w:val="nil"/>
                  </w:tcBorders>
                  <w:vAlign w:val="center"/>
                </w:tcPr>
                <w:p w14:paraId="3CDC6469">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7116DB64">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16A97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1D7B28CA">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0EECBAEE">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55D9FC48">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水洗槽</w:t>
                  </w:r>
                </w:p>
              </w:tc>
              <w:tc>
                <w:tcPr>
                  <w:tcW w:w="955" w:type="dxa"/>
                  <w:tcBorders>
                    <w:tl2br w:val="nil"/>
                    <w:tr2bl w:val="nil"/>
                  </w:tcBorders>
                  <w:vAlign w:val="center"/>
                </w:tcPr>
                <w:p w14:paraId="7855E735">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W8-2</w:t>
                  </w:r>
                </w:p>
              </w:tc>
              <w:tc>
                <w:tcPr>
                  <w:tcW w:w="3080" w:type="dxa"/>
                  <w:tcBorders>
                    <w:tl2br w:val="nil"/>
                    <w:tr2bl w:val="nil"/>
                  </w:tcBorders>
                  <w:vAlign w:val="center"/>
                </w:tcPr>
                <w:p w14:paraId="04FE2AEA">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6FBB0F29">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64293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E4E981E">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restart"/>
                  <w:tcBorders>
                    <w:tl2br w:val="nil"/>
                    <w:tr2bl w:val="nil"/>
                  </w:tcBorders>
                  <w:vAlign w:val="center"/>
                </w:tcPr>
                <w:p w14:paraId="7DDEC0B1">
                  <w:pPr>
                    <w:pStyle w:val="31"/>
                    <w:jc w:val="center"/>
                    <w:rPr>
                      <w:rFonts w:hint="default"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硅烷段</w:t>
                  </w:r>
                </w:p>
              </w:tc>
              <w:tc>
                <w:tcPr>
                  <w:tcW w:w="1056" w:type="dxa"/>
                  <w:tcBorders>
                    <w:tl2br w:val="nil"/>
                    <w:tr2bl w:val="nil"/>
                  </w:tcBorders>
                  <w:vAlign w:val="center"/>
                </w:tcPr>
                <w:p w14:paraId="5E222523">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硅烷槽</w:t>
                  </w:r>
                </w:p>
              </w:tc>
              <w:tc>
                <w:tcPr>
                  <w:tcW w:w="955" w:type="dxa"/>
                  <w:tcBorders>
                    <w:tl2br w:val="nil"/>
                    <w:tr2bl w:val="nil"/>
                  </w:tcBorders>
                  <w:shd w:val="clear" w:color="auto" w:fill="auto"/>
                  <w:vAlign w:val="center"/>
                </w:tcPr>
                <w:p w14:paraId="476E0FF8">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W4-3</w:t>
                  </w:r>
                </w:p>
              </w:tc>
              <w:tc>
                <w:tcPr>
                  <w:tcW w:w="3080" w:type="dxa"/>
                  <w:tcBorders>
                    <w:tl2br w:val="nil"/>
                    <w:tr2bl w:val="nil"/>
                  </w:tcBorders>
                  <w:vAlign w:val="center"/>
                </w:tcPr>
                <w:p w14:paraId="3FA916A2">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712F9E3E">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高浓度废水定量添加+电泳废水预处理设施+综合废水处理设施</w:t>
                  </w:r>
                </w:p>
              </w:tc>
            </w:tr>
            <w:tr w14:paraId="1F0C5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201AF668">
                  <w:pPr>
                    <w:pStyle w:val="31"/>
                    <w:jc w:val="center"/>
                    <w:rPr>
                      <w:rFonts w:hint="eastAsia" w:ascii="Times New Roman" w:hAnsi="Times New Roman" w:eastAsia="仿宋" w:cs="Times New Roman"/>
                      <w:bCs/>
                      <w:color w:val="auto"/>
                      <w:sz w:val="21"/>
                      <w:szCs w:val="21"/>
                      <w:highlight w:val="none"/>
                      <w:lang w:val="en-US" w:eastAsia="zh-CN"/>
                    </w:rPr>
                  </w:pPr>
                </w:p>
              </w:tc>
              <w:tc>
                <w:tcPr>
                  <w:tcW w:w="849" w:type="dxa"/>
                  <w:vMerge w:val="continue"/>
                  <w:tcBorders>
                    <w:tl2br w:val="nil"/>
                    <w:tr2bl w:val="nil"/>
                  </w:tcBorders>
                  <w:vAlign w:val="center"/>
                </w:tcPr>
                <w:p w14:paraId="1BB8C218">
                  <w:pPr>
                    <w:pStyle w:val="31"/>
                    <w:jc w:val="center"/>
                    <w:rPr>
                      <w:rFonts w:hint="eastAsia" w:eastAsia="仿宋" w:cs="Times New Roman"/>
                      <w:bCs/>
                      <w:color w:val="auto"/>
                      <w:sz w:val="21"/>
                      <w:szCs w:val="21"/>
                      <w:highlight w:val="none"/>
                      <w:lang w:val="en-US" w:eastAsia="zh-CN"/>
                    </w:rPr>
                  </w:pPr>
                </w:p>
              </w:tc>
              <w:tc>
                <w:tcPr>
                  <w:tcW w:w="1056" w:type="dxa"/>
                  <w:tcBorders>
                    <w:tl2br w:val="nil"/>
                    <w:tr2bl w:val="nil"/>
                  </w:tcBorders>
                  <w:vAlign w:val="center"/>
                </w:tcPr>
                <w:p w14:paraId="6E80CFFD">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水洗槽</w:t>
                  </w:r>
                </w:p>
              </w:tc>
              <w:tc>
                <w:tcPr>
                  <w:tcW w:w="955" w:type="dxa"/>
                  <w:tcBorders>
                    <w:tl2br w:val="nil"/>
                    <w:tr2bl w:val="nil"/>
                  </w:tcBorders>
                  <w:shd w:val="clear" w:color="auto" w:fill="auto"/>
                  <w:vAlign w:val="center"/>
                </w:tcPr>
                <w:p w14:paraId="4E3CA632">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W4-4</w:t>
                  </w:r>
                </w:p>
              </w:tc>
              <w:tc>
                <w:tcPr>
                  <w:tcW w:w="3080" w:type="dxa"/>
                  <w:tcBorders>
                    <w:tl2br w:val="nil"/>
                    <w:tr2bl w:val="nil"/>
                  </w:tcBorders>
                  <w:vAlign w:val="center"/>
                </w:tcPr>
                <w:p w14:paraId="4D82BF7F">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pH、COD、TN</w:t>
                  </w:r>
                </w:p>
              </w:tc>
              <w:tc>
                <w:tcPr>
                  <w:tcW w:w="3119" w:type="dxa"/>
                  <w:tcBorders>
                    <w:tl2br w:val="nil"/>
                    <w:tr2bl w:val="nil"/>
                  </w:tcBorders>
                  <w:vAlign w:val="center"/>
                </w:tcPr>
                <w:p w14:paraId="558C091E">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r w14:paraId="0D52C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5" w:type="dxa"/>
                  <w:gridSpan w:val="2"/>
                  <w:tcBorders>
                    <w:tl2br w:val="nil"/>
                    <w:tr2bl w:val="nil"/>
                  </w:tcBorders>
                  <w:vAlign w:val="center"/>
                </w:tcPr>
                <w:p w14:paraId="447825D7">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纯水制备</w:t>
                  </w:r>
                </w:p>
              </w:tc>
              <w:tc>
                <w:tcPr>
                  <w:tcW w:w="1056" w:type="dxa"/>
                  <w:tcBorders>
                    <w:tl2br w:val="nil"/>
                    <w:tr2bl w:val="nil"/>
                  </w:tcBorders>
                  <w:vAlign w:val="center"/>
                </w:tcPr>
                <w:p w14:paraId="6AA2CCCB">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浓水</w:t>
                  </w:r>
                </w:p>
              </w:tc>
              <w:tc>
                <w:tcPr>
                  <w:tcW w:w="955" w:type="dxa"/>
                  <w:tcBorders>
                    <w:tl2br w:val="nil"/>
                    <w:tr2bl w:val="nil"/>
                  </w:tcBorders>
                  <w:vAlign w:val="center"/>
                </w:tcPr>
                <w:p w14:paraId="4B30865E">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W9</w:t>
                  </w:r>
                </w:p>
              </w:tc>
              <w:tc>
                <w:tcPr>
                  <w:tcW w:w="3080" w:type="dxa"/>
                  <w:tcBorders>
                    <w:tl2br w:val="nil"/>
                    <w:tr2bl w:val="nil"/>
                  </w:tcBorders>
                  <w:vAlign w:val="center"/>
                </w:tcPr>
                <w:p w14:paraId="33209BD9">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w:t>
                  </w:r>
                </w:p>
              </w:tc>
              <w:tc>
                <w:tcPr>
                  <w:tcW w:w="3119" w:type="dxa"/>
                  <w:tcBorders>
                    <w:tl2br w:val="nil"/>
                    <w:tr2bl w:val="nil"/>
                  </w:tcBorders>
                  <w:vAlign w:val="center"/>
                </w:tcPr>
                <w:p w14:paraId="61F43FE4">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高铁新城污水厂</w:t>
                  </w:r>
                </w:p>
              </w:tc>
            </w:tr>
            <w:tr w14:paraId="0BFF7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85" w:type="dxa"/>
                  <w:gridSpan w:val="2"/>
                  <w:tcBorders>
                    <w:tl2br w:val="nil"/>
                    <w:tr2bl w:val="nil"/>
                  </w:tcBorders>
                  <w:shd w:val="clear" w:color="auto" w:fill="auto"/>
                  <w:vAlign w:val="center"/>
                </w:tcPr>
                <w:p w14:paraId="0E898B76">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电泳、喷粉区</w:t>
                  </w:r>
                </w:p>
              </w:tc>
              <w:tc>
                <w:tcPr>
                  <w:tcW w:w="1056" w:type="dxa"/>
                  <w:tcBorders>
                    <w:tl2br w:val="nil"/>
                    <w:tr2bl w:val="nil"/>
                  </w:tcBorders>
                  <w:shd w:val="clear" w:color="auto" w:fill="auto"/>
                  <w:vAlign w:val="center"/>
                </w:tcPr>
                <w:p w14:paraId="7771D0AE">
                  <w:pPr>
                    <w:pStyle w:val="31"/>
                    <w:jc w:val="center"/>
                    <w:rPr>
                      <w:rFonts w:hint="eastAsia"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地面清洗</w:t>
                  </w:r>
                </w:p>
              </w:tc>
              <w:tc>
                <w:tcPr>
                  <w:tcW w:w="955" w:type="dxa"/>
                  <w:tcBorders>
                    <w:tl2br w:val="nil"/>
                    <w:tr2bl w:val="nil"/>
                  </w:tcBorders>
                  <w:shd w:val="clear" w:color="auto" w:fill="auto"/>
                  <w:vAlign w:val="center"/>
                </w:tcPr>
                <w:p w14:paraId="4450317B">
                  <w:pPr>
                    <w:pStyle w:val="31"/>
                    <w:jc w:val="center"/>
                    <w:rPr>
                      <w:rFonts w:hint="default" w:ascii="Times New Roman" w:hAnsi="Times New Roman" w:eastAsia="仿宋" w:cs="Times New Roman"/>
                      <w:bCs/>
                      <w:color w:val="auto"/>
                      <w:kern w:val="0"/>
                      <w:sz w:val="21"/>
                      <w:szCs w:val="21"/>
                      <w:highlight w:val="none"/>
                      <w:lang w:val="en-US" w:eastAsia="zh-CN" w:bidi="ar-SA"/>
                    </w:rPr>
                  </w:pPr>
                  <w:r>
                    <w:rPr>
                      <w:rFonts w:hint="eastAsia" w:eastAsia="仿宋" w:cs="Times New Roman"/>
                      <w:bCs/>
                      <w:color w:val="auto"/>
                      <w:sz w:val="21"/>
                      <w:szCs w:val="21"/>
                      <w:highlight w:val="none"/>
                      <w:lang w:val="en-US" w:eastAsia="zh-CN"/>
                    </w:rPr>
                    <w:t>W10</w:t>
                  </w:r>
                </w:p>
              </w:tc>
              <w:tc>
                <w:tcPr>
                  <w:tcW w:w="3080" w:type="dxa"/>
                  <w:tcBorders>
                    <w:tl2br w:val="nil"/>
                    <w:tr2bl w:val="nil"/>
                  </w:tcBorders>
                  <w:vAlign w:val="center"/>
                </w:tcPr>
                <w:p w14:paraId="18F9A7EE">
                  <w:pPr>
                    <w:pStyle w:val="31"/>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pH、COD、SS、氨氮、TN、TP、石油类、LAS</w:t>
                  </w:r>
                </w:p>
              </w:tc>
              <w:tc>
                <w:tcPr>
                  <w:tcW w:w="3119" w:type="dxa"/>
                  <w:tcBorders>
                    <w:tl2br w:val="nil"/>
                    <w:tr2bl w:val="nil"/>
                  </w:tcBorders>
                  <w:vAlign w:val="center"/>
                </w:tcPr>
                <w:p w14:paraId="0117AEDC">
                  <w:pPr>
                    <w:pStyle w:val="31"/>
                    <w:jc w:val="center"/>
                    <w:rPr>
                      <w:rFonts w:hint="eastAsia"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综合废水处理设施</w:t>
                  </w:r>
                </w:p>
              </w:tc>
            </w:tr>
          </w:tbl>
          <w:p w14:paraId="29B3C932">
            <w:pPr>
              <w:spacing w:line="360" w:lineRule="auto"/>
              <w:ind w:firstLine="482" w:firstLineChars="200"/>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①电泳1线、电泳2线、喷粉前处理生产废水</w:t>
            </w:r>
          </w:p>
          <w:p w14:paraId="7F54080B">
            <w:pPr>
              <w:spacing w:line="360" w:lineRule="auto"/>
              <w:ind w:firstLine="480" w:firstLineChars="200"/>
              <w:rPr>
                <w:rFonts w:hint="eastAsia"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项目共设置2条电泳线、1条喷粉线，生产过程中会产生生产废水。根据</w:t>
            </w:r>
            <w:r>
              <w:rPr>
                <w:rFonts w:hint="eastAsia"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工程分析，电泳、喷粉线生产废水产生量约</w:t>
            </w:r>
            <w:r>
              <w:rPr>
                <w:rFonts w:hint="eastAsia" w:cs="Times New Roman"/>
                <w:color w:val="auto"/>
                <w:sz w:val="24"/>
                <w:szCs w:val="24"/>
                <w:highlight w:val="none"/>
                <w:lang w:val="en-US" w:eastAsia="zh-CN"/>
              </w:rPr>
              <w:t>11215.236m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rPr>
              <w:t>。电泳、喷粉线生产废水分类收集，经</w:t>
            </w:r>
            <w:r>
              <w:rPr>
                <w:rFonts w:hint="eastAsia"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rPr>
              <w:t>废水处理设施处理达标后排入苏州</w:t>
            </w:r>
            <w:r>
              <w:rPr>
                <w:rFonts w:hint="eastAsia" w:cs="Times New Roman"/>
                <w:color w:val="auto"/>
                <w:sz w:val="24"/>
                <w:szCs w:val="24"/>
                <w:highlight w:val="none"/>
                <w:lang w:val="en-US" w:eastAsia="zh-CN"/>
              </w:rPr>
              <w:t>市</w:t>
            </w:r>
            <w:r>
              <w:rPr>
                <w:rFonts w:hint="default" w:ascii="Times New Roman" w:hAnsi="Times New Roman" w:eastAsia="宋体" w:cs="Times New Roman"/>
                <w:color w:val="auto"/>
                <w:sz w:val="24"/>
                <w:szCs w:val="24"/>
                <w:highlight w:val="none"/>
              </w:rPr>
              <w:t>高铁新城污水厂</w:t>
            </w:r>
            <w:r>
              <w:rPr>
                <w:rFonts w:hint="eastAsia" w:eastAsia="宋体" w:cs="Times New Roman"/>
                <w:color w:val="auto"/>
                <w:sz w:val="24"/>
                <w:szCs w:val="24"/>
                <w:highlight w:val="none"/>
                <w:lang w:eastAsia="zh-CN"/>
              </w:rPr>
              <w:t>。</w:t>
            </w:r>
          </w:p>
          <w:p w14:paraId="226A3CDC">
            <w:pPr>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②纯水制备浓水</w:t>
            </w:r>
          </w:p>
          <w:p w14:paraId="22A628D4">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纯水制备供水由市政供水管网提供，使用纯水机制备纯水，根据建设单位提供资料，项目建成后纯水机总制备能力为10t/h，项目建成</w:t>
            </w:r>
            <w:r>
              <w:rPr>
                <w:rFonts w:hint="eastAsia" w:ascii="Times New Roman" w:hAnsi="Times New Roman" w:eastAsia="宋体" w:cs="Times New Roman"/>
                <w:color w:val="auto"/>
                <w:sz w:val="24"/>
                <w:szCs w:val="24"/>
                <w:highlight w:val="none"/>
                <w:lang w:val="en-US" w:eastAsia="zh-CN"/>
              </w:rPr>
              <w:t>后需纯水量约为</w:t>
            </w:r>
            <w:r>
              <w:rPr>
                <w:rFonts w:hint="eastAsia" w:cs="Times New Roman"/>
                <w:color w:val="auto"/>
                <w:sz w:val="24"/>
                <w:szCs w:val="24"/>
                <w:highlight w:val="none"/>
                <w:lang w:val="en-US" w:eastAsia="zh-CN"/>
              </w:rPr>
              <w:t>8298.68</w:t>
            </w:r>
            <w:r>
              <w:rPr>
                <w:rFonts w:hint="eastAsia" w:ascii="Times New Roman" w:hAnsi="Times New Roman" w:eastAsia="宋体" w:cs="Times New Roman"/>
                <w:color w:val="auto"/>
                <w:sz w:val="24"/>
                <w:szCs w:val="24"/>
                <w:highlight w:val="none"/>
                <w:lang w:val="en-US" w:eastAsia="zh-CN"/>
              </w:rPr>
              <w:t>t/a，可满足纯水制备需求，制备效率约为</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0%，故纯水制备过程中自来水需用量约为</w:t>
            </w:r>
            <w:r>
              <w:rPr>
                <w:rFonts w:hint="eastAsia" w:cs="Times New Roman"/>
                <w:color w:val="auto"/>
                <w:sz w:val="24"/>
                <w:szCs w:val="24"/>
                <w:highlight w:val="none"/>
                <w:lang w:val="en-US" w:eastAsia="zh-CN"/>
              </w:rPr>
              <w:t>13831.13</w:t>
            </w:r>
            <w:r>
              <w:rPr>
                <w:rFonts w:hint="eastAsia" w:ascii="Times New Roman" w:hAnsi="Times New Roman" w:eastAsia="宋体" w:cs="Times New Roman"/>
                <w:color w:val="auto"/>
                <w:sz w:val="24"/>
                <w:szCs w:val="24"/>
                <w:highlight w:val="none"/>
                <w:lang w:val="en-US" w:eastAsia="zh-CN"/>
              </w:rPr>
              <w:t>t/a，纯水制备过程中产生的浓水</w:t>
            </w:r>
            <w:r>
              <w:rPr>
                <w:rFonts w:hint="eastAsia" w:cs="Times New Roman"/>
                <w:color w:val="auto"/>
                <w:sz w:val="24"/>
                <w:szCs w:val="24"/>
                <w:highlight w:val="none"/>
                <w:lang w:val="en-US" w:eastAsia="zh-CN"/>
              </w:rPr>
              <w:t>5532.45</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，接管进入苏州高铁苏水水务有限公司（苏州高铁新城污水厂）处理。</w:t>
            </w:r>
          </w:p>
          <w:p w14:paraId="62963BF3">
            <w:pPr>
              <w:spacing w:line="360" w:lineRule="auto"/>
              <w:ind w:firstLine="482" w:firstLineChars="200"/>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③地面清洗废水</w:t>
            </w:r>
          </w:p>
          <w:p w14:paraId="153EF5BB">
            <w:pPr>
              <w:spacing w:line="360" w:lineRule="auto"/>
              <w:ind w:firstLine="480" w:firstLineChars="200"/>
              <w:rPr>
                <w:rFonts w:hint="eastAsia"/>
                <w:color w:val="auto"/>
                <w:sz w:val="24"/>
                <w:highlight w:val="none"/>
              </w:rPr>
            </w:pPr>
            <w:r>
              <w:rPr>
                <w:rFonts w:hint="eastAsia" w:cs="Times New Roman"/>
                <w:color w:val="auto"/>
                <w:sz w:val="24"/>
                <w:szCs w:val="24"/>
                <w:highlight w:val="none"/>
                <w:lang w:val="en-US" w:eastAsia="zh-CN"/>
              </w:rPr>
              <w:t>为保持车间内部环境卫生，需定期对地面进行保洁。根据《建筑给水排水设计手册》（中国建筑工业出版社，作者：中国建筑设计研究院），场地清洗水用水量为1.0~1.5L/m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·次，本项目取1.5L/m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·次计，项目车间需冲洗面积按建筑面积计1000m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，每10天清洗一次，则项目地面保洁用水量约为45m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/a，考虑10%损耗，则地面清洗废水量为40.5t/a，经厂区污水处理站</w:t>
            </w:r>
            <w:r>
              <w:rPr>
                <w:rFonts w:hint="eastAsia"/>
                <w:color w:val="auto"/>
                <w:sz w:val="24"/>
                <w:highlight w:val="none"/>
              </w:rPr>
              <w:t>处理后</w:t>
            </w:r>
            <w:r>
              <w:rPr>
                <w:rFonts w:hint="eastAsia" w:cs="Times New Roman"/>
                <w:color w:val="auto"/>
                <w:sz w:val="24"/>
                <w:szCs w:val="24"/>
                <w:highlight w:val="none"/>
                <w:lang w:val="en-US" w:eastAsia="zh-CN"/>
              </w:rPr>
              <w:t>进入苏州高铁苏水水务有限公司（苏州高铁新城污水厂）处理</w:t>
            </w:r>
            <w:r>
              <w:rPr>
                <w:rFonts w:hint="eastAsia"/>
                <w:color w:val="auto"/>
                <w:sz w:val="24"/>
                <w:highlight w:val="none"/>
              </w:rPr>
              <w:t>。</w:t>
            </w:r>
          </w:p>
          <w:p w14:paraId="2FDAA15E">
            <w:pPr>
              <w:pStyle w:val="2"/>
              <w:rPr>
                <w:rFonts w:hint="default"/>
                <w:color w:val="auto"/>
                <w:lang w:val="en-US" w:eastAsia="zh-CN"/>
              </w:rPr>
            </w:pPr>
          </w:p>
        </w:tc>
      </w:tr>
    </w:tbl>
    <w:p w14:paraId="39E883A7">
      <w:pPr>
        <w:tabs>
          <w:tab w:val="left" w:pos="2010"/>
        </w:tabs>
        <w:adjustRightInd w:val="0"/>
        <w:snapToGrid w:val="0"/>
        <w:spacing w:line="360" w:lineRule="auto"/>
        <w:rPr>
          <w:b/>
          <w:color w:val="auto"/>
          <w:kern w:val="0"/>
          <w:sz w:val="28"/>
          <w:szCs w:val="28"/>
          <w:highlight w:val="none"/>
        </w:rPr>
      </w:pPr>
    </w:p>
    <w:p w14:paraId="1DB1420E">
      <w:pPr>
        <w:tabs>
          <w:tab w:val="left" w:pos="2010"/>
        </w:tabs>
        <w:adjustRightInd w:val="0"/>
        <w:snapToGrid w:val="0"/>
        <w:spacing w:line="360" w:lineRule="auto"/>
        <w:rPr>
          <w:b/>
          <w:color w:val="auto"/>
          <w:kern w:val="0"/>
          <w:sz w:val="28"/>
          <w:szCs w:val="28"/>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40B3DDC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本项目生产工艺用水、废水量一览表</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75"/>
        <w:gridCol w:w="13"/>
        <w:gridCol w:w="681"/>
        <w:gridCol w:w="935"/>
        <w:gridCol w:w="188"/>
        <w:gridCol w:w="996"/>
        <w:gridCol w:w="187"/>
        <w:gridCol w:w="1779"/>
        <w:gridCol w:w="138"/>
        <w:gridCol w:w="1129"/>
        <w:gridCol w:w="71"/>
        <w:gridCol w:w="1167"/>
        <w:gridCol w:w="1041"/>
        <w:gridCol w:w="263"/>
        <w:gridCol w:w="825"/>
        <w:gridCol w:w="468"/>
        <w:gridCol w:w="732"/>
        <w:gridCol w:w="393"/>
        <w:gridCol w:w="657"/>
        <w:gridCol w:w="487"/>
        <w:gridCol w:w="638"/>
        <w:gridCol w:w="1143"/>
        <w:gridCol w:w="1144"/>
      </w:tblGrid>
      <w:tr w14:paraId="10E33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24"/>
            <w:tcBorders>
              <w:top w:val="single" w:color="000000" w:sz="4" w:space="0"/>
              <w:left w:val="single" w:color="000000" w:sz="4" w:space="0"/>
              <w:right w:val="single" w:color="000000" w:sz="4" w:space="0"/>
            </w:tcBorders>
            <w:shd w:val="clear" w:color="auto" w:fill="E7E6E6" w:themeFill="background2"/>
            <w:vAlign w:val="center"/>
          </w:tcPr>
          <w:p w14:paraId="6B4BE64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喷粉前处理</w:t>
            </w:r>
          </w:p>
        </w:tc>
      </w:tr>
      <w:tr w14:paraId="34895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right w:val="single" w:color="000000" w:sz="4" w:space="0"/>
            </w:tcBorders>
            <w:shd w:val="clear" w:color="auto" w:fill="auto"/>
            <w:vAlign w:val="center"/>
          </w:tcPr>
          <w:p w14:paraId="1068AEBA">
            <w:pPr>
              <w:jc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槽体</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2C22A">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有效容积（m</w:t>
            </w:r>
            <w:r>
              <w:rPr>
                <w:rFonts w:hint="eastAsia"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p>
        </w:tc>
        <w:tc>
          <w:tcPr>
            <w:tcW w:w="3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2FD14A">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主要成分浓度</w:t>
            </w:r>
          </w:p>
        </w:tc>
        <w:tc>
          <w:tcPr>
            <w:tcW w:w="62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47FC2">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用水类别</w:t>
            </w:r>
          </w:p>
        </w:tc>
        <w:tc>
          <w:tcPr>
            <w:tcW w:w="40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CF7D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更换次数</w:t>
            </w:r>
          </w:p>
        </w:tc>
        <w:tc>
          <w:tcPr>
            <w:tcW w:w="122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FABA0C">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用水情况</w:t>
            </w:r>
          </w:p>
        </w:tc>
        <w:tc>
          <w:tcPr>
            <w:tcW w:w="166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EF32">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排放情况（t/a）</w:t>
            </w:r>
          </w:p>
        </w:tc>
      </w:tr>
      <w:tr w14:paraId="76D8A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left w:val="single" w:color="000000" w:sz="4" w:space="0"/>
              <w:bottom w:val="single" w:color="000000" w:sz="4" w:space="0"/>
              <w:right w:val="single" w:color="000000" w:sz="4" w:space="0"/>
            </w:tcBorders>
            <w:shd w:val="clear" w:color="auto" w:fill="auto"/>
            <w:vAlign w:val="center"/>
          </w:tcPr>
          <w:p w14:paraId="0A825012">
            <w:pPr>
              <w:jc w:val="center"/>
              <w:rPr>
                <w:rFonts w:hint="default" w:ascii="Times New Roman" w:hAnsi="Times New Roman" w:eastAsia="仿宋" w:cs="Times New Roman"/>
                <w:b/>
                <w:bCs/>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6FFC2">
            <w:pPr>
              <w:jc w:val="center"/>
              <w:rPr>
                <w:rFonts w:hint="default" w:ascii="Times New Roman" w:hAnsi="Times New Roman" w:eastAsia="仿宋" w:cs="Times New Roman"/>
                <w:b/>
                <w:bCs/>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602E7">
            <w:pPr>
              <w:jc w:val="center"/>
              <w:rPr>
                <w:rFonts w:hint="default" w:ascii="Times New Roman" w:hAnsi="Times New Roman" w:eastAsia="仿宋" w:cs="Times New Roman"/>
                <w:b/>
                <w:bCs/>
                <w:i w:val="0"/>
                <w:iCs w:val="0"/>
                <w:color w:val="auto"/>
                <w:sz w:val="21"/>
                <w:szCs w:val="21"/>
                <w:u w:val="none"/>
              </w:rPr>
            </w:pPr>
          </w:p>
        </w:tc>
        <w:tc>
          <w:tcPr>
            <w:tcW w:w="62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5FA31">
            <w:pPr>
              <w:jc w:val="center"/>
              <w:rPr>
                <w:rFonts w:hint="default" w:ascii="Times New Roman" w:hAnsi="Times New Roman" w:eastAsia="仿宋" w:cs="Times New Roman"/>
                <w:b/>
                <w:bCs/>
                <w:i w:val="0"/>
                <w:iCs w:val="0"/>
                <w:color w:val="auto"/>
                <w:sz w:val="21"/>
                <w:szCs w:val="21"/>
                <w:u w:val="none"/>
              </w:rPr>
            </w:pPr>
          </w:p>
        </w:tc>
        <w:tc>
          <w:tcPr>
            <w:tcW w:w="40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8E841">
            <w:pPr>
              <w:jc w:val="center"/>
              <w:rPr>
                <w:rFonts w:hint="default" w:ascii="Times New Roman" w:hAnsi="Times New Roman" w:eastAsia="仿宋" w:cs="Times New Roman"/>
                <w:b/>
                <w:bCs/>
                <w:i w:val="0"/>
                <w:iCs w:val="0"/>
                <w:color w:val="auto"/>
                <w:sz w:val="21"/>
                <w:szCs w:val="21"/>
                <w:u w:val="none"/>
              </w:rPr>
            </w:pP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1352EF">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自来水量</w:t>
            </w:r>
          </w:p>
          <w:p w14:paraId="4431634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/次）</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E72A1">
            <w:pPr>
              <w:keepNext w:val="0"/>
              <w:keepLines w:val="0"/>
              <w:widowControl/>
              <w:suppressLineNumbers w:val="0"/>
              <w:jc w:val="center"/>
              <w:textAlignment w:val="center"/>
              <w:rPr>
                <w:rFonts w:hint="eastAsia" w:ascii="Times New Roman" w:hAnsi="Times New Roman" w:eastAsia="宋体" w:cs="Times New Roman"/>
                <w:b/>
                <w:bCs/>
                <w:i w:val="0"/>
                <w:iCs w:val="0"/>
                <w:color w:val="auto"/>
                <w:sz w:val="21"/>
                <w:szCs w:val="21"/>
                <w:u w:val="none"/>
                <w:lang w:eastAsia="zh-CN"/>
              </w:rPr>
            </w:pPr>
            <w:r>
              <w:rPr>
                <w:rFonts w:hint="default" w:ascii="Times New Roman" w:hAnsi="Times New Roman" w:eastAsia="仿宋" w:cs="Times New Roman"/>
                <w:b/>
                <w:bCs/>
                <w:i w:val="0"/>
                <w:iCs w:val="0"/>
                <w:color w:val="auto"/>
                <w:kern w:val="0"/>
                <w:sz w:val="21"/>
                <w:szCs w:val="21"/>
                <w:u w:val="none"/>
                <w:lang w:val="en-US" w:eastAsia="zh-CN" w:bidi="ar"/>
              </w:rPr>
              <w:t>年用次数</w:t>
            </w:r>
            <w:r>
              <w:rPr>
                <w:rFonts w:hint="default" w:eastAsia="仿宋"/>
                <w:b/>
                <w:bCs/>
                <w:color w:val="auto"/>
                <w:kern w:val="0"/>
                <w:szCs w:val="21"/>
                <w:u w:val="none"/>
                <w:lang w:eastAsia="zh-CN" w:bidi="ar"/>
              </w:rPr>
              <w:t>（</w:t>
            </w:r>
            <w:r>
              <w:rPr>
                <w:rFonts w:hint="default" w:eastAsia="仿宋"/>
                <w:b/>
                <w:bCs/>
                <w:color w:val="auto"/>
                <w:kern w:val="0"/>
                <w:szCs w:val="21"/>
                <w:u w:val="none"/>
                <w:lang w:val="en-US" w:eastAsia="zh-CN" w:bidi="ar"/>
              </w:rPr>
              <w:t>次</w:t>
            </w:r>
            <w:r>
              <w:rPr>
                <w:rFonts w:hint="default" w:eastAsia="仿宋"/>
                <w:b/>
                <w:bCs/>
                <w:color w:val="auto"/>
                <w:kern w:val="0"/>
                <w:szCs w:val="21"/>
                <w:u w:val="none"/>
                <w:lang w:eastAsia="zh-CN" w:bidi="ar"/>
              </w:rPr>
              <w:t>）</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C67011">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年用自来水量m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9A0F">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2"/>
                <w:sz w:val="21"/>
                <w:szCs w:val="21"/>
                <w:u w:val="none"/>
                <w:lang w:val="en-US" w:eastAsia="zh-CN" w:bidi="ar-SA"/>
              </w:rPr>
            </w:pPr>
            <w:r>
              <w:rPr>
                <w:rFonts w:hint="default" w:ascii="Times New Roman" w:hAnsi="Times New Roman" w:eastAsia="仿宋" w:cs="Times New Roman"/>
                <w:b/>
                <w:bCs/>
                <w:i w:val="0"/>
                <w:iCs w:val="0"/>
                <w:color w:val="auto"/>
                <w:kern w:val="0"/>
                <w:sz w:val="21"/>
                <w:szCs w:val="21"/>
                <w:u w:val="none"/>
                <w:lang w:val="en-US" w:eastAsia="zh-CN" w:bidi="ar"/>
              </w:rPr>
              <w:t>损耗量</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3C7A">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年排放量</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8A6D">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年处置量（危废）</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56B3">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2"/>
                <w:sz w:val="21"/>
                <w:szCs w:val="21"/>
                <w:u w:val="none"/>
                <w:lang w:val="en-US" w:eastAsia="zh-CN" w:bidi="ar-SA"/>
              </w:rPr>
            </w:pPr>
            <w:r>
              <w:rPr>
                <w:rFonts w:hint="eastAsia" w:eastAsia="仿宋" w:cs="Times New Roman"/>
                <w:b/>
                <w:bCs/>
                <w:i w:val="0"/>
                <w:iCs w:val="0"/>
                <w:color w:val="auto"/>
                <w:kern w:val="0"/>
                <w:sz w:val="21"/>
                <w:szCs w:val="21"/>
                <w:u w:val="none"/>
                <w:lang w:val="en-US" w:eastAsia="zh-CN" w:bidi="ar"/>
              </w:rPr>
              <w:t>备注</w:t>
            </w:r>
          </w:p>
        </w:tc>
      </w:tr>
      <w:tr w14:paraId="7971C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1563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脱脂槽1</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0EF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E63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脱脂剂5%</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E3A3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0C98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39A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1C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D2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8.64</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C38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r>
              <w:rPr>
                <w:rFonts w:hint="eastAsia" w:eastAsia="仿宋" w:cs="Times New Roman"/>
                <w:i w:val="0"/>
                <w:iCs w:val="0"/>
                <w:color w:val="auto"/>
                <w:kern w:val="0"/>
                <w:sz w:val="21"/>
                <w:szCs w:val="21"/>
                <w:u w:val="none"/>
                <w:lang w:val="en-US" w:eastAsia="zh-CN" w:bidi="ar"/>
              </w:rPr>
              <w:t>26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CD3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8.38</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C27E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6DA4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5DFA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12915">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09B9A">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8730">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5666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35AD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A27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5059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0AF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8.64</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1FD4642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6" w:type="pct"/>
            <w:gridSpan w:val="2"/>
            <w:vMerge w:val="restart"/>
            <w:tcBorders>
              <w:top w:val="single" w:color="000000" w:sz="4" w:space="0"/>
              <w:left w:val="single" w:color="000000" w:sz="4" w:space="0"/>
              <w:right w:val="single" w:color="000000" w:sz="4" w:space="0"/>
            </w:tcBorders>
            <w:shd w:val="clear" w:color="auto" w:fill="auto"/>
            <w:noWrap/>
            <w:vAlign w:val="center"/>
          </w:tcPr>
          <w:p w14:paraId="408F16E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0</w:t>
            </w:r>
          </w:p>
        </w:tc>
        <w:tc>
          <w:tcPr>
            <w:tcW w:w="570" w:type="pct"/>
            <w:gridSpan w:val="2"/>
            <w:vMerge w:val="restart"/>
            <w:tcBorders>
              <w:top w:val="single" w:color="000000" w:sz="4" w:space="0"/>
              <w:left w:val="single" w:color="000000" w:sz="4" w:space="0"/>
              <w:right w:val="single" w:color="000000" w:sz="4" w:space="0"/>
            </w:tcBorders>
            <w:shd w:val="clear" w:color="auto" w:fill="auto"/>
            <w:vAlign w:val="center"/>
          </w:tcPr>
          <w:p w14:paraId="6643E4A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8.64</w:t>
            </w:r>
          </w:p>
        </w:tc>
        <w:tc>
          <w:tcPr>
            <w:tcW w:w="366" w:type="pct"/>
            <w:vMerge w:val="restart"/>
            <w:tcBorders>
              <w:top w:val="single" w:color="000000" w:sz="4" w:space="0"/>
              <w:left w:val="single" w:color="000000" w:sz="4" w:space="0"/>
              <w:right w:val="single" w:color="000000" w:sz="4" w:space="0"/>
            </w:tcBorders>
            <w:shd w:val="clear" w:color="auto" w:fill="auto"/>
            <w:vAlign w:val="center"/>
          </w:tcPr>
          <w:p w14:paraId="5683879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7DFB6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05704">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5C26">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A9A4">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391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47F2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B65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0.072</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138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DE8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3339B89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664105B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70" w:type="pct"/>
            <w:gridSpan w:val="2"/>
            <w:vMerge w:val="continue"/>
            <w:tcBorders>
              <w:left w:val="single" w:color="000000" w:sz="4" w:space="0"/>
              <w:bottom w:val="single" w:color="000000" w:sz="4" w:space="0"/>
              <w:right w:val="single" w:color="000000" w:sz="4" w:space="0"/>
            </w:tcBorders>
            <w:shd w:val="clear" w:color="auto" w:fill="auto"/>
            <w:vAlign w:val="center"/>
          </w:tcPr>
          <w:p w14:paraId="1F11C34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vMerge w:val="continue"/>
            <w:tcBorders>
              <w:left w:val="single" w:color="000000" w:sz="4" w:space="0"/>
              <w:bottom w:val="single" w:color="000000" w:sz="4" w:space="0"/>
              <w:right w:val="single" w:color="000000" w:sz="4" w:space="0"/>
            </w:tcBorders>
            <w:shd w:val="clear" w:color="auto" w:fill="auto"/>
            <w:vAlign w:val="center"/>
          </w:tcPr>
          <w:p w14:paraId="755498A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r>
      <w:tr w14:paraId="26B0D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AC4B9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3F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B0DD">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BFE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1ED5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6B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3B8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DA0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78B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2AB8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20C9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337E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0A648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2577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酸洗槽3</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C32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0028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硫酸20%，盐酸15%</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8CC2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28C2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940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669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79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8.64</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165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0.26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AA3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8.38</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BF01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664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059C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D4EFB">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708B">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FD8E3">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6854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5FAF8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147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855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F50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8.64</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6161B12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6" w:type="pct"/>
            <w:gridSpan w:val="2"/>
            <w:vMerge w:val="restart"/>
            <w:tcBorders>
              <w:top w:val="single" w:color="000000" w:sz="4" w:space="0"/>
              <w:left w:val="single" w:color="000000" w:sz="4" w:space="0"/>
              <w:right w:val="single" w:color="000000" w:sz="4" w:space="0"/>
            </w:tcBorders>
            <w:shd w:val="clear" w:color="auto" w:fill="auto"/>
            <w:noWrap/>
            <w:vAlign w:val="center"/>
          </w:tcPr>
          <w:p w14:paraId="4F61018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0</w:t>
            </w:r>
          </w:p>
        </w:tc>
        <w:tc>
          <w:tcPr>
            <w:tcW w:w="570" w:type="pct"/>
            <w:gridSpan w:val="2"/>
            <w:vMerge w:val="restart"/>
            <w:tcBorders>
              <w:top w:val="single" w:color="000000" w:sz="4" w:space="0"/>
              <w:left w:val="single" w:color="000000" w:sz="4" w:space="0"/>
              <w:right w:val="single" w:color="000000" w:sz="4" w:space="0"/>
            </w:tcBorders>
            <w:shd w:val="clear" w:color="auto" w:fill="auto"/>
            <w:vAlign w:val="center"/>
          </w:tcPr>
          <w:p w14:paraId="732E68C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8.64</w:t>
            </w:r>
          </w:p>
        </w:tc>
        <w:tc>
          <w:tcPr>
            <w:tcW w:w="366" w:type="pct"/>
            <w:vMerge w:val="restart"/>
            <w:tcBorders>
              <w:top w:val="single" w:color="000000" w:sz="4" w:space="0"/>
              <w:left w:val="single" w:color="000000" w:sz="4" w:space="0"/>
              <w:right w:val="single" w:color="000000" w:sz="4" w:space="0"/>
            </w:tcBorders>
            <w:shd w:val="clear" w:color="auto" w:fill="auto"/>
            <w:vAlign w:val="center"/>
          </w:tcPr>
          <w:p w14:paraId="1F07764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050C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AA70">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6CB7">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72565">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6EE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4735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F99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0.072</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D07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756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27004F3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21109D1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70" w:type="pct"/>
            <w:gridSpan w:val="2"/>
            <w:vMerge w:val="continue"/>
            <w:tcBorders>
              <w:left w:val="single" w:color="000000" w:sz="4" w:space="0"/>
              <w:bottom w:val="single" w:color="000000" w:sz="4" w:space="0"/>
              <w:right w:val="single" w:color="000000" w:sz="4" w:space="0"/>
            </w:tcBorders>
            <w:shd w:val="clear" w:color="auto" w:fill="auto"/>
            <w:vAlign w:val="center"/>
          </w:tcPr>
          <w:p w14:paraId="4402B3F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vMerge w:val="continue"/>
            <w:tcBorders>
              <w:left w:val="single" w:color="000000" w:sz="4" w:space="0"/>
              <w:bottom w:val="single" w:color="000000" w:sz="4" w:space="0"/>
              <w:right w:val="single" w:color="000000" w:sz="4" w:space="0"/>
            </w:tcBorders>
            <w:shd w:val="clear" w:color="auto" w:fill="auto"/>
            <w:vAlign w:val="center"/>
          </w:tcPr>
          <w:p w14:paraId="40B40A7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r>
      <w:tr w14:paraId="5A9C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53EB5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水洗槽4</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623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819D">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3994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24F4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C07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9F8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465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3B7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E1C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EFC2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E597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0699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0AD5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表调槽5</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6D9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9AD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表调剂5%</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851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5987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44F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EFE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08E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5.76</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729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r>
              <w:rPr>
                <w:rFonts w:hint="eastAsia" w:eastAsia="仿宋" w:cs="Times New Roman"/>
                <w:i w:val="0"/>
                <w:iCs w:val="0"/>
                <w:color w:val="auto"/>
                <w:kern w:val="0"/>
                <w:sz w:val="21"/>
                <w:szCs w:val="21"/>
                <w:u w:val="none"/>
                <w:lang w:val="en-US" w:eastAsia="zh-CN" w:bidi="ar"/>
              </w:rPr>
              <w:t>17</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E65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5.</w:t>
            </w:r>
            <w:r>
              <w:rPr>
                <w:rFonts w:hint="eastAsia" w:eastAsia="仿宋" w:cs="Times New Roman"/>
                <w:i w:val="0"/>
                <w:iCs w:val="0"/>
                <w:color w:val="auto"/>
                <w:kern w:val="0"/>
                <w:sz w:val="21"/>
                <w:szCs w:val="21"/>
                <w:u w:val="none"/>
                <w:lang w:val="en-US" w:eastAsia="zh-CN" w:bidi="ar"/>
              </w:rPr>
              <w:t>59</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EF56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028D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46D4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F9616">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FDD8">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520B">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2784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5EB6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B3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7FC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D5D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5.76</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0C9ED32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6" w:type="pct"/>
            <w:gridSpan w:val="2"/>
            <w:vMerge w:val="restart"/>
            <w:tcBorders>
              <w:top w:val="single" w:color="000000" w:sz="4" w:space="0"/>
              <w:left w:val="single" w:color="000000" w:sz="4" w:space="0"/>
              <w:right w:val="single" w:color="000000" w:sz="4" w:space="0"/>
            </w:tcBorders>
            <w:shd w:val="clear" w:color="auto" w:fill="auto"/>
            <w:noWrap/>
            <w:vAlign w:val="center"/>
          </w:tcPr>
          <w:p w14:paraId="0CCB36A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0</w:t>
            </w:r>
          </w:p>
        </w:tc>
        <w:tc>
          <w:tcPr>
            <w:tcW w:w="570" w:type="pct"/>
            <w:gridSpan w:val="2"/>
            <w:vMerge w:val="restart"/>
            <w:tcBorders>
              <w:top w:val="single" w:color="000000" w:sz="4" w:space="0"/>
              <w:left w:val="single" w:color="000000" w:sz="4" w:space="0"/>
              <w:right w:val="single" w:color="000000" w:sz="4" w:space="0"/>
            </w:tcBorders>
            <w:shd w:val="clear" w:color="auto" w:fill="auto"/>
            <w:vAlign w:val="center"/>
          </w:tcPr>
          <w:p w14:paraId="107EC90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5.76</w:t>
            </w:r>
          </w:p>
        </w:tc>
        <w:tc>
          <w:tcPr>
            <w:tcW w:w="366" w:type="pct"/>
            <w:vMerge w:val="restart"/>
            <w:tcBorders>
              <w:top w:val="single" w:color="000000" w:sz="4" w:space="0"/>
              <w:left w:val="single" w:color="000000" w:sz="4" w:space="0"/>
              <w:right w:val="single" w:color="000000" w:sz="4" w:space="0"/>
            </w:tcBorders>
            <w:shd w:val="clear" w:color="auto" w:fill="auto"/>
            <w:vAlign w:val="center"/>
          </w:tcPr>
          <w:p w14:paraId="21BE2C4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67835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EA5E7">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F72C">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E9B8">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F32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7F63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E1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0.072</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EC1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394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264C963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3D200A7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70" w:type="pct"/>
            <w:gridSpan w:val="2"/>
            <w:vMerge w:val="continue"/>
            <w:tcBorders>
              <w:left w:val="single" w:color="000000" w:sz="4" w:space="0"/>
              <w:bottom w:val="single" w:color="000000" w:sz="4" w:space="0"/>
              <w:right w:val="single" w:color="000000" w:sz="4" w:space="0"/>
            </w:tcBorders>
            <w:shd w:val="clear" w:color="auto" w:fill="auto"/>
            <w:vAlign w:val="center"/>
          </w:tcPr>
          <w:p w14:paraId="1B14185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vMerge w:val="continue"/>
            <w:tcBorders>
              <w:left w:val="single" w:color="000000" w:sz="4" w:space="0"/>
              <w:bottom w:val="single" w:color="000000" w:sz="4" w:space="0"/>
              <w:right w:val="single" w:color="000000" w:sz="4" w:space="0"/>
            </w:tcBorders>
            <w:shd w:val="clear" w:color="auto" w:fill="auto"/>
            <w:vAlign w:val="center"/>
          </w:tcPr>
          <w:p w14:paraId="4DE5E62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r>
      <w:tr w14:paraId="351AD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93592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24E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FAAF">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DE5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7DBA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5984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9F7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D4B0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31C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C362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DFEE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AD55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6E7DE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69C01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水洗槽7</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8B5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F90A">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F240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AB36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5CA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973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C7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661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988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9CBF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380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740F0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22453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硅烷槽8</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C68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6A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硅烷剂5%</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A318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8C93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D0D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137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78C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5.76</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7FA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r>
              <w:rPr>
                <w:rFonts w:hint="eastAsia" w:eastAsia="仿宋" w:cs="Times New Roman"/>
                <w:i w:val="0"/>
                <w:iCs w:val="0"/>
                <w:color w:val="auto"/>
                <w:kern w:val="0"/>
                <w:sz w:val="21"/>
                <w:szCs w:val="21"/>
                <w:u w:val="none"/>
                <w:lang w:val="en-US" w:eastAsia="zh-CN" w:bidi="ar"/>
              </w:rPr>
              <w:t>17</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F97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5.</w:t>
            </w:r>
            <w:r>
              <w:rPr>
                <w:rFonts w:hint="eastAsia" w:eastAsia="仿宋" w:cs="Times New Roman"/>
                <w:i w:val="0"/>
                <w:iCs w:val="0"/>
                <w:color w:val="auto"/>
                <w:kern w:val="0"/>
                <w:sz w:val="21"/>
                <w:szCs w:val="21"/>
                <w:u w:val="none"/>
                <w:lang w:val="en-US" w:eastAsia="zh-CN" w:bidi="ar"/>
              </w:rPr>
              <w:t>59</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5EC6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B90F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0823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3DAF0">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844A">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A1DF">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22AD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124D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3个月</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1E8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69F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278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5.76</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26468F0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6" w:type="pct"/>
            <w:gridSpan w:val="2"/>
            <w:vMerge w:val="restart"/>
            <w:tcBorders>
              <w:top w:val="single" w:color="000000" w:sz="4" w:space="0"/>
              <w:left w:val="single" w:color="000000" w:sz="4" w:space="0"/>
              <w:right w:val="single" w:color="000000" w:sz="4" w:space="0"/>
            </w:tcBorders>
            <w:shd w:val="clear" w:color="auto" w:fill="auto"/>
            <w:noWrap/>
            <w:vAlign w:val="center"/>
          </w:tcPr>
          <w:p w14:paraId="028E355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0</w:t>
            </w:r>
          </w:p>
        </w:tc>
        <w:tc>
          <w:tcPr>
            <w:tcW w:w="570" w:type="pct"/>
            <w:gridSpan w:val="2"/>
            <w:vMerge w:val="restart"/>
            <w:tcBorders>
              <w:top w:val="single" w:color="000000" w:sz="4" w:space="0"/>
              <w:left w:val="single" w:color="000000" w:sz="4" w:space="0"/>
              <w:right w:val="single" w:color="000000" w:sz="4" w:space="0"/>
            </w:tcBorders>
            <w:shd w:val="clear" w:color="auto" w:fill="auto"/>
            <w:vAlign w:val="center"/>
          </w:tcPr>
          <w:p w14:paraId="6124BC3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5.76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614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7673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3623E">
            <w:pPr>
              <w:jc w:val="center"/>
              <w:rPr>
                <w:rFonts w:hint="default" w:ascii="Times New Roman" w:hAnsi="Times New Roman" w:eastAsia="仿宋" w:cs="Times New Roman"/>
                <w:i w:val="0"/>
                <w:iCs w:val="0"/>
                <w:color w:val="auto"/>
                <w:sz w:val="21"/>
                <w:szCs w:val="21"/>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E131">
            <w:pPr>
              <w:jc w:val="center"/>
              <w:rPr>
                <w:rFonts w:hint="default" w:ascii="Times New Roman" w:hAnsi="Times New Roman" w:eastAsia="仿宋" w:cs="Times New Roman"/>
                <w:i w:val="0"/>
                <w:iCs w:val="0"/>
                <w:color w:val="auto"/>
                <w:sz w:val="21"/>
                <w:szCs w:val="21"/>
                <w:u w:val="none"/>
              </w:rPr>
            </w:pPr>
          </w:p>
        </w:tc>
        <w:tc>
          <w:tcPr>
            <w:tcW w:w="37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6280">
            <w:pPr>
              <w:jc w:val="center"/>
              <w:rPr>
                <w:rFonts w:hint="default" w:ascii="Times New Roman" w:hAnsi="Times New Roman" w:eastAsia="仿宋" w:cs="Times New Roman"/>
                <w:i w:val="0"/>
                <w:iCs w:val="0"/>
                <w:color w:val="auto"/>
                <w:sz w:val="21"/>
                <w:szCs w:val="21"/>
                <w:u w:val="none"/>
              </w:rPr>
            </w:pP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7D33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721F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DD0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0.072</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4C0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DB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21.6</w:t>
            </w: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233446F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503B39E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570" w:type="pct"/>
            <w:gridSpan w:val="2"/>
            <w:vMerge w:val="continue"/>
            <w:tcBorders>
              <w:left w:val="single" w:color="000000" w:sz="4" w:space="0"/>
              <w:bottom w:val="single" w:color="000000" w:sz="4" w:space="0"/>
              <w:right w:val="single" w:color="000000" w:sz="4" w:space="0"/>
            </w:tcBorders>
            <w:shd w:val="clear" w:color="auto" w:fill="auto"/>
            <w:vAlign w:val="center"/>
          </w:tcPr>
          <w:p w14:paraId="18CE87F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BEAD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51023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8501F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025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13D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31A5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E843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8CA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EB2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EE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6EA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42D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4683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532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2FCB9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9C303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B8D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80E9">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3A98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8D71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D3D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0EE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456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B58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B0B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DBA9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7555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21355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1768B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水洗槽11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4CC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6F7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F596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322E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FF4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B28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574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CFA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FE8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BBA0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35B9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75C2B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77D2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水洗槽12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B9D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3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B783">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09E8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4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1B2A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781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1.44</w:t>
            </w:r>
          </w:p>
        </w:tc>
        <w:tc>
          <w:tcPr>
            <w:tcW w:w="41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B32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CD4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432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226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12.96</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BBD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419.04</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D335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6CF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2"/>
                <w:sz w:val="21"/>
                <w:szCs w:val="21"/>
                <w:u w:val="none"/>
                <w:lang w:val="en-US" w:eastAsia="zh-CN" w:bidi="ar-SA"/>
              </w:rPr>
              <w:t>/</w:t>
            </w:r>
          </w:p>
        </w:tc>
      </w:tr>
      <w:tr w14:paraId="3CB8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922" w:type="pct"/>
            <w:gridSpan w:val="1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68C2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w:t>
            </w:r>
          </w:p>
        </w:tc>
        <w:tc>
          <w:tcPr>
            <w:tcW w:w="41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749E">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总计：3600</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7A4E">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eastAsia" w:eastAsia="仿宋" w:cs="Times New Roman"/>
                <w:b/>
                <w:bCs/>
                <w:i w:val="0"/>
                <w:iCs w:val="0"/>
                <w:color w:val="auto"/>
                <w:kern w:val="0"/>
                <w:sz w:val="21"/>
                <w:szCs w:val="21"/>
                <w:u w:val="none"/>
                <w:lang w:val="en-US" w:eastAsia="zh-CN" w:bidi="ar"/>
              </w:rPr>
              <w:t>190.94</w:t>
            </w:r>
          </w:p>
        </w:tc>
        <w:tc>
          <w:tcPr>
            <w:tcW w:w="3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E8B7">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eastAsia" w:eastAsia="仿宋" w:cs="Times New Roman"/>
                <w:b/>
                <w:bCs/>
                <w:i w:val="0"/>
                <w:iCs w:val="0"/>
                <w:color w:val="auto"/>
                <w:kern w:val="0"/>
                <w:sz w:val="21"/>
                <w:szCs w:val="21"/>
                <w:u w:val="none"/>
                <w:lang w:val="en-US" w:eastAsia="zh-CN" w:bidi="ar"/>
              </w:rPr>
              <w:t>3380.26</w:t>
            </w:r>
          </w:p>
        </w:tc>
        <w:tc>
          <w:tcPr>
            <w:tcW w:w="5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67E50">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eastAsia" w:eastAsia="仿宋" w:cs="Times New Roman"/>
                <w:b/>
                <w:bCs/>
                <w:i w:val="0"/>
                <w:iCs w:val="0"/>
                <w:color w:val="auto"/>
                <w:kern w:val="0"/>
                <w:sz w:val="21"/>
                <w:szCs w:val="21"/>
                <w:u w:val="none"/>
                <w:lang w:val="en-US" w:eastAsia="zh-CN" w:bidi="ar"/>
              </w:rPr>
              <w:t>28.8</w:t>
            </w: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3800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w:t>
            </w:r>
          </w:p>
        </w:tc>
      </w:tr>
      <w:tr w14:paraId="48EE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922" w:type="pct"/>
            <w:gridSpan w:val="1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9EA4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c>
          <w:tcPr>
            <w:tcW w:w="41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4666">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p>
        </w:tc>
        <w:tc>
          <w:tcPr>
            <w:tcW w:w="1296"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ECD0">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总计：3600</w:t>
            </w: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B50B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p>
        </w:tc>
      </w:tr>
      <w:tr w14:paraId="4FD1E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24"/>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14:paraId="70E0464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电泳处理1线</w:t>
            </w:r>
          </w:p>
        </w:tc>
      </w:tr>
      <w:tr w14:paraId="37EB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E6B19">
            <w:pPr>
              <w:jc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槽体</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0B0C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有效容积（</w:t>
            </w:r>
            <w:r>
              <w:rPr>
                <w:rFonts w:hint="default" w:ascii="Times New Roman" w:hAnsi="Times New Roman" w:eastAsia="仿宋" w:cs="Times New Roman"/>
                <w:b/>
                <w:bCs/>
                <w:i w:val="0"/>
                <w:iCs w:val="0"/>
                <w:color w:val="auto"/>
                <w:kern w:val="0"/>
                <w:sz w:val="21"/>
                <w:szCs w:val="21"/>
                <w:u w:val="none"/>
                <w:lang w:val="en-US" w:eastAsia="zh-CN" w:bidi="ar"/>
              </w:rPr>
              <w:t>m</w:t>
            </w:r>
            <w:r>
              <w:rPr>
                <w:rFonts w:hint="eastAsia" w:eastAsia="仿宋" w:cs="Times New Roman"/>
                <w:b/>
                <w:bCs/>
                <w:i w:val="0"/>
                <w:iCs w:val="0"/>
                <w:color w:val="auto"/>
                <w:kern w:val="0"/>
                <w:sz w:val="21"/>
                <w:szCs w:val="21"/>
                <w:u w:val="none"/>
                <w:vertAlign w:val="superscript"/>
                <w:lang w:val="en-US" w:eastAsia="zh-CN" w:bidi="ar"/>
              </w:rPr>
              <w:t>3</w:t>
            </w:r>
            <w:r>
              <w:rPr>
                <w:rStyle w:val="56"/>
                <w:rFonts w:hint="default" w:ascii="Times New Roman" w:hAnsi="Times New Roman" w:eastAsia="仿宋" w:cs="Times New Roman"/>
                <w:b/>
                <w:bCs/>
                <w:color w:val="auto"/>
                <w:sz w:val="21"/>
                <w:szCs w:val="21"/>
                <w:lang w:val="en-US" w:eastAsia="zh-CN" w:bidi="ar"/>
              </w:rPr>
              <w:t>）</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5029B">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主要成分浓度</w:t>
            </w:r>
          </w:p>
        </w:tc>
        <w:tc>
          <w:tcPr>
            <w:tcW w:w="61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582A8">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用水标准</w:t>
            </w:r>
          </w:p>
        </w:tc>
        <w:tc>
          <w:tcPr>
            <w:tcW w:w="38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63509">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更换次数</w:t>
            </w:r>
          </w:p>
        </w:tc>
        <w:tc>
          <w:tcPr>
            <w:tcW w:w="143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097AE9">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用水情况</w:t>
            </w:r>
          </w:p>
        </w:tc>
        <w:tc>
          <w:tcPr>
            <w:tcW w:w="1428" w:type="pct"/>
            <w:gridSpan w:val="6"/>
            <w:tcBorders>
              <w:top w:val="single" w:color="000000" w:sz="4" w:space="0"/>
              <w:left w:val="single" w:color="000000" w:sz="4" w:space="0"/>
              <w:bottom w:val="single" w:color="auto" w:sz="4" w:space="0"/>
              <w:right w:val="single" w:color="000000" w:sz="4" w:space="0"/>
            </w:tcBorders>
            <w:shd w:val="clear" w:color="auto" w:fill="auto"/>
            <w:noWrap/>
            <w:vAlign w:val="center"/>
          </w:tcPr>
          <w:p w14:paraId="24F71E58">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排放情况（m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r>
      <w:tr w14:paraId="10073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E76AF">
            <w:pPr>
              <w:jc w:val="center"/>
              <w:rPr>
                <w:rFonts w:hint="default" w:ascii="Times New Roman" w:hAnsi="Times New Roman" w:eastAsia="仿宋" w:cs="Times New Roman"/>
                <w:b/>
                <w:bCs/>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756D3">
            <w:pPr>
              <w:jc w:val="center"/>
              <w:rPr>
                <w:rFonts w:hint="default" w:ascii="Times New Roman" w:hAnsi="Times New Roman" w:eastAsia="仿宋" w:cs="Times New Roman"/>
                <w:b/>
                <w:bCs/>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C433F">
            <w:pPr>
              <w:jc w:val="center"/>
              <w:rPr>
                <w:rFonts w:hint="default" w:ascii="Times New Roman" w:hAnsi="Times New Roman" w:eastAsia="仿宋" w:cs="Times New Roman"/>
                <w:b/>
                <w:bCs/>
                <w:i w:val="0"/>
                <w:iCs w:val="0"/>
                <w:color w:val="auto"/>
                <w:sz w:val="21"/>
                <w:szCs w:val="21"/>
                <w:u w:val="none"/>
              </w:rPr>
            </w:pPr>
          </w:p>
        </w:tc>
        <w:tc>
          <w:tcPr>
            <w:tcW w:w="61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5E5CA">
            <w:pPr>
              <w:jc w:val="center"/>
              <w:rPr>
                <w:rFonts w:hint="default" w:ascii="Times New Roman" w:hAnsi="Times New Roman" w:eastAsia="仿宋" w:cs="Times New Roman"/>
                <w:b/>
                <w:bCs/>
                <w:i w:val="0"/>
                <w:iCs w:val="0"/>
                <w:color w:val="auto"/>
                <w:sz w:val="21"/>
                <w:szCs w:val="21"/>
                <w:u w:val="none"/>
              </w:rPr>
            </w:pPr>
          </w:p>
        </w:tc>
        <w:tc>
          <w:tcPr>
            <w:tcW w:w="3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94292">
            <w:pPr>
              <w:jc w:val="center"/>
              <w:rPr>
                <w:rFonts w:hint="default" w:ascii="Times New Roman" w:hAnsi="Times New Roman" w:eastAsia="仿宋" w:cs="Times New Roman"/>
                <w:b/>
                <w:bCs/>
                <w:i w:val="0"/>
                <w:iCs w:val="0"/>
                <w:color w:val="auto"/>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75DD">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溢流水量（</w:t>
            </w:r>
            <w:r>
              <w:rPr>
                <w:rFonts w:hint="default" w:ascii="Times New Roman" w:hAnsi="Times New Roman" w:eastAsia="仿宋" w:cs="Times New Roman"/>
                <w:b/>
                <w:bCs/>
                <w:i w:val="0"/>
                <w:iCs w:val="0"/>
                <w:color w:val="auto"/>
                <w:kern w:val="0"/>
                <w:sz w:val="21"/>
                <w:szCs w:val="21"/>
                <w:u w:val="none"/>
                <w:lang w:val="en-US" w:eastAsia="zh-CN" w:bidi="ar"/>
              </w:rPr>
              <w:t>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/h</w:t>
            </w:r>
            <w:r>
              <w:rPr>
                <w:rStyle w:val="56"/>
                <w:rFonts w:hint="default" w:ascii="Times New Roman" w:hAnsi="Times New Roman" w:eastAsia="仿宋" w:cs="Times New Roman"/>
                <w:b/>
                <w:bCs/>
                <w:color w:val="auto"/>
                <w:sz w:val="21"/>
                <w:szCs w:val="21"/>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3189">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纯水量</w:t>
            </w:r>
            <w:r>
              <w:rPr>
                <w:rFonts w:hint="default" w:ascii="Times New Roman" w:hAnsi="Times New Roman" w:eastAsia="仿宋" w:cs="Times New Roman"/>
                <w:b/>
                <w:bCs/>
                <w:i w:val="0"/>
                <w:iCs w:val="0"/>
                <w:color w:val="auto"/>
                <w:kern w:val="0"/>
                <w:sz w:val="21"/>
                <w:szCs w:val="21"/>
                <w:u w:val="none"/>
                <w:lang w:val="en-US" w:eastAsia="zh-CN" w:bidi="ar"/>
              </w:rPr>
              <w:t>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r>
              <w:rPr>
                <w:rStyle w:val="56"/>
                <w:rFonts w:hint="default" w:ascii="Times New Roman" w:hAnsi="Times New Roman" w:eastAsia="仿宋" w:cs="Times New Roman"/>
                <w:b/>
                <w:bCs/>
                <w:color w:val="auto"/>
                <w:sz w:val="21"/>
                <w:szCs w:val="21"/>
                <w:lang w:val="en-US" w:eastAsia="zh-CN" w:bidi="ar"/>
              </w:rPr>
              <w:t>次</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F75B0">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年用次数</w:t>
            </w:r>
            <w:r>
              <w:rPr>
                <w:rFonts w:hint="eastAsia" w:eastAsia="仿宋" w:cs="Times New Roman"/>
                <w:b/>
                <w:bCs/>
                <w:i w:val="0"/>
                <w:iCs w:val="0"/>
                <w:color w:val="auto"/>
                <w:kern w:val="0"/>
                <w:sz w:val="21"/>
                <w:szCs w:val="21"/>
                <w:u w:val="none"/>
                <w:lang w:val="en-US" w:eastAsia="zh-CN" w:bidi="ar"/>
              </w:rPr>
              <w:t>（次）</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02E7CE7C">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年用纯水量（m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c>
          <w:tcPr>
            <w:tcW w:w="33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7022253">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年排放量</w:t>
            </w:r>
          </w:p>
        </w:tc>
        <w:tc>
          <w:tcPr>
            <w:tcW w:w="36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97F9371">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sz w:val="21"/>
                <w:szCs w:val="21"/>
                <w:u w:val="none"/>
                <w:lang w:val="en-US" w:eastAsia="zh-CN"/>
              </w:rPr>
              <w:t>年处置量</w:t>
            </w:r>
            <w:r>
              <w:rPr>
                <w:rFonts w:hint="eastAsia" w:eastAsia="仿宋" w:cs="Times New Roman"/>
                <w:b/>
                <w:bCs/>
                <w:i w:val="0"/>
                <w:iCs w:val="0"/>
                <w:color w:val="auto"/>
                <w:sz w:val="21"/>
                <w:szCs w:val="21"/>
                <w:u w:val="none"/>
                <w:lang w:val="en-US" w:eastAsia="zh-CN"/>
              </w:rPr>
              <w:t>（危废）</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A0A822">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损耗量（m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c>
          <w:tcPr>
            <w:tcW w:w="3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9CBB98">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eastAsia" w:eastAsia="仿宋" w:cs="Times New Roman"/>
                <w:b/>
                <w:bCs/>
                <w:i w:val="0"/>
                <w:iCs w:val="0"/>
                <w:color w:val="auto"/>
                <w:kern w:val="0"/>
                <w:sz w:val="21"/>
                <w:szCs w:val="21"/>
                <w:u w:val="none"/>
                <w:lang w:val="en-US" w:eastAsia="zh-CN" w:bidi="ar"/>
              </w:rPr>
              <w:t>备注</w:t>
            </w:r>
          </w:p>
        </w:tc>
      </w:tr>
      <w:tr w14:paraId="36FE5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5FA0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脱脂槽</w:t>
            </w:r>
            <w:r>
              <w:rPr>
                <w:rFonts w:hint="default" w:ascii="Times New Roman" w:hAnsi="Times New Roman" w:eastAsia="仿宋" w:cs="Times New Roman"/>
                <w:i w:val="0"/>
                <w:iCs w:val="0"/>
                <w:color w:val="auto"/>
                <w:kern w:val="0"/>
                <w:sz w:val="21"/>
                <w:szCs w:val="21"/>
                <w:u w:val="none"/>
                <w:lang w:val="en-US" w:eastAsia="zh-CN" w:bidi="ar"/>
              </w:rPr>
              <w:t>1</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D141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9255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脱脂剂</w:t>
            </w:r>
            <w:r>
              <w:rPr>
                <w:rFonts w:hint="default" w:ascii="Times New Roman" w:hAnsi="Times New Roman" w:eastAsia="仿宋" w:cs="Times New Roman"/>
                <w:i w:val="0"/>
                <w:iCs w:val="0"/>
                <w:color w:val="auto"/>
                <w:kern w:val="0"/>
                <w:sz w:val="21"/>
                <w:szCs w:val="21"/>
                <w:u w:val="none"/>
                <w:lang w:val="en-US" w:eastAsia="zh-CN" w:bidi="ar"/>
              </w:rPr>
              <w:t>5%</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FFE1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4779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1D6B">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9A2D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8AD4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3B4D33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4BB1C3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5.87</w:t>
            </w:r>
          </w:p>
        </w:tc>
        <w:tc>
          <w:tcPr>
            <w:tcW w:w="36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BC6905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C1D7A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eastAsia" w:eastAsia="仿宋" w:cs="Times New Roman"/>
                <w:i w:val="0"/>
                <w:iCs w:val="0"/>
                <w:color w:val="auto"/>
                <w:kern w:val="0"/>
                <w:sz w:val="21"/>
                <w:szCs w:val="21"/>
                <w:highlight w:val="none"/>
                <w:u w:val="none"/>
                <w:lang w:val="en-US" w:eastAsia="zh-CN" w:bidi="ar"/>
              </w:rPr>
              <w:t>0.31</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2CBFD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02A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E9DD7">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8E0D1">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4356A">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8CD4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1D6A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311E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B9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02A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E9A5FB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45B5CD3">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645496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kern w:val="0"/>
                <w:sz w:val="21"/>
                <w:szCs w:val="21"/>
                <w:u w:val="none"/>
                <w:lang w:val="en-US" w:eastAsia="zh-CN" w:bidi="ar"/>
              </w:rPr>
              <w:t>6.18</w:t>
            </w:r>
          </w:p>
        </w:tc>
        <w:tc>
          <w:tcPr>
            <w:tcW w:w="36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959C4B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74D123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4938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E4D2492">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B999E">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3E3D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EBC8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C2D7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3E96">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EF7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8673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AE21E4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F9E131A">
            <w:pPr>
              <w:jc w:val="center"/>
              <w:rPr>
                <w:rFonts w:hint="default" w:ascii="Times New Roman" w:hAnsi="Times New Roman" w:eastAsia="仿宋" w:cs="Times New Roman"/>
                <w:i w:val="0"/>
                <w:iCs w:val="0"/>
                <w:color w:val="auto"/>
                <w:sz w:val="21"/>
                <w:szCs w:val="21"/>
                <w:u w:val="none"/>
              </w:rPr>
            </w:pPr>
          </w:p>
        </w:tc>
        <w:tc>
          <w:tcPr>
            <w:tcW w:w="36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6D695E1">
            <w:pPr>
              <w:jc w:val="center"/>
              <w:rPr>
                <w:rFonts w:hint="default" w:ascii="Times New Roman" w:hAnsi="Times New Roman" w:eastAsia="仿宋" w:cs="Times New Roman"/>
                <w:i w:val="0"/>
                <w:iCs w:val="0"/>
                <w:color w:val="auto"/>
                <w:sz w:val="21"/>
                <w:szCs w:val="21"/>
                <w:u w:val="none"/>
                <w:lang w:val="en-US" w:eastAsia="zh-CN"/>
              </w:rPr>
            </w:pPr>
          </w:p>
        </w:tc>
        <w:tc>
          <w:tcPr>
            <w:tcW w:w="36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D85335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F02C2A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317B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1CFE4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9E0D06">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2</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4F6AFA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40C5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纯水</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EFA4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3FF8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CE7A1">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D00D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F5F2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F49D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2B36B58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7DC7B41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1CC13D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auto" w:sz="4" w:space="0"/>
              <w:left w:val="single" w:color="000000" w:sz="4" w:space="0"/>
              <w:bottom w:val="single" w:color="000000" w:sz="4" w:space="0"/>
              <w:right w:val="single" w:color="000000" w:sz="4" w:space="0"/>
            </w:tcBorders>
            <w:shd w:val="clear" w:color="auto" w:fill="auto"/>
            <w:vAlign w:val="center"/>
          </w:tcPr>
          <w:p w14:paraId="1E4A8D3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3DC5E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5CCBB5E0">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80E7178">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AD882E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9E452">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6FDA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3286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ECF39">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6604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867E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0EA5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E62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F71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2D9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4CA92">
            <w:pPr>
              <w:jc w:val="center"/>
              <w:rPr>
                <w:rFonts w:hint="default" w:ascii="Times New Roman" w:hAnsi="Times New Roman" w:eastAsia="仿宋" w:cs="Times New Roman"/>
                <w:i w:val="0"/>
                <w:iCs w:val="0"/>
                <w:color w:val="auto"/>
                <w:sz w:val="21"/>
                <w:szCs w:val="21"/>
                <w:u w:val="none"/>
              </w:rPr>
            </w:pPr>
          </w:p>
        </w:tc>
      </w:tr>
      <w:tr w14:paraId="54A9C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5213FC9B">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F0C73B6">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947B0F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11B8B">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F5C7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CF44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1FA1">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9101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77843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4E9A6">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707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E4B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8BB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5E2C3">
            <w:pPr>
              <w:jc w:val="center"/>
              <w:rPr>
                <w:rFonts w:hint="default" w:ascii="Times New Roman" w:hAnsi="Times New Roman" w:eastAsia="仿宋" w:cs="Times New Roman"/>
                <w:i w:val="0"/>
                <w:iCs w:val="0"/>
                <w:color w:val="auto"/>
                <w:sz w:val="21"/>
                <w:szCs w:val="21"/>
                <w:u w:val="none"/>
              </w:rPr>
            </w:pPr>
          </w:p>
        </w:tc>
      </w:tr>
      <w:tr w14:paraId="31676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85338D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82003CE">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3</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8D503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C6F0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纯水</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6EB6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FFC4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CF5D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3636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78F5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B43A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209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1A1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49D0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1492">
            <w:pPr>
              <w:jc w:val="center"/>
              <w:rPr>
                <w:rFonts w:hint="default" w:ascii="Times New Roman" w:hAnsi="Times New Roman" w:eastAsia="仿宋" w:cs="Times New Roman"/>
                <w:i w:val="0"/>
                <w:iCs w:val="0"/>
                <w:color w:val="auto"/>
                <w:sz w:val="21"/>
                <w:szCs w:val="21"/>
                <w:u w:val="none"/>
              </w:rPr>
            </w:pPr>
          </w:p>
        </w:tc>
      </w:tr>
      <w:tr w14:paraId="1D18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B7C156B">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2D5405">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B1F0B">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7423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D3F3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C3D2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6CF6">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2696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D2D5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A5B9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10F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730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445F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1C08F">
            <w:pPr>
              <w:jc w:val="center"/>
              <w:rPr>
                <w:rFonts w:hint="default" w:ascii="Times New Roman" w:hAnsi="Times New Roman" w:eastAsia="仿宋" w:cs="Times New Roman"/>
                <w:i w:val="0"/>
                <w:iCs w:val="0"/>
                <w:color w:val="auto"/>
                <w:sz w:val="21"/>
                <w:szCs w:val="21"/>
                <w:u w:val="none"/>
              </w:rPr>
            </w:pPr>
          </w:p>
        </w:tc>
      </w:tr>
      <w:tr w14:paraId="45B94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9763B2B">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6841DB7">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564F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59716">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126E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965FF">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27C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99B9B">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C6A79">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BBAE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eastAsia" w:eastAsia="仿宋" w:cs="Times New Roman"/>
                <w:i w:val="0"/>
                <w:iCs w:val="0"/>
                <w:color w:val="auto"/>
                <w:kern w:val="0"/>
                <w:sz w:val="21"/>
                <w:szCs w:val="21"/>
                <w:highlight w:val="none"/>
                <w:u w:val="none"/>
                <w:lang w:val="en-US" w:eastAsia="zh-CN" w:bidi="ar"/>
              </w:rPr>
              <w:t>750</w:t>
            </w:r>
          </w:p>
        </w:tc>
        <w:tc>
          <w:tcPr>
            <w:tcW w:w="336"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55E7B89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FDC4AE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296687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989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38153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56D046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酸洗槽</w:t>
            </w:r>
            <w:r>
              <w:rPr>
                <w:rFonts w:hint="default" w:ascii="Times New Roman" w:hAnsi="Times New Roman" w:eastAsia="仿宋" w:cs="Times New Roman"/>
                <w:i w:val="0"/>
                <w:iCs w:val="0"/>
                <w:color w:val="auto"/>
                <w:kern w:val="0"/>
                <w:sz w:val="21"/>
                <w:szCs w:val="21"/>
                <w:u w:val="none"/>
                <w:lang w:val="en-US" w:eastAsia="zh-CN" w:bidi="ar"/>
              </w:rPr>
              <w:t>4</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5E1B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02C6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硫酸</w:t>
            </w:r>
            <w:r>
              <w:rPr>
                <w:rFonts w:hint="default" w:ascii="Times New Roman" w:hAnsi="Times New Roman" w:eastAsia="仿宋" w:cs="Times New Roman"/>
                <w:i w:val="0"/>
                <w:iCs w:val="0"/>
                <w:color w:val="auto"/>
                <w:kern w:val="0"/>
                <w:sz w:val="21"/>
                <w:szCs w:val="21"/>
                <w:u w:val="none"/>
                <w:lang w:val="en-US" w:eastAsia="zh-CN" w:bidi="ar"/>
              </w:rPr>
              <w:t>5%</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6AC9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ACA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85288">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A3F3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43AB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AA120F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859DCC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5.99</w:t>
            </w:r>
          </w:p>
        </w:tc>
        <w:tc>
          <w:tcPr>
            <w:tcW w:w="36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7011DF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F6DC0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0.19</w:t>
            </w: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157484A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198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1173087">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0F087">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936F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A610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FD5F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0083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935E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D886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792FF7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vMerge w:val="restart"/>
            <w:tcBorders>
              <w:top w:val="single" w:color="auto" w:sz="4" w:space="0"/>
              <w:left w:val="single" w:color="auto" w:sz="4" w:space="0"/>
              <w:right w:val="single" w:color="auto" w:sz="4" w:space="0"/>
            </w:tcBorders>
            <w:shd w:val="clear" w:color="auto" w:fill="auto"/>
            <w:noWrap/>
            <w:vAlign w:val="center"/>
          </w:tcPr>
          <w:p w14:paraId="50338934">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vMerge w:val="restart"/>
            <w:tcBorders>
              <w:top w:val="single" w:color="auto" w:sz="4" w:space="0"/>
              <w:left w:val="single" w:color="auto" w:sz="4" w:space="0"/>
              <w:right w:val="single" w:color="auto" w:sz="4" w:space="0"/>
            </w:tcBorders>
            <w:shd w:val="clear" w:color="auto" w:fill="auto"/>
            <w:noWrap/>
            <w:vAlign w:val="center"/>
          </w:tcPr>
          <w:p w14:paraId="6745800A">
            <w:pPr>
              <w:jc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6.18</w:t>
            </w:r>
          </w:p>
        </w:tc>
        <w:tc>
          <w:tcPr>
            <w:tcW w:w="365" w:type="pct"/>
            <w:vMerge w:val="restart"/>
            <w:tcBorders>
              <w:top w:val="single" w:color="auto" w:sz="4" w:space="0"/>
              <w:left w:val="single" w:color="auto" w:sz="4" w:space="0"/>
              <w:right w:val="single" w:color="auto" w:sz="4" w:space="0"/>
            </w:tcBorders>
            <w:shd w:val="clear" w:color="auto" w:fill="auto"/>
            <w:noWrap/>
            <w:vAlign w:val="center"/>
          </w:tcPr>
          <w:p w14:paraId="1F21CF6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0E1E35C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4212E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4C49F48">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40068">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74E2C">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8FC4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46B8D">
            <w:pPr>
              <w:keepNext w:val="0"/>
              <w:keepLines w:val="0"/>
              <w:widowControl/>
              <w:suppressLineNumbers w:val="0"/>
              <w:jc w:val="center"/>
              <w:textAlignment w:val="center"/>
              <w:rPr>
                <w:rFonts w:hint="eastAsia"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5DD3">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406F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5868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55CF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auto" w:sz="4" w:space="0"/>
              <w:bottom w:val="single" w:color="000000" w:sz="4" w:space="0"/>
              <w:right w:val="single" w:color="auto" w:sz="4" w:space="0"/>
            </w:tcBorders>
            <w:shd w:val="clear" w:color="auto" w:fill="auto"/>
            <w:noWrap/>
            <w:vAlign w:val="center"/>
          </w:tcPr>
          <w:p w14:paraId="72690118">
            <w:pPr>
              <w:jc w:val="center"/>
              <w:rPr>
                <w:rFonts w:hint="default" w:ascii="Times New Roman" w:hAnsi="Times New Roman" w:eastAsia="仿宋" w:cs="Times New Roman"/>
                <w:i w:val="0"/>
                <w:iCs w:val="0"/>
                <w:color w:val="auto"/>
                <w:sz w:val="21"/>
                <w:szCs w:val="21"/>
                <w:u w:val="none"/>
              </w:rPr>
            </w:pPr>
          </w:p>
        </w:tc>
        <w:tc>
          <w:tcPr>
            <w:tcW w:w="360" w:type="pct"/>
            <w:gridSpan w:val="2"/>
            <w:vMerge w:val="continue"/>
            <w:tcBorders>
              <w:left w:val="single" w:color="auto" w:sz="4" w:space="0"/>
              <w:bottom w:val="single" w:color="000000" w:sz="4" w:space="0"/>
              <w:right w:val="single" w:color="auto" w:sz="4" w:space="0"/>
            </w:tcBorders>
            <w:shd w:val="clear" w:color="auto" w:fill="auto"/>
            <w:noWrap/>
            <w:vAlign w:val="center"/>
          </w:tcPr>
          <w:p w14:paraId="2370B92E">
            <w:pPr>
              <w:jc w:val="center"/>
              <w:rPr>
                <w:rFonts w:hint="default" w:ascii="Times New Roman" w:hAnsi="Times New Roman" w:eastAsia="仿宋" w:cs="Times New Roman"/>
                <w:i w:val="0"/>
                <w:iCs w:val="0"/>
                <w:color w:val="auto"/>
                <w:sz w:val="21"/>
                <w:szCs w:val="21"/>
                <w:u w:val="none"/>
                <w:lang w:val="en-US" w:eastAsia="zh-CN"/>
              </w:rPr>
            </w:pPr>
          </w:p>
        </w:tc>
        <w:tc>
          <w:tcPr>
            <w:tcW w:w="365" w:type="pct"/>
            <w:vMerge w:val="continue"/>
            <w:tcBorders>
              <w:left w:val="single" w:color="auto" w:sz="4" w:space="0"/>
              <w:bottom w:val="single" w:color="000000" w:sz="4" w:space="0"/>
              <w:right w:val="single" w:color="auto" w:sz="4" w:space="0"/>
            </w:tcBorders>
            <w:shd w:val="clear" w:color="auto" w:fill="auto"/>
            <w:noWrap/>
            <w:vAlign w:val="center"/>
          </w:tcPr>
          <w:p w14:paraId="41878A8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FD22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2DD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000000" w:sz="4" w:space="0"/>
              <w:right w:val="single" w:color="000000" w:sz="4" w:space="0"/>
            </w:tcBorders>
            <w:shd w:val="clear" w:color="auto" w:fill="auto"/>
            <w:vAlign w:val="center"/>
          </w:tcPr>
          <w:p w14:paraId="635B898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2C72BF78">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5</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D827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DAF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82E8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4D95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2FBE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988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8155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67C7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39D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95C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2BF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D99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6007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67023AC6">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1AE09FB3">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28694">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830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4BD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35B6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17E0">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20E5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D862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5410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BE7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2E1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ABA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3601">
            <w:pPr>
              <w:jc w:val="center"/>
              <w:rPr>
                <w:rFonts w:hint="default" w:ascii="Times New Roman" w:hAnsi="Times New Roman" w:eastAsia="仿宋" w:cs="Times New Roman"/>
                <w:i w:val="0"/>
                <w:iCs w:val="0"/>
                <w:color w:val="auto"/>
                <w:sz w:val="21"/>
                <w:szCs w:val="21"/>
                <w:u w:val="none"/>
              </w:rPr>
            </w:pPr>
          </w:p>
        </w:tc>
      </w:tr>
      <w:tr w14:paraId="34454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36CD0184">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5312F0A8">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C236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4219F">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B12A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5D1C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994B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3918">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28707">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67EBC">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27D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99C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7C0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21A0">
            <w:pPr>
              <w:jc w:val="center"/>
              <w:rPr>
                <w:rFonts w:hint="default" w:ascii="Times New Roman" w:hAnsi="Times New Roman" w:eastAsia="仿宋" w:cs="Times New Roman"/>
                <w:i w:val="0"/>
                <w:iCs w:val="0"/>
                <w:color w:val="auto"/>
                <w:sz w:val="21"/>
                <w:szCs w:val="21"/>
                <w:u w:val="none"/>
              </w:rPr>
            </w:pPr>
          </w:p>
        </w:tc>
      </w:tr>
      <w:tr w14:paraId="5519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0C8C112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01328455">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6</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1CF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4FA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A6AC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9CF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E6CCC">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80AF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E6661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D4B5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89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A7E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030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0AC7A">
            <w:pPr>
              <w:jc w:val="center"/>
              <w:rPr>
                <w:rFonts w:hint="default" w:ascii="Times New Roman" w:hAnsi="Times New Roman" w:eastAsia="仿宋" w:cs="Times New Roman"/>
                <w:i w:val="0"/>
                <w:iCs w:val="0"/>
                <w:color w:val="auto"/>
                <w:sz w:val="21"/>
                <w:szCs w:val="21"/>
                <w:u w:val="none"/>
              </w:rPr>
            </w:pPr>
          </w:p>
        </w:tc>
      </w:tr>
      <w:tr w14:paraId="4FDAF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4B33F70F">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41FF1B4A">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1BF0">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D5784">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D951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E111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68A8">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26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44B4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6F02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AB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6214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A59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6B661">
            <w:pPr>
              <w:jc w:val="center"/>
              <w:rPr>
                <w:rFonts w:hint="default" w:ascii="Times New Roman" w:hAnsi="Times New Roman" w:eastAsia="仿宋" w:cs="Times New Roman"/>
                <w:i w:val="0"/>
                <w:iCs w:val="0"/>
                <w:color w:val="auto"/>
                <w:sz w:val="21"/>
                <w:szCs w:val="21"/>
                <w:u w:val="none"/>
              </w:rPr>
            </w:pPr>
          </w:p>
        </w:tc>
      </w:tr>
      <w:tr w14:paraId="3659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bottom w:val="single" w:color="auto" w:sz="4" w:space="0"/>
              <w:right w:val="single" w:color="000000" w:sz="4" w:space="0"/>
            </w:tcBorders>
            <w:shd w:val="clear" w:color="auto" w:fill="auto"/>
            <w:vAlign w:val="center"/>
          </w:tcPr>
          <w:p w14:paraId="3105BF01">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1E1A20FE">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3764">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84B2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41DE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4B13B">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AAA4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0055C">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02C7F">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CF04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750</w:t>
            </w:r>
          </w:p>
        </w:tc>
        <w:tc>
          <w:tcPr>
            <w:tcW w:w="336"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310B57F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4B9D7D0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EE6E56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D0DA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3B01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478DFC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中和槽</w:t>
            </w:r>
            <w:r>
              <w:rPr>
                <w:rFonts w:hint="default" w:ascii="Times New Roman" w:hAnsi="Times New Roman" w:eastAsia="仿宋" w:cs="Times New Roman"/>
                <w:i w:val="0"/>
                <w:iCs w:val="0"/>
                <w:color w:val="auto"/>
                <w:kern w:val="0"/>
                <w:sz w:val="21"/>
                <w:szCs w:val="21"/>
                <w:u w:val="none"/>
                <w:lang w:val="en-US" w:eastAsia="zh-CN" w:bidi="ar"/>
              </w:rPr>
              <w:t>7</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B56B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E7D8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中和剂</w:t>
            </w:r>
            <w:r>
              <w:rPr>
                <w:rFonts w:hint="default" w:ascii="Times New Roman" w:hAnsi="Times New Roman" w:eastAsia="仿宋" w:cs="Times New Roman"/>
                <w:i w:val="0"/>
                <w:iCs w:val="0"/>
                <w:color w:val="auto"/>
                <w:kern w:val="0"/>
                <w:sz w:val="21"/>
                <w:szCs w:val="21"/>
                <w:u w:val="none"/>
                <w:lang w:val="en-US" w:eastAsia="zh-CN" w:bidi="ar"/>
              </w:rPr>
              <w:t>3%</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9491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B1F3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30FA">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E04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FDB6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AA09A7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33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4402B1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p>
        </w:tc>
        <w:tc>
          <w:tcPr>
            <w:tcW w:w="36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4AF574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5C64E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0.12</w:t>
            </w:r>
          </w:p>
        </w:tc>
        <w:tc>
          <w:tcPr>
            <w:tcW w:w="366" w:type="pct"/>
            <w:vMerge w:val="restart"/>
            <w:tcBorders>
              <w:top w:val="single" w:color="000000" w:sz="4" w:space="0"/>
              <w:left w:val="single" w:color="auto" w:sz="4" w:space="0"/>
              <w:right w:val="single" w:color="000000" w:sz="4" w:space="0"/>
            </w:tcBorders>
            <w:shd w:val="clear" w:color="auto" w:fill="auto"/>
            <w:vAlign w:val="center"/>
          </w:tcPr>
          <w:p w14:paraId="37033D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62B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AAD6CA9">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56205">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365DA">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BB0F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734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EBD5D">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A8B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9B13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01A800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336" w:type="pct"/>
            <w:gridSpan w:val="2"/>
            <w:vMerge w:val="restart"/>
            <w:tcBorders>
              <w:top w:val="single" w:color="auto" w:sz="4" w:space="0"/>
              <w:left w:val="single" w:color="auto" w:sz="4" w:space="0"/>
              <w:right w:val="single" w:color="auto" w:sz="4" w:space="0"/>
            </w:tcBorders>
            <w:shd w:val="clear" w:color="auto" w:fill="auto"/>
            <w:noWrap/>
            <w:vAlign w:val="center"/>
          </w:tcPr>
          <w:p w14:paraId="29B4CE6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vMerge w:val="restart"/>
            <w:tcBorders>
              <w:top w:val="single" w:color="auto" w:sz="4" w:space="0"/>
              <w:left w:val="single" w:color="auto" w:sz="4" w:space="0"/>
              <w:right w:val="single" w:color="auto" w:sz="4" w:space="0"/>
            </w:tcBorders>
            <w:shd w:val="clear" w:color="auto" w:fill="auto"/>
            <w:noWrap/>
            <w:vAlign w:val="center"/>
          </w:tcPr>
          <w:p w14:paraId="4D319E1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4.12</w:t>
            </w:r>
          </w:p>
        </w:tc>
        <w:tc>
          <w:tcPr>
            <w:tcW w:w="365" w:type="pct"/>
            <w:vMerge w:val="restart"/>
            <w:tcBorders>
              <w:top w:val="single" w:color="auto" w:sz="4" w:space="0"/>
              <w:left w:val="single" w:color="auto" w:sz="4" w:space="0"/>
              <w:right w:val="single" w:color="auto" w:sz="4" w:space="0"/>
            </w:tcBorders>
            <w:shd w:val="clear" w:color="auto" w:fill="auto"/>
            <w:noWrap/>
            <w:vAlign w:val="center"/>
          </w:tcPr>
          <w:p w14:paraId="3104784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vMerge w:val="continue"/>
            <w:tcBorders>
              <w:left w:val="single" w:color="auto" w:sz="4" w:space="0"/>
              <w:bottom w:val="single" w:color="000000" w:sz="4" w:space="0"/>
              <w:right w:val="single" w:color="000000" w:sz="4" w:space="0"/>
            </w:tcBorders>
            <w:shd w:val="clear" w:color="auto" w:fill="auto"/>
            <w:vAlign w:val="center"/>
          </w:tcPr>
          <w:p w14:paraId="0E29054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061C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4659D5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C8228">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AB128">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0097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2D5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0C0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48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9352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7C76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auto" w:sz="4" w:space="0"/>
              <w:bottom w:val="single" w:color="000000" w:sz="4" w:space="0"/>
              <w:right w:val="single" w:color="auto" w:sz="4" w:space="0"/>
            </w:tcBorders>
            <w:shd w:val="clear" w:color="auto" w:fill="auto"/>
            <w:noWrap/>
            <w:vAlign w:val="center"/>
          </w:tcPr>
          <w:p w14:paraId="7B826D9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0" w:type="pct"/>
            <w:gridSpan w:val="2"/>
            <w:vMerge w:val="continue"/>
            <w:tcBorders>
              <w:left w:val="single" w:color="auto" w:sz="4" w:space="0"/>
              <w:bottom w:val="single" w:color="000000" w:sz="4" w:space="0"/>
              <w:right w:val="single" w:color="auto" w:sz="4" w:space="0"/>
            </w:tcBorders>
            <w:shd w:val="clear" w:color="auto" w:fill="auto"/>
            <w:noWrap/>
            <w:vAlign w:val="center"/>
          </w:tcPr>
          <w:p w14:paraId="5AB5BFD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p>
        </w:tc>
        <w:tc>
          <w:tcPr>
            <w:tcW w:w="365" w:type="pct"/>
            <w:vMerge w:val="continue"/>
            <w:tcBorders>
              <w:left w:val="single" w:color="auto" w:sz="4" w:space="0"/>
              <w:bottom w:val="single" w:color="000000" w:sz="4" w:space="0"/>
              <w:right w:val="single" w:color="auto" w:sz="4" w:space="0"/>
            </w:tcBorders>
            <w:shd w:val="clear" w:color="auto" w:fill="auto"/>
            <w:noWrap/>
            <w:vAlign w:val="center"/>
          </w:tcPr>
          <w:p w14:paraId="676783A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9E6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985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000000" w:sz="4" w:space="0"/>
              <w:right w:val="single" w:color="000000" w:sz="4" w:space="0"/>
            </w:tcBorders>
            <w:shd w:val="clear" w:color="auto" w:fill="auto"/>
            <w:vAlign w:val="center"/>
          </w:tcPr>
          <w:p w14:paraId="77564B4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1814F2C5">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8</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5348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3997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3593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AB28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EBA9">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119F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BEB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0BC6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563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8BE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B15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F146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1B85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4B7765A4">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73BD4E7D">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204A6">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AF40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DAB1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8651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CEE6">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BBC6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D3CE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735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7F4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CCB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1D2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5B7FC">
            <w:pPr>
              <w:jc w:val="center"/>
              <w:rPr>
                <w:rFonts w:hint="default" w:ascii="Times New Roman" w:hAnsi="Times New Roman" w:eastAsia="仿宋" w:cs="Times New Roman"/>
                <w:i w:val="0"/>
                <w:iCs w:val="0"/>
                <w:color w:val="auto"/>
                <w:sz w:val="21"/>
                <w:szCs w:val="21"/>
                <w:u w:val="none"/>
              </w:rPr>
            </w:pPr>
          </w:p>
        </w:tc>
      </w:tr>
      <w:tr w14:paraId="22713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752E1693">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7DE8F07A">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E176">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4E39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4E37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7448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0ABBC">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64A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6C3B7">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D271A">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92B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BAD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BA8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90D1">
            <w:pPr>
              <w:jc w:val="center"/>
              <w:rPr>
                <w:rFonts w:hint="default" w:ascii="Times New Roman" w:hAnsi="Times New Roman" w:eastAsia="仿宋" w:cs="Times New Roman"/>
                <w:i w:val="0"/>
                <w:iCs w:val="0"/>
                <w:color w:val="auto"/>
                <w:sz w:val="21"/>
                <w:szCs w:val="21"/>
                <w:u w:val="none"/>
              </w:rPr>
            </w:pPr>
          </w:p>
        </w:tc>
      </w:tr>
      <w:tr w14:paraId="41E8F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5951C2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09471D65">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9</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5CB8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D6E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50CB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7CE9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8C3D">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E35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9796A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B2DB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4FF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668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5FB8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0F91C">
            <w:pPr>
              <w:jc w:val="center"/>
              <w:rPr>
                <w:rFonts w:hint="default" w:ascii="Times New Roman" w:hAnsi="Times New Roman" w:eastAsia="仿宋" w:cs="Times New Roman"/>
                <w:i w:val="0"/>
                <w:iCs w:val="0"/>
                <w:color w:val="auto"/>
                <w:sz w:val="21"/>
                <w:szCs w:val="21"/>
                <w:u w:val="none"/>
              </w:rPr>
            </w:pPr>
          </w:p>
        </w:tc>
      </w:tr>
      <w:tr w14:paraId="2A6D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446D144D">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36EBFD2E">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B687E">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08479">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ADB8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239C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22730">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8216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895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8E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A25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493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891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F226">
            <w:pPr>
              <w:jc w:val="center"/>
              <w:rPr>
                <w:rFonts w:hint="default" w:ascii="Times New Roman" w:hAnsi="Times New Roman" w:eastAsia="仿宋" w:cs="Times New Roman"/>
                <w:i w:val="0"/>
                <w:iCs w:val="0"/>
                <w:color w:val="auto"/>
                <w:sz w:val="21"/>
                <w:szCs w:val="21"/>
                <w:u w:val="none"/>
              </w:rPr>
            </w:pPr>
          </w:p>
        </w:tc>
      </w:tr>
      <w:tr w14:paraId="48BD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bottom w:val="single" w:color="auto" w:sz="4" w:space="0"/>
              <w:right w:val="single" w:color="000000" w:sz="4" w:space="0"/>
            </w:tcBorders>
            <w:shd w:val="clear" w:color="auto" w:fill="auto"/>
            <w:vAlign w:val="center"/>
          </w:tcPr>
          <w:p w14:paraId="0162FDC3">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62F4CF66">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C1925">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F5528">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91F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A99656">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429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BD5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EF8F">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3B2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lang w:val="en-US" w:eastAsia="zh-CN"/>
              </w:rPr>
            </w:pPr>
            <w:r>
              <w:rPr>
                <w:rFonts w:hint="eastAsia" w:eastAsia="仿宋" w:cs="Times New Roman"/>
                <w:i w:val="0"/>
                <w:iCs w:val="0"/>
                <w:color w:val="auto"/>
                <w:kern w:val="0"/>
                <w:sz w:val="21"/>
                <w:szCs w:val="21"/>
                <w:highlight w:val="none"/>
                <w:u w:val="none"/>
                <w:lang w:val="en-US" w:eastAsia="zh-CN" w:bidi="ar"/>
              </w:rPr>
              <w:t>750</w:t>
            </w:r>
          </w:p>
        </w:tc>
        <w:tc>
          <w:tcPr>
            <w:tcW w:w="336"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5C02094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1E863ED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C87194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8666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1396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F360E6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硅烷处理槽</w:t>
            </w:r>
            <w:r>
              <w:rPr>
                <w:rFonts w:hint="default" w:ascii="Times New Roman" w:hAnsi="Times New Roman" w:eastAsia="仿宋" w:cs="Times New Roman"/>
                <w:i w:val="0"/>
                <w:iCs w:val="0"/>
                <w:color w:val="auto"/>
                <w:kern w:val="0"/>
                <w:sz w:val="21"/>
                <w:szCs w:val="21"/>
                <w:u w:val="none"/>
                <w:lang w:val="en-US" w:eastAsia="zh-CN" w:bidi="ar"/>
              </w:rPr>
              <w:t>10</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ED6B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637FD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硅烷剂</w:t>
            </w:r>
            <w:r>
              <w:rPr>
                <w:rFonts w:hint="default" w:ascii="Times New Roman" w:hAnsi="Times New Roman" w:eastAsia="仿宋" w:cs="Times New Roman"/>
                <w:i w:val="0"/>
                <w:iCs w:val="0"/>
                <w:color w:val="auto"/>
                <w:kern w:val="0"/>
                <w:sz w:val="21"/>
                <w:szCs w:val="21"/>
                <w:u w:val="none"/>
                <w:lang w:val="en-US" w:eastAsia="zh-CN" w:bidi="ar"/>
              </w:rPr>
              <w:t>3%</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CA15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886A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2E5C3">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9FD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C71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0F884E3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33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C8C45F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p>
        </w:tc>
        <w:tc>
          <w:tcPr>
            <w:tcW w:w="36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6FE7D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64C7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0.12</w:t>
            </w: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27B2612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0010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1719EF4">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10067">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E9789">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6334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12C7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4899">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E9CF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DB8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71E1A2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336" w:type="pct"/>
            <w:gridSpan w:val="2"/>
            <w:vMerge w:val="restart"/>
            <w:tcBorders>
              <w:top w:val="single" w:color="auto" w:sz="4" w:space="0"/>
              <w:left w:val="single" w:color="auto" w:sz="4" w:space="0"/>
              <w:right w:val="single" w:color="auto" w:sz="4" w:space="0"/>
            </w:tcBorders>
            <w:shd w:val="clear" w:color="auto" w:fill="auto"/>
            <w:noWrap/>
            <w:vAlign w:val="center"/>
          </w:tcPr>
          <w:p w14:paraId="5BC46EF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vMerge w:val="restart"/>
            <w:tcBorders>
              <w:top w:val="single" w:color="auto" w:sz="4" w:space="0"/>
              <w:left w:val="single" w:color="auto" w:sz="4" w:space="0"/>
              <w:right w:val="single" w:color="auto" w:sz="4" w:space="0"/>
            </w:tcBorders>
            <w:shd w:val="clear" w:color="auto" w:fill="auto"/>
            <w:noWrap/>
            <w:vAlign w:val="center"/>
          </w:tcPr>
          <w:p w14:paraId="4EE65B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sz w:val="21"/>
                <w:szCs w:val="21"/>
                <w:u w:val="none"/>
                <w:lang w:val="en-US" w:eastAsia="zh-CN"/>
              </w:rPr>
              <w:t>4.12</w:t>
            </w:r>
          </w:p>
        </w:tc>
        <w:tc>
          <w:tcPr>
            <w:tcW w:w="365" w:type="pct"/>
            <w:vMerge w:val="restart"/>
            <w:tcBorders>
              <w:top w:val="single" w:color="auto" w:sz="4" w:space="0"/>
              <w:left w:val="single" w:color="auto" w:sz="4" w:space="0"/>
              <w:right w:val="single" w:color="auto" w:sz="4" w:space="0"/>
            </w:tcBorders>
            <w:shd w:val="clear" w:color="auto" w:fill="auto"/>
            <w:noWrap/>
            <w:vAlign w:val="center"/>
          </w:tcPr>
          <w:p w14:paraId="5A3AAD4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5A3B72D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491D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5FFD8B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BF4B4">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DB383">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EAB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B112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4BF7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F54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505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0D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auto" w:sz="4" w:space="0"/>
              <w:bottom w:val="single" w:color="000000" w:sz="4" w:space="0"/>
              <w:right w:val="single" w:color="auto" w:sz="4" w:space="0"/>
            </w:tcBorders>
            <w:shd w:val="clear" w:color="auto" w:fill="auto"/>
            <w:noWrap/>
            <w:vAlign w:val="center"/>
          </w:tcPr>
          <w:p w14:paraId="2E7CDF5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0" w:type="pct"/>
            <w:gridSpan w:val="2"/>
            <w:vMerge w:val="continue"/>
            <w:tcBorders>
              <w:left w:val="single" w:color="auto" w:sz="4" w:space="0"/>
              <w:bottom w:val="single" w:color="000000" w:sz="4" w:space="0"/>
              <w:right w:val="single" w:color="auto" w:sz="4" w:space="0"/>
            </w:tcBorders>
            <w:shd w:val="clear" w:color="auto" w:fill="auto"/>
            <w:noWrap/>
            <w:vAlign w:val="center"/>
          </w:tcPr>
          <w:p w14:paraId="15B9A47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p>
        </w:tc>
        <w:tc>
          <w:tcPr>
            <w:tcW w:w="365" w:type="pct"/>
            <w:vMerge w:val="continue"/>
            <w:tcBorders>
              <w:left w:val="single" w:color="auto" w:sz="4" w:space="0"/>
              <w:bottom w:val="single" w:color="000000" w:sz="4" w:space="0"/>
              <w:right w:val="single" w:color="auto" w:sz="4" w:space="0"/>
            </w:tcBorders>
            <w:shd w:val="clear" w:color="auto" w:fill="auto"/>
            <w:noWrap/>
            <w:vAlign w:val="center"/>
          </w:tcPr>
          <w:p w14:paraId="040359C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36B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090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BC895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853EBA">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11</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30147CF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DCC8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1213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0487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FAD7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E6B4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88E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474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CC9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7A5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A45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667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07FD3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28A1C7">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E0490F">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F4C0A3E">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0FB44">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F5E1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7BA6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E356">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3FD3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5B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9F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754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220D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A04B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0310D">
            <w:pPr>
              <w:jc w:val="center"/>
              <w:rPr>
                <w:rFonts w:hint="default" w:ascii="Times New Roman" w:hAnsi="Times New Roman" w:eastAsia="仿宋" w:cs="Times New Roman"/>
                <w:i w:val="0"/>
                <w:iCs w:val="0"/>
                <w:color w:val="auto"/>
                <w:sz w:val="21"/>
                <w:szCs w:val="21"/>
                <w:u w:val="none"/>
              </w:rPr>
            </w:pPr>
          </w:p>
        </w:tc>
      </w:tr>
      <w:tr w14:paraId="3E204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4AADC">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E0428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4C6A189">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C2DB9">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CC0A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3DA3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B4E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AAB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878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246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87C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569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4DB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7C20">
            <w:pPr>
              <w:jc w:val="center"/>
              <w:rPr>
                <w:rFonts w:hint="default" w:ascii="Times New Roman" w:hAnsi="Times New Roman" w:eastAsia="仿宋" w:cs="Times New Roman"/>
                <w:i w:val="0"/>
                <w:iCs w:val="0"/>
                <w:color w:val="auto"/>
                <w:sz w:val="21"/>
                <w:szCs w:val="21"/>
                <w:u w:val="none"/>
              </w:rPr>
            </w:pPr>
          </w:p>
        </w:tc>
      </w:tr>
      <w:tr w14:paraId="41B8C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42170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0DC407">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12</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6E81E3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D67A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01E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65E5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23A2">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B75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E74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2C7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E9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11.12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179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2AD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9B46">
            <w:pPr>
              <w:jc w:val="center"/>
              <w:rPr>
                <w:rFonts w:hint="default" w:ascii="Times New Roman" w:hAnsi="Times New Roman" w:eastAsia="仿宋" w:cs="Times New Roman"/>
                <w:i w:val="0"/>
                <w:iCs w:val="0"/>
                <w:color w:val="auto"/>
                <w:sz w:val="21"/>
                <w:szCs w:val="21"/>
                <w:u w:val="none"/>
              </w:rPr>
            </w:pPr>
          </w:p>
        </w:tc>
      </w:tr>
      <w:tr w14:paraId="64AFD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B61B46">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7BC20D7C">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9B7FF3D">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064E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A68A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529E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CF15">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802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6C9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80AF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663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11.12</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7BE3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E0A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F0F8C">
            <w:pPr>
              <w:jc w:val="center"/>
              <w:rPr>
                <w:rFonts w:hint="default" w:ascii="Times New Roman" w:hAnsi="Times New Roman" w:eastAsia="仿宋" w:cs="Times New Roman"/>
                <w:i w:val="0"/>
                <w:iCs w:val="0"/>
                <w:color w:val="auto"/>
                <w:sz w:val="21"/>
                <w:szCs w:val="21"/>
                <w:u w:val="none"/>
              </w:rPr>
            </w:pPr>
          </w:p>
        </w:tc>
      </w:tr>
      <w:tr w14:paraId="184F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E9D9A">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EAC6AA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EB31433">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8CDFF">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FE28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D524F">
            <w:pPr>
              <w:jc w:val="center"/>
              <w:rPr>
                <w:rFonts w:hint="default" w:ascii="Times New Roman" w:hAnsi="Times New Roman" w:eastAsia="仿宋" w:cs="Times New Roman"/>
                <w:i w:val="0"/>
                <w:iCs w:val="0"/>
                <w:color w:val="auto"/>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073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D9FB">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1799D">
            <w:pPr>
              <w:jc w:val="center"/>
              <w:rPr>
                <w:rFonts w:hint="default" w:ascii="Times New Roman" w:hAnsi="Times New Roman" w:eastAsia="仿宋" w:cs="Times New Roman"/>
                <w:i w:val="0"/>
                <w:iCs w:val="0"/>
                <w:color w:val="auto"/>
                <w:sz w:val="21"/>
                <w:szCs w:val="21"/>
                <w:highlight w:val="none"/>
                <w:u w:val="none"/>
              </w:rPr>
            </w:pPr>
            <w:r>
              <w:rPr>
                <w:rFonts w:hint="default" w:ascii="Times New Roman" w:hAnsi="Times New Roman" w:eastAsia="仿宋" w:cs="Times New Roman"/>
                <w:i w:val="0"/>
                <w:iCs w:val="0"/>
                <w:color w:val="auto"/>
                <w:sz w:val="21"/>
                <w:szCs w:val="21"/>
                <w:highlight w:val="none"/>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F11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750</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046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D2A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97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837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3AE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435222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电泳</w:t>
            </w:r>
            <w:r>
              <w:rPr>
                <w:rFonts w:hint="default" w:ascii="Times New Roman" w:hAnsi="Times New Roman" w:eastAsia="仿宋" w:cs="Times New Roman"/>
                <w:i w:val="0"/>
                <w:iCs w:val="0"/>
                <w:color w:val="auto"/>
                <w:kern w:val="0"/>
                <w:sz w:val="21"/>
                <w:szCs w:val="21"/>
                <w:u w:val="none"/>
                <w:lang w:val="en-US" w:eastAsia="zh-CN" w:bidi="ar"/>
              </w:rPr>
              <w:t>13</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E370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14D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电泳漆</w:t>
            </w:r>
            <w:r>
              <w:rPr>
                <w:rStyle w:val="56"/>
                <w:rFonts w:hint="eastAsia" w:ascii="Times New Roman" w:hAnsi="Times New Roman" w:eastAsia="仿宋" w:cs="Times New Roman"/>
                <w:color w:val="auto"/>
                <w:sz w:val="21"/>
                <w:szCs w:val="21"/>
                <w:lang w:val="en-US" w:eastAsia="zh-CN" w:bidi="ar"/>
              </w:rPr>
              <w:t>25</w:t>
            </w:r>
            <w:r>
              <w:rPr>
                <w:rStyle w:val="56"/>
                <w:rFonts w:hint="default" w:ascii="Times New Roman" w:hAnsi="Times New Roman" w:eastAsia="仿宋" w:cs="Times New Roman"/>
                <w:color w:val="auto"/>
                <w:sz w:val="21"/>
                <w:szCs w:val="21"/>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4E75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FFB1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97C5">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0B7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8AC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393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lang w:val="en-US"/>
              </w:rPr>
            </w:pPr>
            <w:r>
              <w:rPr>
                <w:rFonts w:hint="eastAsia" w:eastAsia="仿宋" w:cs="Times New Roman"/>
                <w:i w:val="0"/>
                <w:iCs w:val="0"/>
                <w:color w:val="auto"/>
                <w:kern w:val="0"/>
                <w:sz w:val="21"/>
                <w:szCs w:val="21"/>
                <w:highlight w:val="none"/>
                <w:u w:val="none"/>
                <w:lang w:val="en-US" w:eastAsia="zh-CN" w:bidi="ar"/>
              </w:rPr>
              <w:t>3.09</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3EE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3</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096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3AE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0.09</w:t>
            </w: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3D19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2646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DB67D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95FE5">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9A34">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BD29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C7D5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B087">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319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CC5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8288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3.09</w:t>
            </w:r>
          </w:p>
        </w:tc>
        <w:tc>
          <w:tcPr>
            <w:tcW w:w="336" w:type="pct"/>
            <w:gridSpan w:val="2"/>
            <w:vMerge w:val="restart"/>
            <w:tcBorders>
              <w:top w:val="single" w:color="000000" w:sz="4" w:space="0"/>
              <w:left w:val="single" w:color="000000" w:sz="4" w:space="0"/>
              <w:right w:val="single" w:color="000000" w:sz="4" w:space="0"/>
            </w:tcBorders>
            <w:shd w:val="clear" w:color="auto" w:fill="auto"/>
            <w:noWrap/>
            <w:vAlign w:val="center"/>
          </w:tcPr>
          <w:p w14:paraId="5836C93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16B02D2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0</w:t>
            </w:r>
          </w:p>
        </w:tc>
        <w:tc>
          <w:tcPr>
            <w:tcW w:w="365" w:type="pct"/>
            <w:vMerge w:val="restart"/>
            <w:tcBorders>
              <w:top w:val="single" w:color="000000" w:sz="4" w:space="0"/>
              <w:left w:val="single" w:color="000000" w:sz="4" w:space="0"/>
              <w:right w:val="single" w:color="000000" w:sz="4" w:space="0"/>
            </w:tcBorders>
            <w:shd w:val="clear" w:color="auto" w:fill="auto"/>
            <w:noWrap/>
            <w:vAlign w:val="center"/>
          </w:tcPr>
          <w:p w14:paraId="699B11F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15.09</w:t>
            </w: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36162">
            <w:pPr>
              <w:jc w:val="center"/>
              <w:rPr>
                <w:rFonts w:hint="default" w:ascii="Times New Roman" w:hAnsi="Times New Roman" w:eastAsia="仿宋" w:cs="Times New Roman"/>
                <w:i w:val="0"/>
                <w:iCs w:val="0"/>
                <w:color w:val="auto"/>
                <w:sz w:val="21"/>
                <w:szCs w:val="21"/>
                <w:u w:val="none"/>
              </w:rPr>
            </w:pPr>
          </w:p>
        </w:tc>
      </w:tr>
      <w:tr w14:paraId="36740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0893AB9">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00C80">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E1F3">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EBF3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477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D9B6">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D79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860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A07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300A32B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547E5D0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p>
        </w:tc>
        <w:tc>
          <w:tcPr>
            <w:tcW w:w="365" w:type="pct"/>
            <w:vMerge w:val="continue"/>
            <w:tcBorders>
              <w:left w:val="single" w:color="000000" w:sz="4" w:space="0"/>
              <w:bottom w:val="single" w:color="000000" w:sz="4" w:space="0"/>
              <w:right w:val="single" w:color="000000" w:sz="4" w:space="0"/>
            </w:tcBorders>
            <w:shd w:val="clear" w:color="auto" w:fill="auto"/>
            <w:noWrap/>
            <w:vAlign w:val="center"/>
          </w:tcPr>
          <w:p w14:paraId="24563EE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539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78A76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00D19AF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超滤系统</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968C9">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B481C">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6293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反冲洗用水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307D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E645">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37D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68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7B5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076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2.</w:t>
            </w:r>
            <w:r>
              <w:rPr>
                <w:rFonts w:hint="eastAsia" w:eastAsia="仿宋" w:cs="Times New Roman"/>
                <w:i w:val="0"/>
                <w:iCs w:val="0"/>
                <w:color w:val="auto"/>
                <w:kern w:val="0"/>
                <w:sz w:val="21"/>
                <w:szCs w:val="21"/>
                <w:u w:val="none"/>
                <w:lang w:val="en-US" w:eastAsia="zh-CN" w:bidi="ar"/>
              </w:rPr>
              <w:t>328</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14F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2D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0.</w:t>
            </w:r>
            <w:r>
              <w:rPr>
                <w:rFonts w:hint="eastAsia" w:eastAsia="仿宋" w:cs="Times New Roman"/>
                <w:i w:val="0"/>
                <w:iCs w:val="0"/>
                <w:color w:val="auto"/>
                <w:kern w:val="0"/>
                <w:sz w:val="21"/>
                <w:szCs w:val="21"/>
                <w:u w:val="none"/>
                <w:lang w:val="en-US" w:eastAsia="zh-CN" w:bidi="ar"/>
              </w:rPr>
              <w:t>072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BCD4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423FD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EF0D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回收槽</w:t>
            </w:r>
            <w:r>
              <w:rPr>
                <w:rFonts w:hint="default" w:ascii="Times New Roman" w:hAnsi="Times New Roman" w:eastAsia="仿宋" w:cs="Times New Roman"/>
                <w:i w:val="0"/>
                <w:iCs w:val="0"/>
                <w:color w:val="auto"/>
                <w:kern w:val="0"/>
                <w:sz w:val="21"/>
                <w:szCs w:val="21"/>
                <w:u w:val="none"/>
                <w:lang w:val="en-US" w:eastAsia="zh-CN" w:bidi="ar"/>
              </w:rPr>
              <w:t>14</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1B9D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F769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A52F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D07A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B91BB">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B17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D76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BD07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3.09</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941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B5C0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5C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3D754">
            <w:pPr>
              <w:jc w:val="center"/>
              <w:rPr>
                <w:rFonts w:hint="default" w:ascii="Times New Roman" w:hAnsi="Times New Roman" w:eastAsia="仿宋" w:cs="Times New Roman"/>
                <w:i w:val="0"/>
                <w:iCs w:val="0"/>
                <w:color w:val="auto"/>
                <w:sz w:val="21"/>
                <w:szCs w:val="21"/>
                <w:u w:val="none"/>
              </w:rPr>
            </w:pPr>
          </w:p>
        </w:tc>
      </w:tr>
      <w:tr w14:paraId="03EEC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14755">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603D9">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7008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right w:val="single" w:color="000000" w:sz="4" w:space="0"/>
            </w:tcBorders>
            <w:shd w:val="clear" w:color="auto" w:fill="auto"/>
            <w:vAlign w:val="center"/>
          </w:tcPr>
          <w:p w14:paraId="5F103D0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right w:val="single" w:color="000000" w:sz="4" w:space="0"/>
            </w:tcBorders>
            <w:shd w:val="clear" w:color="auto" w:fill="auto"/>
            <w:vAlign w:val="center"/>
          </w:tcPr>
          <w:p w14:paraId="336D589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right w:val="single" w:color="000000" w:sz="4" w:space="0"/>
            </w:tcBorders>
            <w:shd w:val="clear" w:color="auto" w:fill="auto"/>
            <w:noWrap/>
            <w:vAlign w:val="center"/>
          </w:tcPr>
          <w:p w14:paraId="6B04A574">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right w:val="single" w:color="000000" w:sz="4" w:space="0"/>
            </w:tcBorders>
            <w:shd w:val="clear" w:color="auto" w:fill="auto"/>
            <w:noWrap/>
            <w:vAlign w:val="center"/>
          </w:tcPr>
          <w:p w14:paraId="55EA09F8">
            <w:pPr>
              <w:widowControl/>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right w:val="single" w:color="000000" w:sz="4" w:space="0"/>
            </w:tcBorders>
            <w:shd w:val="clear" w:color="auto" w:fill="auto"/>
            <w:noWrap/>
            <w:vAlign w:val="center"/>
          </w:tcPr>
          <w:p w14:paraId="10D7FDF1">
            <w:pPr>
              <w:widowControl/>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right w:val="single" w:color="000000" w:sz="4" w:space="0"/>
            </w:tcBorders>
            <w:shd w:val="clear" w:color="auto" w:fill="auto"/>
            <w:noWrap/>
            <w:vAlign w:val="center"/>
          </w:tcPr>
          <w:p w14:paraId="2FF4DE9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3.09</w:t>
            </w:r>
          </w:p>
        </w:tc>
        <w:tc>
          <w:tcPr>
            <w:tcW w:w="336" w:type="pct"/>
            <w:gridSpan w:val="2"/>
            <w:tcBorders>
              <w:top w:val="single" w:color="000000" w:sz="4" w:space="0"/>
              <w:left w:val="single" w:color="000000" w:sz="4" w:space="0"/>
              <w:right w:val="single" w:color="000000" w:sz="4" w:space="0"/>
            </w:tcBorders>
            <w:shd w:val="clear" w:color="auto" w:fill="auto"/>
            <w:noWrap/>
            <w:vAlign w:val="center"/>
          </w:tcPr>
          <w:p w14:paraId="06E0D04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3</w:t>
            </w:r>
          </w:p>
        </w:tc>
        <w:tc>
          <w:tcPr>
            <w:tcW w:w="360" w:type="pct"/>
            <w:gridSpan w:val="2"/>
            <w:tcBorders>
              <w:top w:val="single" w:color="000000" w:sz="4" w:space="0"/>
              <w:left w:val="single" w:color="000000" w:sz="4" w:space="0"/>
              <w:right w:val="single" w:color="000000" w:sz="4" w:space="0"/>
            </w:tcBorders>
            <w:shd w:val="clear" w:color="auto" w:fill="auto"/>
            <w:noWrap/>
            <w:vAlign w:val="center"/>
          </w:tcPr>
          <w:p w14:paraId="156339C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right w:val="single" w:color="000000" w:sz="4" w:space="0"/>
            </w:tcBorders>
            <w:shd w:val="clear" w:color="auto" w:fill="auto"/>
            <w:noWrap/>
            <w:vAlign w:val="center"/>
          </w:tcPr>
          <w:p w14:paraId="112320B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9C0B0">
            <w:pPr>
              <w:jc w:val="center"/>
              <w:rPr>
                <w:rFonts w:hint="default" w:ascii="Times New Roman" w:hAnsi="Times New Roman" w:eastAsia="仿宋" w:cs="Times New Roman"/>
                <w:i w:val="0"/>
                <w:iCs w:val="0"/>
                <w:color w:val="auto"/>
                <w:sz w:val="21"/>
                <w:szCs w:val="21"/>
                <w:u w:val="none"/>
              </w:rPr>
            </w:pPr>
          </w:p>
        </w:tc>
      </w:tr>
      <w:tr w14:paraId="7263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1FE6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回收槽</w:t>
            </w:r>
            <w:r>
              <w:rPr>
                <w:rFonts w:hint="default" w:ascii="Times New Roman" w:hAnsi="Times New Roman" w:eastAsia="仿宋" w:cs="Times New Roman"/>
                <w:i w:val="0"/>
                <w:iCs w:val="0"/>
                <w:color w:val="auto"/>
                <w:kern w:val="0"/>
                <w:sz w:val="21"/>
                <w:szCs w:val="21"/>
                <w:u w:val="none"/>
                <w:lang w:val="en-US" w:eastAsia="zh-CN" w:bidi="ar"/>
              </w:rPr>
              <w:t>15</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AAC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D83C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7BA3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7FBB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7C0F">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9BF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124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54B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3.09</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C0B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68E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6D8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22003">
            <w:pPr>
              <w:jc w:val="center"/>
              <w:rPr>
                <w:rFonts w:hint="default" w:ascii="Times New Roman" w:hAnsi="Times New Roman" w:eastAsia="仿宋" w:cs="Times New Roman"/>
                <w:i w:val="0"/>
                <w:iCs w:val="0"/>
                <w:color w:val="auto"/>
                <w:sz w:val="21"/>
                <w:szCs w:val="21"/>
                <w:u w:val="none"/>
              </w:rPr>
            </w:pPr>
          </w:p>
        </w:tc>
      </w:tr>
      <w:tr w14:paraId="06BB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C228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676AE">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382B8">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7557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30FA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030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D62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360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661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3.09</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9C1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3</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0A9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3B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FAF41">
            <w:pPr>
              <w:jc w:val="center"/>
              <w:rPr>
                <w:rFonts w:hint="default" w:ascii="Times New Roman" w:hAnsi="Times New Roman" w:eastAsia="仿宋" w:cs="Times New Roman"/>
                <w:i w:val="0"/>
                <w:iCs w:val="0"/>
                <w:color w:val="auto"/>
                <w:sz w:val="21"/>
                <w:szCs w:val="21"/>
                <w:u w:val="none"/>
              </w:rPr>
            </w:pPr>
          </w:p>
        </w:tc>
      </w:tr>
      <w:tr w14:paraId="2409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A4AC6">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FAEBF">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B353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F102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E03D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eastAsia" w:eastAsia="仿宋" w:cs="Times New Roman"/>
                <w:i w:val="0"/>
                <w:iCs w:val="0"/>
                <w:color w:val="auto"/>
                <w:kern w:val="0"/>
                <w:sz w:val="21"/>
                <w:szCs w:val="21"/>
                <w:u w:val="none"/>
                <w:lang w:val="en-US" w:eastAsia="zh-CN" w:bidi="ar"/>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5F42">
            <w:pPr>
              <w:jc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EC6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E0B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E23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F29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1D7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DEF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210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4D277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7129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16</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865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DC64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27D1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55F7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B5DA">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6CD9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034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9EA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1FC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FE7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4BC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F46D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0B40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B5889">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74A5">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49731">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13DD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D0265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4100">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A148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4B9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3FB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E77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DD8A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521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07C9C">
            <w:pPr>
              <w:jc w:val="center"/>
              <w:rPr>
                <w:rFonts w:hint="default" w:ascii="Times New Roman" w:hAnsi="Times New Roman" w:eastAsia="仿宋" w:cs="Times New Roman"/>
                <w:i w:val="0"/>
                <w:iCs w:val="0"/>
                <w:color w:val="auto"/>
                <w:sz w:val="21"/>
                <w:szCs w:val="21"/>
                <w:u w:val="none"/>
              </w:rPr>
            </w:pPr>
          </w:p>
        </w:tc>
      </w:tr>
      <w:tr w14:paraId="30877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6226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D73F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C22B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ABD5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0714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B1F3">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60DAD">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82AD">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DDAE">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4A2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E67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83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A8A18">
            <w:pPr>
              <w:jc w:val="center"/>
              <w:rPr>
                <w:rFonts w:hint="default" w:ascii="Times New Roman" w:hAnsi="Times New Roman" w:eastAsia="仿宋" w:cs="Times New Roman"/>
                <w:i w:val="0"/>
                <w:iCs w:val="0"/>
                <w:color w:val="auto"/>
                <w:sz w:val="21"/>
                <w:szCs w:val="21"/>
                <w:u w:val="none"/>
              </w:rPr>
            </w:pPr>
          </w:p>
        </w:tc>
      </w:tr>
      <w:tr w14:paraId="56A7E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1A44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17</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20C3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71BF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F075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EF14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8181">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E3D1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422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0CA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017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2EF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3B7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C7FE">
            <w:pPr>
              <w:jc w:val="center"/>
              <w:rPr>
                <w:rFonts w:hint="default" w:ascii="Times New Roman" w:hAnsi="Times New Roman" w:eastAsia="仿宋" w:cs="Times New Roman"/>
                <w:i w:val="0"/>
                <w:iCs w:val="0"/>
                <w:color w:val="auto"/>
                <w:sz w:val="21"/>
                <w:szCs w:val="21"/>
                <w:u w:val="none"/>
              </w:rPr>
            </w:pPr>
          </w:p>
        </w:tc>
      </w:tr>
      <w:tr w14:paraId="63B1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1A9E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E7C58">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F7146">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006A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88C8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5F8C">
            <w:pPr>
              <w:jc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ED4F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372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358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B08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12F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2F54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51C88">
            <w:pPr>
              <w:jc w:val="center"/>
              <w:rPr>
                <w:rFonts w:hint="default" w:ascii="Times New Roman" w:hAnsi="Times New Roman" w:eastAsia="仿宋" w:cs="Times New Roman"/>
                <w:i w:val="0"/>
                <w:iCs w:val="0"/>
                <w:color w:val="auto"/>
                <w:sz w:val="21"/>
                <w:szCs w:val="21"/>
                <w:u w:val="none"/>
              </w:rPr>
            </w:pPr>
          </w:p>
        </w:tc>
      </w:tr>
      <w:tr w14:paraId="42EFD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E322A">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B6120">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4E50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0D8C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8184B">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FA1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5EC0">
            <w:pPr>
              <w:jc w:val="center"/>
              <w:rPr>
                <w:rFonts w:hint="eastAsia"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32F9">
            <w:pPr>
              <w:jc w:val="center"/>
              <w:rPr>
                <w:rFonts w:hint="eastAsia" w:ascii="Times New Roman" w:hAnsi="Times New Roman" w:eastAsia="仿宋" w:cs="Times New Roman"/>
                <w:i w:val="0"/>
                <w:iCs w:val="0"/>
                <w:color w:val="auto"/>
                <w:sz w:val="21"/>
                <w:szCs w:val="21"/>
                <w:highlight w:val="none"/>
                <w:u w:val="none"/>
                <w:lang w:val="en-US" w:eastAsia="zh-CN"/>
              </w:rPr>
            </w:pPr>
            <w:r>
              <w:rPr>
                <w:rFonts w:hint="default" w:ascii="Times New Roman" w:hAnsi="Times New Roman" w:eastAsia="仿宋" w:cs="Times New Roman"/>
                <w:i w:val="0"/>
                <w:iCs w:val="0"/>
                <w:color w:val="auto"/>
                <w:sz w:val="21"/>
                <w:szCs w:val="21"/>
                <w:highlight w:val="none"/>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4B4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highlight w:val="none"/>
                <w:u w:val="none"/>
              </w:rPr>
            </w:pPr>
            <w:r>
              <w:rPr>
                <w:rFonts w:hint="eastAsia" w:eastAsia="仿宋" w:cs="Times New Roman"/>
                <w:i w:val="0"/>
                <w:iCs w:val="0"/>
                <w:color w:val="auto"/>
                <w:kern w:val="0"/>
                <w:sz w:val="21"/>
                <w:szCs w:val="21"/>
                <w:highlight w:val="none"/>
                <w:u w:val="none"/>
                <w:lang w:val="en-US" w:eastAsia="zh-CN" w:bidi="ar"/>
              </w:rPr>
              <w:t>750</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188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D05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F33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B751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8751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187" w:type="pct"/>
            <w:gridSpan w:val="16"/>
            <w:vMerge w:val="restart"/>
            <w:tcBorders>
              <w:top w:val="single" w:color="000000" w:sz="4" w:space="0"/>
              <w:left w:val="single" w:color="000000" w:sz="4" w:space="0"/>
              <w:right w:val="single" w:color="000000" w:sz="4" w:space="0"/>
            </w:tcBorders>
            <w:shd w:val="clear" w:color="auto" w:fill="auto"/>
            <w:vAlign w:val="center"/>
          </w:tcPr>
          <w:p w14:paraId="7E34D003">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vMerge w:val="restart"/>
            <w:tcBorders>
              <w:top w:val="single" w:color="000000" w:sz="4" w:space="0"/>
              <w:left w:val="single" w:color="000000" w:sz="4" w:space="0"/>
              <w:right w:val="single" w:color="000000" w:sz="4" w:space="0"/>
            </w:tcBorders>
            <w:shd w:val="clear" w:color="auto" w:fill="auto"/>
            <w:noWrap/>
            <w:vAlign w:val="center"/>
          </w:tcPr>
          <w:p w14:paraId="2355A236">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总计：</w:t>
            </w:r>
            <w:r>
              <w:rPr>
                <w:rFonts w:hint="eastAsia" w:eastAsia="仿宋" w:cs="Times New Roman"/>
                <w:b/>
                <w:bCs/>
                <w:i w:val="0"/>
                <w:iCs w:val="0"/>
                <w:color w:val="auto"/>
                <w:sz w:val="21"/>
                <w:szCs w:val="21"/>
                <w:u w:val="none"/>
                <w:lang w:val="en-US" w:eastAsia="zh-CN"/>
              </w:rPr>
              <w:t>4149.34</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E586">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eastAsia" w:eastAsia="仿宋" w:cs="Times New Roman"/>
                <w:b/>
                <w:bCs/>
                <w:i w:val="0"/>
                <w:iCs w:val="0"/>
                <w:color w:val="auto"/>
                <w:sz w:val="21"/>
                <w:szCs w:val="21"/>
                <w:u w:val="none"/>
                <w:lang w:val="en-US" w:eastAsia="zh-CN"/>
              </w:rPr>
              <w:t>3917.488</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3510">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20.6</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2981">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eastAsia" w:eastAsia="仿宋" w:cs="Times New Roman"/>
                <w:b/>
                <w:bCs/>
                <w:i w:val="0"/>
                <w:iCs w:val="0"/>
                <w:color w:val="auto"/>
                <w:sz w:val="21"/>
                <w:szCs w:val="21"/>
                <w:u w:val="none"/>
                <w:lang w:val="en-US" w:eastAsia="zh-CN"/>
              </w:rPr>
              <w:t>211.252</w:t>
            </w:r>
          </w:p>
        </w:tc>
        <w:tc>
          <w:tcPr>
            <w:tcW w:w="366" w:type="pct"/>
            <w:vMerge w:val="restart"/>
            <w:tcBorders>
              <w:top w:val="single" w:color="000000" w:sz="4" w:space="0"/>
              <w:left w:val="single" w:color="000000" w:sz="4" w:space="0"/>
              <w:right w:val="single" w:color="000000" w:sz="4" w:space="0"/>
            </w:tcBorders>
            <w:shd w:val="clear" w:color="auto" w:fill="auto"/>
            <w:noWrap/>
            <w:vAlign w:val="center"/>
          </w:tcPr>
          <w:p w14:paraId="6F31F4E4">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r>
      <w:tr w14:paraId="0EFB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87" w:type="pct"/>
            <w:gridSpan w:val="16"/>
            <w:vMerge w:val="continue"/>
            <w:tcBorders>
              <w:left w:val="single" w:color="000000" w:sz="4" w:space="0"/>
              <w:bottom w:val="single" w:color="000000" w:sz="4" w:space="0"/>
              <w:right w:val="single" w:color="000000" w:sz="4" w:space="0"/>
            </w:tcBorders>
            <w:shd w:val="clear" w:color="auto" w:fill="auto"/>
            <w:vAlign w:val="center"/>
          </w:tcPr>
          <w:p w14:paraId="0656FBA7">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p>
        </w:tc>
        <w:tc>
          <w:tcPr>
            <w:tcW w:w="384"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1E66B9CE">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p>
        </w:tc>
        <w:tc>
          <w:tcPr>
            <w:tcW w:w="106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7FD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总计：</w:t>
            </w:r>
            <w:r>
              <w:rPr>
                <w:rFonts w:hint="eastAsia" w:eastAsia="仿宋" w:cs="Times New Roman"/>
                <w:b/>
                <w:bCs/>
                <w:i w:val="0"/>
                <w:iCs w:val="0"/>
                <w:color w:val="auto"/>
                <w:sz w:val="21"/>
                <w:szCs w:val="21"/>
                <w:u w:val="none"/>
                <w:lang w:val="en-US" w:eastAsia="zh-CN"/>
              </w:rPr>
              <w:t>4149.34</w:t>
            </w:r>
          </w:p>
        </w:tc>
        <w:tc>
          <w:tcPr>
            <w:tcW w:w="366" w:type="pct"/>
            <w:vMerge w:val="continue"/>
            <w:tcBorders>
              <w:left w:val="single" w:color="000000" w:sz="4" w:space="0"/>
              <w:bottom w:val="single" w:color="000000" w:sz="4" w:space="0"/>
              <w:right w:val="single" w:color="000000" w:sz="4" w:space="0"/>
            </w:tcBorders>
            <w:shd w:val="clear" w:color="auto" w:fill="auto"/>
            <w:noWrap/>
            <w:vAlign w:val="center"/>
          </w:tcPr>
          <w:p w14:paraId="56B816CE">
            <w:pPr>
              <w:jc w:val="center"/>
              <w:rPr>
                <w:rFonts w:hint="default" w:ascii="Times New Roman" w:hAnsi="Times New Roman" w:eastAsia="仿宋" w:cs="Times New Roman"/>
                <w:i w:val="0"/>
                <w:iCs w:val="0"/>
                <w:color w:val="auto"/>
                <w:sz w:val="21"/>
                <w:szCs w:val="21"/>
                <w:u w:val="none"/>
              </w:rPr>
            </w:pPr>
          </w:p>
        </w:tc>
      </w:tr>
      <w:tr w14:paraId="5F9B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24"/>
            <w:tcBorders>
              <w:top w:val="single" w:color="000000" w:sz="4" w:space="0"/>
              <w:left w:val="single" w:color="000000" w:sz="4" w:space="0"/>
              <w:bottom w:val="single" w:color="000000" w:sz="4" w:space="0"/>
              <w:right w:val="single" w:color="000000" w:sz="4" w:space="0"/>
            </w:tcBorders>
            <w:shd w:val="clear" w:color="auto" w:fill="CFCECE" w:themeFill="background2" w:themeFillShade="E5"/>
            <w:vAlign w:val="center"/>
          </w:tcPr>
          <w:p w14:paraId="3462B728">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shd w:val="clear" w:fill="CFCECE" w:themeFill="background2" w:themeFillShade="E5"/>
                <w:lang w:val="en-US" w:eastAsia="zh-CN" w:bidi="ar"/>
              </w:rPr>
              <w:t>电泳二线</w:t>
            </w:r>
          </w:p>
        </w:tc>
      </w:tr>
      <w:tr w14:paraId="0A831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AE0A3">
            <w:pPr>
              <w:jc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槽体</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FB64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有效容积（</w:t>
            </w:r>
            <w:r>
              <w:rPr>
                <w:rFonts w:hint="default" w:ascii="Times New Roman" w:hAnsi="Times New Roman" w:eastAsia="仿宋" w:cs="Times New Roman"/>
                <w:b/>
                <w:bCs/>
                <w:i w:val="0"/>
                <w:iCs w:val="0"/>
                <w:color w:val="auto"/>
                <w:kern w:val="0"/>
                <w:sz w:val="21"/>
                <w:szCs w:val="21"/>
                <w:u w:val="none"/>
                <w:lang w:val="en-US" w:eastAsia="zh-CN" w:bidi="ar"/>
              </w:rPr>
              <w:t>m</w:t>
            </w:r>
            <w:r>
              <w:rPr>
                <w:rFonts w:hint="eastAsia" w:eastAsia="仿宋" w:cs="Times New Roman"/>
                <w:b/>
                <w:bCs/>
                <w:i w:val="0"/>
                <w:iCs w:val="0"/>
                <w:color w:val="auto"/>
                <w:kern w:val="0"/>
                <w:sz w:val="21"/>
                <w:szCs w:val="21"/>
                <w:u w:val="none"/>
                <w:vertAlign w:val="superscript"/>
                <w:lang w:val="en-US" w:eastAsia="zh-CN" w:bidi="ar"/>
              </w:rPr>
              <w:t>3</w:t>
            </w:r>
            <w:r>
              <w:rPr>
                <w:rStyle w:val="56"/>
                <w:rFonts w:hint="default" w:ascii="Times New Roman" w:hAnsi="Times New Roman" w:eastAsia="仿宋" w:cs="Times New Roman"/>
                <w:b/>
                <w:bCs/>
                <w:color w:val="auto"/>
                <w:sz w:val="21"/>
                <w:szCs w:val="21"/>
                <w:lang w:val="en-US" w:eastAsia="zh-CN" w:bidi="ar"/>
              </w:rPr>
              <w:t>）</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95A4A">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主要成分浓度</w:t>
            </w:r>
          </w:p>
        </w:tc>
        <w:tc>
          <w:tcPr>
            <w:tcW w:w="61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F6632">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用水标准</w:t>
            </w:r>
          </w:p>
        </w:tc>
        <w:tc>
          <w:tcPr>
            <w:tcW w:w="38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0278B">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更换次数</w:t>
            </w:r>
          </w:p>
        </w:tc>
        <w:tc>
          <w:tcPr>
            <w:tcW w:w="143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9C5A11">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用水情况</w:t>
            </w:r>
          </w:p>
        </w:tc>
        <w:tc>
          <w:tcPr>
            <w:tcW w:w="142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4334">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排放情况（m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r>
      <w:tr w14:paraId="45D76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B62F1">
            <w:pPr>
              <w:jc w:val="center"/>
              <w:rPr>
                <w:rFonts w:hint="default" w:ascii="Times New Roman" w:hAnsi="Times New Roman" w:eastAsia="仿宋" w:cs="Times New Roman"/>
                <w:b/>
                <w:bCs/>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CC1D4">
            <w:pPr>
              <w:jc w:val="center"/>
              <w:rPr>
                <w:rFonts w:hint="default" w:ascii="Times New Roman" w:hAnsi="Times New Roman" w:eastAsia="仿宋" w:cs="Times New Roman"/>
                <w:b/>
                <w:bCs/>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CE9C5">
            <w:pPr>
              <w:jc w:val="center"/>
              <w:rPr>
                <w:rFonts w:hint="default" w:ascii="Times New Roman" w:hAnsi="Times New Roman" w:eastAsia="仿宋" w:cs="Times New Roman"/>
                <w:b/>
                <w:bCs/>
                <w:i w:val="0"/>
                <w:iCs w:val="0"/>
                <w:color w:val="auto"/>
                <w:sz w:val="21"/>
                <w:szCs w:val="21"/>
                <w:u w:val="none"/>
              </w:rPr>
            </w:pPr>
          </w:p>
        </w:tc>
        <w:tc>
          <w:tcPr>
            <w:tcW w:w="61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6767B">
            <w:pPr>
              <w:jc w:val="center"/>
              <w:rPr>
                <w:rFonts w:hint="default" w:ascii="Times New Roman" w:hAnsi="Times New Roman" w:eastAsia="仿宋" w:cs="Times New Roman"/>
                <w:b/>
                <w:bCs/>
                <w:i w:val="0"/>
                <w:iCs w:val="0"/>
                <w:color w:val="auto"/>
                <w:sz w:val="21"/>
                <w:szCs w:val="21"/>
                <w:u w:val="none"/>
              </w:rPr>
            </w:pPr>
          </w:p>
        </w:tc>
        <w:tc>
          <w:tcPr>
            <w:tcW w:w="3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8839F">
            <w:pPr>
              <w:jc w:val="center"/>
              <w:rPr>
                <w:rFonts w:hint="default" w:ascii="Times New Roman" w:hAnsi="Times New Roman" w:eastAsia="仿宋" w:cs="Times New Roman"/>
                <w:b/>
                <w:bCs/>
                <w:i w:val="0"/>
                <w:iCs w:val="0"/>
                <w:color w:val="auto"/>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94ED4">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溢流水量（</w:t>
            </w:r>
            <w:r>
              <w:rPr>
                <w:rFonts w:hint="default" w:ascii="Times New Roman" w:hAnsi="Times New Roman" w:eastAsia="仿宋" w:cs="Times New Roman"/>
                <w:b/>
                <w:bCs/>
                <w:i w:val="0"/>
                <w:iCs w:val="0"/>
                <w:color w:val="auto"/>
                <w:kern w:val="0"/>
                <w:sz w:val="21"/>
                <w:szCs w:val="21"/>
                <w:u w:val="none"/>
                <w:lang w:val="en-US" w:eastAsia="zh-CN" w:bidi="ar"/>
              </w:rPr>
              <w:t>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/h</w:t>
            </w:r>
            <w:r>
              <w:rPr>
                <w:rStyle w:val="56"/>
                <w:rFonts w:hint="default" w:ascii="Times New Roman" w:hAnsi="Times New Roman" w:eastAsia="仿宋" w:cs="Times New Roman"/>
                <w:b/>
                <w:bCs/>
                <w:color w:val="auto"/>
                <w:sz w:val="21"/>
                <w:szCs w:val="21"/>
                <w:lang w:val="en-US" w:eastAsia="zh-CN" w:bidi="ar"/>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01087">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Style w:val="56"/>
                <w:rFonts w:hint="default" w:ascii="Times New Roman" w:hAnsi="Times New Roman" w:eastAsia="仿宋" w:cs="Times New Roman"/>
                <w:b/>
                <w:bCs/>
                <w:color w:val="auto"/>
                <w:sz w:val="21"/>
                <w:szCs w:val="21"/>
                <w:lang w:val="en-US" w:eastAsia="zh-CN" w:bidi="ar"/>
              </w:rPr>
              <w:t>纯水量</w:t>
            </w:r>
            <w:r>
              <w:rPr>
                <w:rFonts w:hint="default" w:ascii="Times New Roman" w:hAnsi="Times New Roman" w:eastAsia="仿宋" w:cs="Times New Roman"/>
                <w:b/>
                <w:bCs/>
                <w:i w:val="0"/>
                <w:iCs w:val="0"/>
                <w:color w:val="auto"/>
                <w:kern w:val="0"/>
                <w:sz w:val="21"/>
                <w:szCs w:val="21"/>
                <w:u w:val="none"/>
                <w:lang w:val="en-US" w:eastAsia="zh-CN" w:bidi="ar"/>
              </w:rPr>
              <w:t>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w:t>
            </w:r>
            <w:r>
              <w:rPr>
                <w:rStyle w:val="56"/>
                <w:rFonts w:hint="default" w:ascii="Times New Roman" w:hAnsi="Times New Roman" w:eastAsia="仿宋" w:cs="Times New Roman"/>
                <w:b/>
                <w:bCs/>
                <w:color w:val="auto"/>
                <w:sz w:val="21"/>
                <w:szCs w:val="21"/>
                <w:lang w:val="en-US" w:eastAsia="zh-CN" w:bidi="ar"/>
              </w:rPr>
              <w:t>次</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FBF93">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年用次数</w:t>
            </w:r>
            <w:r>
              <w:rPr>
                <w:rFonts w:hint="eastAsia" w:eastAsia="仿宋" w:cs="Times New Roman"/>
                <w:b/>
                <w:bCs/>
                <w:i w:val="0"/>
                <w:iCs w:val="0"/>
                <w:color w:val="auto"/>
                <w:kern w:val="0"/>
                <w:sz w:val="21"/>
                <w:szCs w:val="21"/>
                <w:u w:val="none"/>
                <w:lang w:val="en-US" w:eastAsia="zh-CN" w:bidi="ar"/>
              </w:rPr>
              <w:t>（次）</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2ACAF">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年用纯水量（m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673C">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年排放量</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B8DA">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sz w:val="21"/>
                <w:szCs w:val="21"/>
                <w:u w:val="none"/>
                <w:lang w:val="en-US" w:eastAsia="zh-CN"/>
              </w:rPr>
              <w:t>年处置量</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AC59">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default" w:ascii="Times New Roman" w:hAnsi="Times New Roman" w:eastAsia="仿宋" w:cs="Times New Roman"/>
                <w:b/>
                <w:bCs/>
                <w:i w:val="0"/>
                <w:iCs w:val="0"/>
                <w:color w:val="auto"/>
                <w:kern w:val="0"/>
                <w:sz w:val="21"/>
                <w:szCs w:val="21"/>
                <w:u w:val="none"/>
                <w:lang w:val="en-US" w:eastAsia="zh-CN" w:bidi="ar"/>
              </w:rPr>
              <w:t>损耗量（m</w:t>
            </w:r>
            <w:r>
              <w:rPr>
                <w:rFonts w:hint="default" w:ascii="Times New Roman" w:hAnsi="Times New Roman" w:eastAsia="仿宋" w:cs="Times New Roman"/>
                <w:b/>
                <w:bCs/>
                <w:i w:val="0"/>
                <w:iCs w:val="0"/>
                <w:color w:val="auto"/>
                <w:kern w:val="0"/>
                <w:sz w:val="21"/>
                <w:szCs w:val="21"/>
                <w:u w:val="none"/>
                <w:vertAlign w:val="superscript"/>
                <w:lang w:val="en-US" w:eastAsia="zh-CN" w:bidi="ar"/>
              </w:rPr>
              <w:t>3</w:t>
            </w:r>
            <w:r>
              <w:rPr>
                <w:rFonts w:hint="default" w:ascii="Times New Roman" w:hAnsi="Times New Roman" w:eastAsia="仿宋" w:cs="Times New Roman"/>
                <w:b/>
                <w:bCs/>
                <w:i w:val="0"/>
                <w:iCs w:val="0"/>
                <w:color w:val="auto"/>
                <w:kern w:val="0"/>
                <w:sz w:val="21"/>
                <w:szCs w:val="21"/>
                <w:u w:val="none"/>
                <w:lang w:val="en-US" w:eastAsia="zh-CN" w:bidi="ar"/>
              </w:rPr>
              <w:t>/a）</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7A69">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r>
              <w:rPr>
                <w:rFonts w:hint="eastAsia" w:eastAsia="仿宋" w:cs="Times New Roman"/>
                <w:b/>
                <w:bCs/>
                <w:i w:val="0"/>
                <w:iCs w:val="0"/>
                <w:color w:val="auto"/>
                <w:kern w:val="0"/>
                <w:sz w:val="21"/>
                <w:szCs w:val="21"/>
                <w:u w:val="none"/>
                <w:lang w:val="en-US" w:eastAsia="zh-CN" w:bidi="ar"/>
              </w:rPr>
              <w:t>备注</w:t>
            </w:r>
          </w:p>
        </w:tc>
      </w:tr>
      <w:tr w14:paraId="2712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FB374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脱脂槽</w:t>
            </w:r>
            <w:r>
              <w:rPr>
                <w:rFonts w:hint="default" w:ascii="Times New Roman" w:hAnsi="Times New Roman" w:eastAsia="仿宋" w:cs="Times New Roman"/>
                <w:i w:val="0"/>
                <w:iCs w:val="0"/>
                <w:color w:val="auto"/>
                <w:kern w:val="0"/>
                <w:sz w:val="21"/>
                <w:szCs w:val="21"/>
                <w:u w:val="none"/>
                <w:lang w:val="en-US" w:eastAsia="zh-CN" w:bidi="ar"/>
              </w:rPr>
              <w:t>1</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2660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D89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脱脂剂</w:t>
            </w:r>
            <w:r>
              <w:rPr>
                <w:rFonts w:hint="default" w:ascii="Times New Roman" w:hAnsi="Times New Roman" w:eastAsia="仿宋" w:cs="Times New Roman"/>
                <w:i w:val="0"/>
                <w:iCs w:val="0"/>
                <w:color w:val="auto"/>
                <w:kern w:val="0"/>
                <w:sz w:val="21"/>
                <w:szCs w:val="21"/>
                <w:u w:val="none"/>
                <w:lang w:val="en-US" w:eastAsia="zh-CN" w:bidi="ar"/>
              </w:rPr>
              <w:t>5%</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B81AE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5AE7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4CCD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ACA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20F7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6AC4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1E0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5.87</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F27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4F8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0.31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87DD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309D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B94F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E331D">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3E840">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661C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AE13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434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3C11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B53E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256B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336" w:type="pct"/>
            <w:gridSpan w:val="2"/>
            <w:vMerge w:val="restart"/>
            <w:tcBorders>
              <w:top w:val="single" w:color="000000" w:sz="4" w:space="0"/>
              <w:left w:val="single" w:color="000000" w:sz="4" w:space="0"/>
              <w:right w:val="single" w:color="000000" w:sz="4" w:space="0"/>
            </w:tcBorders>
            <w:shd w:val="clear" w:color="auto" w:fill="auto"/>
            <w:noWrap/>
            <w:vAlign w:val="center"/>
          </w:tcPr>
          <w:p w14:paraId="2C76EC97">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360" w:type="pct"/>
            <w:gridSpan w:val="2"/>
            <w:vMerge w:val="restart"/>
            <w:tcBorders>
              <w:top w:val="single" w:color="000000" w:sz="4" w:space="0"/>
              <w:left w:val="single" w:color="000000" w:sz="4" w:space="0"/>
              <w:right w:val="single" w:color="000000" w:sz="4" w:space="0"/>
            </w:tcBorders>
            <w:shd w:val="clear" w:color="auto" w:fill="auto"/>
            <w:noWrap/>
            <w:vAlign w:val="center"/>
          </w:tcPr>
          <w:p w14:paraId="328A272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6.18</w:t>
            </w:r>
          </w:p>
        </w:tc>
        <w:tc>
          <w:tcPr>
            <w:tcW w:w="365" w:type="pct"/>
            <w:vMerge w:val="restart"/>
            <w:tcBorders>
              <w:top w:val="single" w:color="000000" w:sz="4" w:space="0"/>
              <w:left w:val="single" w:color="000000" w:sz="4" w:space="0"/>
              <w:right w:val="single" w:color="000000" w:sz="4" w:space="0"/>
            </w:tcBorders>
            <w:shd w:val="clear" w:color="auto" w:fill="auto"/>
            <w:noWrap/>
            <w:vAlign w:val="center"/>
          </w:tcPr>
          <w:p w14:paraId="42F1BFF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5BD1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11B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2C8201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C7383">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2906F">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C103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CDD9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9D862">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800B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C58F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70CD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71D8201F">
            <w:pPr>
              <w:jc w:val="center"/>
              <w:rPr>
                <w:rFonts w:hint="default" w:ascii="Times New Roman" w:hAnsi="Times New Roman" w:eastAsia="仿宋" w:cs="Times New Roman"/>
                <w:i w:val="0"/>
                <w:iCs w:val="0"/>
                <w:color w:val="auto"/>
                <w:kern w:val="2"/>
                <w:sz w:val="21"/>
                <w:szCs w:val="21"/>
                <w:u w:val="none"/>
                <w:lang w:val="en-US" w:eastAsia="zh-CN" w:bidi="ar-SA"/>
              </w:rPr>
            </w:pP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5C8E81A7">
            <w:pPr>
              <w:jc w:val="center"/>
              <w:rPr>
                <w:rFonts w:hint="default" w:ascii="Times New Roman" w:hAnsi="Times New Roman" w:eastAsia="仿宋" w:cs="Times New Roman"/>
                <w:i w:val="0"/>
                <w:iCs w:val="0"/>
                <w:color w:val="auto"/>
                <w:kern w:val="2"/>
                <w:sz w:val="21"/>
                <w:szCs w:val="21"/>
                <w:u w:val="none"/>
                <w:lang w:val="en-US" w:eastAsia="zh-CN" w:bidi="ar-SA"/>
              </w:rPr>
            </w:pPr>
          </w:p>
        </w:tc>
        <w:tc>
          <w:tcPr>
            <w:tcW w:w="365" w:type="pct"/>
            <w:vMerge w:val="continue"/>
            <w:tcBorders>
              <w:left w:val="single" w:color="000000" w:sz="4" w:space="0"/>
              <w:bottom w:val="single" w:color="000000" w:sz="4" w:space="0"/>
              <w:right w:val="single" w:color="000000" w:sz="4" w:space="0"/>
            </w:tcBorders>
            <w:shd w:val="clear" w:color="auto" w:fill="auto"/>
            <w:noWrap/>
            <w:vAlign w:val="center"/>
          </w:tcPr>
          <w:p w14:paraId="4BA517C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988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BB23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2D718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7B3AC0">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2</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2DCA757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A76A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纯水</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5D5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3D0F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7C82B">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D343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C9CF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76E4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BEB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F34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8936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FDA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D3F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577938">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36735">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00FFDB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2FA02">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98E1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22EE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B36B">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9295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0255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ECE8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D2D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47C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6DAB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DEF45">
            <w:pPr>
              <w:jc w:val="center"/>
              <w:rPr>
                <w:rFonts w:hint="default" w:ascii="Times New Roman" w:hAnsi="Times New Roman" w:eastAsia="仿宋" w:cs="Times New Roman"/>
                <w:i w:val="0"/>
                <w:iCs w:val="0"/>
                <w:color w:val="auto"/>
                <w:sz w:val="21"/>
                <w:szCs w:val="21"/>
                <w:u w:val="none"/>
              </w:rPr>
            </w:pPr>
          </w:p>
        </w:tc>
      </w:tr>
      <w:tr w14:paraId="603DC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4E3141">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3EADE3">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B5E658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F92C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EEA4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E9A2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97075">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C3AB">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0BE0F">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38DE1">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B39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675</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9A8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97F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49819">
            <w:pPr>
              <w:jc w:val="center"/>
              <w:rPr>
                <w:rFonts w:hint="default" w:ascii="Times New Roman" w:hAnsi="Times New Roman" w:eastAsia="仿宋" w:cs="Times New Roman"/>
                <w:i w:val="0"/>
                <w:iCs w:val="0"/>
                <w:color w:val="auto"/>
                <w:sz w:val="21"/>
                <w:szCs w:val="21"/>
                <w:u w:val="none"/>
              </w:rPr>
            </w:pPr>
          </w:p>
        </w:tc>
      </w:tr>
      <w:tr w14:paraId="55397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D33EE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9BD380">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3</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9E1D1F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00C1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纯水</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6B25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DE75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1C534">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ADA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5C9B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1CA6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ABD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E16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1AE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F9A9B">
            <w:pPr>
              <w:jc w:val="center"/>
              <w:rPr>
                <w:rFonts w:hint="default" w:ascii="Times New Roman" w:hAnsi="Times New Roman" w:eastAsia="仿宋" w:cs="Times New Roman"/>
                <w:i w:val="0"/>
                <w:iCs w:val="0"/>
                <w:color w:val="auto"/>
                <w:sz w:val="21"/>
                <w:szCs w:val="21"/>
                <w:u w:val="none"/>
              </w:rPr>
            </w:pPr>
          </w:p>
        </w:tc>
      </w:tr>
      <w:tr w14:paraId="30195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438A26">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77E9124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636210C">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FC8A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9C40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175F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05C37">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654E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1455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DD9B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61A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74C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F3D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DA7D">
            <w:pPr>
              <w:jc w:val="center"/>
              <w:rPr>
                <w:rFonts w:hint="default" w:ascii="Times New Roman" w:hAnsi="Times New Roman" w:eastAsia="仿宋" w:cs="Times New Roman"/>
                <w:i w:val="0"/>
                <w:iCs w:val="0"/>
                <w:color w:val="auto"/>
                <w:sz w:val="21"/>
                <w:szCs w:val="21"/>
                <w:u w:val="none"/>
              </w:rPr>
            </w:pPr>
          </w:p>
        </w:tc>
      </w:tr>
      <w:tr w14:paraId="585D0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7FDEA2">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71C910A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95A4A5B">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5E60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5C20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A44EE">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D2DB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CE36">
            <w:pPr>
              <w:jc w:val="center"/>
              <w:rPr>
                <w:rFonts w:hint="eastAsia"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3A26C">
            <w:pPr>
              <w:jc w:val="center"/>
              <w:rPr>
                <w:rFonts w:hint="eastAsia"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E82B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750</w:t>
            </w:r>
          </w:p>
        </w:tc>
        <w:tc>
          <w:tcPr>
            <w:tcW w:w="336"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1C341C3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0"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78B90DF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36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A4E5BB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CEF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溢流至前一道水洗</w:t>
            </w:r>
          </w:p>
        </w:tc>
      </w:tr>
      <w:tr w14:paraId="58A7B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B9B076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酸洗槽</w:t>
            </w:r>
            <w:r>
              <w:rPr>
                <w:rFonts w:hint="default" w:ascii="Times New Roman" w:hAnsi="Times New Roman" w:eastAsia="仿宋" w:cs="Times New Roman"/>
                <w:i w:val="0"/>
                <w:iCs w:val="0"/>
                <w:color w:val="auto"/>
                <w:kern w:val="0"/>
                <w:sz w:val="21"/>
                <w:szCs w:val="21"/>
                <w:u w:val="none"/>
                <w:lang w:val="en-US" w:eastAsia="zh-CN" w:bidi="ar"/>
              </w:rPr>
              <w:t>4</w:t>
            </w:r>
          </w:p>
        </w:tc>
        <w:tc>
          <w:tcPr>
            <w:tcW w:w="359" w:type="pct"/>
            <w:gridSpan w:val="2"/>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19BEC24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3A2901D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硫酸</w:t>
            </w:r>
            <w:r>
              <w:rPr>
                <w:rFonts w:hint="default" w:ascii="Times New Roman" w:hAnsi="Times New Roman" w:eastAsia="仿宋" w:cs="Times New Roman"/>
                <w:i w:val="0"/>
                <w:iCs w:val="0"/>
                <w:color w:val="auto"/>
                <w:kern w:val="0"/>
                <w:sz w:val="21"/>
                <w:szCs w:val="21"/>
                <w:u w:val="none"/>
                <w:lang w:val="en-US" w:eastAsia="zh-CN" w:bidi="ar"/>
              </w:rPr>
              <w:t>5%</w:t>
            </w:r>
          </w:p>
        </w:tc>
        <w:tc>
          <w:tcPr>
            <w:tcW w:w="613"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5F52D6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9230B1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auto" w:sz="4" w:space="0"/>
              <w:right w:val="single" w:color="000000" w:sz="4" w:space="0"/>
            </w:tcBorders>
            <w:shd w:val="clear" w:color="auto" w:fill="auto"/>
            <w:vAlign w:val="center"/>
          </w:tcPr>
          <w:p w14:paraId="7F6DC85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656997C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00E6ECA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14:paraId="7D9EC49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105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7B81C1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sz w:val="21"/>
                <w:szCs w:val="21"/>
                <w:u w:val="none"/>
                <w:lang w:val="en-US" w:eastAsia="zh-CN"/>
              </w:rPr>
              <w:t>5.99</w:t>
            </w:r>
          </w:p>
        </w:tc>
        <w:tc>
          <w:tcPr>
            <w:tcW w:w="112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DDDFFE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w:t>
            </w:r>
          </w:p>
        </w:tc>
        <w:tc>
          <w:tcPr>
            <w:tcW w:w="11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058F3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sz w:val="21"/>
                <w:szCs w:val="21"/>
                <w:u w:val="none"/>
                <w:lang w:val="en-US" w:eastAsia="zh-CN"/>
              </w:rPr>
              <w:t>0.19</w:t>
            </w:r>
          </w:p>
        </w:tc>
        <w:tc>
          <w:tcPr>
            <w:tcW w:w="366" w:type="pct"/>
            <w:tcBorders>
              <w:top w:val="single" w:color="000000" w:sz="4" w:space="0"/>
              <w:left w:val="single" w:color="auto" w:sz="4" w:space="0"/>
              <w:bottom w:val="single" w:color="auto" w:sz="4" w:space="0"/>
              <w:right w:val="single" w:color="000000" w:sz="4" w:space="0"/>
            </w:tcBorders>
            <w:shd w:val="clear" w:color="auto" w:fill="auto"/>
            <w:vAlign w:val="center"/>
          </w:tcPr>
          <w:p w14:paraId="1567C49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7B500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989E84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B7478">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FFDE0">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E263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8C78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38BE5">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5108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00E5E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20F97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6.18</w:t>
            </w:r>
          </w:p>
        </w:tc>
        <w:tc>
          <w:tcPr>
            <w:tcW w:w="1050" w:type="dxa"/>
            <w:gridSpan w:val="2"/>
            <w:vMerge w:val="restart"/>
            <w:tcBorders>
              <w:top w:val="single" w:color="auto" w:sz="4" w:space="0"/>
              <w:left w:val="single" w:color="auto" w:sz="4" w:space="0"/>
              <w:right w:val="single" w:color="000000" w:sz="4" w:space="0"/>
            </w:tcBorders>
            <w:shd w:val="clear" w:color="auto" w:fill="auto"/>
            <w:noWrap/>
            <w:vAlign w:val="center"/>
          </w:tcPr>
          <w:p w14:paraId="219CA4CB">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1125" w:type="dxa"/>
            <w:gridSpan w:val="2"/>
            <w:vMerge w:val="restart"/>
            <w:tcBorders>
              <w:top w:val="single" w:color="auto" w:sz="4" w:space="0"/>
              <w:left w:val="single" w:color="000000" w:sz="4" w:space="0"/>
              <w:right w:val="single" w:color="000000" w:sz="4" w:space="0"/>
            </w:tcBorders>
            <w:shd w:val="clear" w:color="auto" w:fill="auto"/>
            <w:noWrap/>
            <w:vAlign w:val="center"/>
          </w:tcPr>
          <w:p w14:paraId="78672D9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sz w:val="21"/>
                <w:szCs w:val="21"/>
                <w:u w:val="none"/>
                <w:lang w:val="en-US" w:eastAsia="zh-CN"/>
              </w:rPr>
              <w:t>6.18</w:t>
            </w:r>
          </w:p>
        </w:tc>
        <w:tc>
          <w:tcPr>
            <w:tcW w:w="1143" w:type="dxa"/>
            <w:vMerge w:val="restart"/>
            <w:tcBorders>
              <w:top w:val="single" w:color="auto" w:sz="4" w:space="0"/>
              <w:left w:val="single" w:color="000000" w:sz="4" w:space="0"/>
              <w:right w:val="single" w:color="auto" w:sz="4" w:space="0"/>
            </w:tcBorders>
            <w:shd w:val="clear" w:color="auto" w:fill="auto"/>
            <w:noWrap/>
            <w:vAlign w:val="center"/>
          </w:tcPr>
          <w:p w14:paraId="226BDE6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44C45BB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74B8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9BF82C">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29604">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C9A2B">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FDFE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7826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644B5">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445E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D155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6C6702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auto" w:sz="4" w:space="0"/>
              <w:bottom w:val="single" w:color="auto" w:sz="4" w:space="0"/>
              <w:right w:val="single" w:color="000000" w:sz="4" w:space="0"/>
            </w:tcBorders>
            <w:shd w:val="clear" w:color="auto" w:fill="auto"/>
            <w:noWrap/>
            <w:vAlign w:val="center"/>
          </w:tcPr>
          <w:p w14:paraId="54D6DBD2">
            <w:pPr>
              <w:jc w:val="center"/>
              <w:rPr>
                <w:rFonts w:hint="default" w:ascii="Times New Roman" w:hAnsi="Times New Roman" w:eastAsia="仿宋" w:cs="Times New Roman"/>
                <w:i w:val="0"/>
                <w:iCs w:val="0"/>
                <w:color w:val="auto"/>
                <w:kern w:val="2"/>
                <w:sz w:val="21"/>
                <w:szCs w:val="21"/>
                <w:u w:val="none"/>
                <w:lang w:val="en-US" w:eastAsia="zh-CN" w:bidi="ar-SA"/>
              </w:rPr>
            </w:pPr>
          </w:p>
        </w:tc>
        <w:tc>
          <w:tcPr>
            <w:tcW w:w="360" w:type="pct"/>
            <w:gridSpan w:val="2"/>
            <w:vMerge w:val="continue"/>
            <w:tcBorders>
              <w:left w:val="single" w:color="000000" w:sz="4" w:space="0"/>
              <w:bottom w:val="single" w:color="auto" w:sz="4" w:space="0"/>
              <w:right w:val="single" w:color="000000" w:sz="4" w:space="0"/>
            </w:tcBorders>
            <w:shd w:val="clear" w:color="auto" w:fill="auto"/>
            <w:noWrap/>
            <w:vAlign w:val="center"/>
          </w:tcPr>
          <w:p w14:paraId="29C49D8B">
            <w:pPr>
              <w:jc w:val="center"/>
              <w:rPr>
                <w:rFonts w:hint="default" w:ascii="Times New Roman" w:hAnsi="Times New Roman" w:eastAsia="仿宋" w:cs="Times New Roman"/>
                <w:i w:val="0"/>
                <w:iCs w:val="0"/>
                <w:color w:val="auto"/>
                <w:kern w:val="2"/>
                <w:sz w:val="21"/>
                <w:szCs w:val="21"/>
                <w:u w:val="none"/>
                <w:lang w:val="en-US" w:eastAsia="zh-CN" w:bidi="ar-SA"/>
              </w:rPr>
            </w:pPr>
          </w:p>
        </w:tc>
        <w:tc>
          <w:tcPr>
            <w:tcW w:w="365" w:type="pct"/>
            <w:vMerge w:val="continue"/>
            <w:tcBorders>
              <w:left w:val="single" w:color="000000" w:sz="4" w:space="0"/>
              <w:bottom w:val="single" w:color="auto" w:sz="4" w:space="0"/>
              <w:right w:val="single" w:color="auto" w:sz="4" w:space="0"/>
            </w:tcBorders>
            <w:shd w:val="clear" w:color="auto" w:fill="auto"/>
            <w:noWrap/>
            <w:vAlign w:val="center"/>
          </w:tcPr>
          <w:p w14:paraId="72209CA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6" w:type="pct"/>
            <w:tcBorders>
              <w:top w:val="single" w:color="000000" w:sz="4" w:space="0"/>
              <w:left w:val="single" w:color="auto" w:sz="4" w:space="0"/>
              <w:bottom w:val="single" w:color="000000" w:sz="4" w:space="0"/>
              <w:right w:val="single" w:color="000000" w:sz="4" w:space="0"/>
            </w:tcBorders>
            <w:shd w:val="clear" w:color="auto" w:fill="auto"/>
            <w:vAlign w:val="center"/>
          </w:tcPr>
          <w:p w14:paraId="230825F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57C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000000" w:sz="4" w:space="0"/>
              <w:right w:val="single" w:color="000000" w:sz="4" w:space="0"/>
            </w:tcBorders>
            <w:shd w:val="clear" w:color="auto" w:fill="auto"/>
            <w:vAlign w:val="center"/>
          </w:tcPr>
          <w:p w14:paraId="7B22A83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16037FAE">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5</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4527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748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0747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F1BC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678F">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B14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5601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87DD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53F9E02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59FEA3A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91F1EC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D522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D5EF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46116FB9">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6EFD8D06">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0AC93">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DD8DC">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CF7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9485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3F64">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899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D0F6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9BFF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DC1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C09A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64B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607E">
            <w:pPr>
              <w:jc w:val="center"/>
              <w:rPr>
                <w:rFonts w:hint="default" w:ascii="Times New Roman" w:hAnsi="Times New Roman" w:eastAsia="仿宋" w:cs="Times New Roman"/>
                <w:i w:val="0"/>
                <w:iCs w:val="0"/>
                <w:color w:val="auto"/>
                <w:sz w:val="21"/>
                <w:szCs w:val="21"/>
                <w:u w:val="none"/>
              </w:rPr>
            </w:pPr>
          </w:p>
        </w:tc>
      </w:tr>
      <w:tr w14:paraId="57975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17C190E3">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5C5EE87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270D6">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425EA">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CE0E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E9370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DC716">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A10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72C3A">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C897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6DE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675</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F1E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7AB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D0C24">
            <w:pPr>
              <w:jc w:val="center"/>
              <w:rPr>
                <w:rFonts w:hint="default" w:ascii="Times New Roman" w:hAnsi="Times New Roman" w:eastAsia="仿宋" w:cs="Times New Roman"/>
                <w:i w:val="0"/>
                <w:iCs w:val="0"/>
                <w:color w:val="auto"/>
                <w:sz w:val="21"/>
                <w:szCs w:val="21"/>
                <w:u w:val="none"/>
              </w:rPr>
            </w:pPr>
          </w:p>
        </w:tc>
      </w:tr>
      <w:tr w14:paraId="01F6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4CE50FF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000000" w:sz="4" w:space="0"/>
              <w:right w:val="single" w:color="000000" w:sz="4" w:space="0"/>
            </w:tcBorders>
            <w:shd w:val="clear" w:color="auto" w:fill="auto"/>
            <w:vAlign w:val="center"/>
          </w:tcPr>
          <w:p w14:paraId="424584D4">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6</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0280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828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B56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FF22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9D83">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0A4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8934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55B7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D93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DD5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B8B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DFEC9">
            <w:pPr>
              <w:jc w:val="center"/>
              <w:rPr>
                <w:rFonts w:hint="default" w:ascii="Times New Roman" w:hAnsi="Times New Roman" w:eastAsia="仿宋" w:cs="Times New Roman"/>
                <w:i w:val="0"/>
                <w:iCs w:val="0"/>
                <w:color w:val="auto"/>
                <w:sz w:val="21"/>
                <w:szCs w:val="21"/>
                <w:u w:val="none"/>
              </w:rPr>
            </w:pPr>
          </w:p>
        </w:tc>
      </w:tr>
      <w:tr w14:paraId="6DC4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right w:val="single" w:color="000000" w:sz="4" w:space="0"/>
            </w:tcBorders>
            <w:shd w:val="clear" w:color="auto" w:fill="auto"/>
            <w:vAlign w:val="center"/>
          </w:tcPr>
          <w:p w14:paraId="13BBBF71">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right w:val="single" w:color="000000" w:sz="4" w:space="0"/>
            </w:tcBorders>
            <w:shd w:val="clear" w:color="auto" w:fill="auto"/>
            <w:vAlign w:val="center"/>
          </w:tcPr>
          <w:p w14:paraId="6D5F1B27">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CCA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89B0B">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7AC2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D5E3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7C9A4">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3F7C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CB70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7243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579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C65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F13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E301">
            <w:pPr>
              <w:jc w:val="center"/>
              <w:rPr>
                <w:rFonts w:hint="default" w:ascii="Times New Roman" w:hAnsi="Times New Roman" w:eastAsia="仿宋" w:cs="Times New Roman"/>
                <w:i w:val="0"/>
                <w:iCs w:val="0"/>
                <w:color w:val="auto"/>
                <w:sz w:val="21"/>
                <w:szCs w:val="21"/>
                <w:u w:val="none"/>
              </w:rPr>
            </w:pPr>
          </w:p>
        </w:tc>
      </w:tr>
      <w:tr w14:paraId="2E5E4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left w:val="single" w:color="000000" w:sz="4" w:space="0"/>
              <w:bottom w:val="single" w:color="auto" w:sz="4" w:space="0"/>
              <w:right w:val="single" w:color="000000" w:sz="4" w:space="0"/>
            </w:tcBorders>
            <w:shd w:val="clear" w:color="auto" w:fill="auto"/>
            <w:vAlign w:val="center"/>
          </w:tcPr>
          <w:p w14:paraId="35EFB9AE">
            <w:pPr>
              <w:jc w:val="center"/>
              <w:rPr>
                <w:rFonts w:hint="default" w:ascii="Times New Roman" w:hAnsi="Times New Roman" w:eastAsia="仿宋" w:cs="Times New Roman"/>
                <w:i w:val="0"/>
                <w:iCs w:val="0"/>
                <w:color w:val="auto"/>
                <w:sz w:val="21"/>
                <w:szCs w:val="21"/>
                <w:u w:val="none"/>
              </w:rPr>
            </w:pPr>
          </w:p>
        </w:tc>
        <w:tc>
          <w:tcPr>
            <w:tcW w:w="218" w:type="pct"/>
            <w:vMerge w:val="continue"/>
            <w:tcBorders>
              <w:left w:val="single" w:color="000000" w:sz="4" w:space="0"/>
              <w:bottom w:val="single" w:color="auto" w:sz="4" w:space="0"/>
              <w:right w:val="single" w:color="000000" w:sz="4" w:space="0"/>
            </w:tcBorders>
            <w:shd w:val="clear" w:color="auto" w:fill="auto"/>
            <w:vAlign w:val="center"/>
          </w:tcPr>
          <w:p w14:paraId="7789CC9C">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4262">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6B26">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A91F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A41DF">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11C6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30C8D">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C4F6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0425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495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C30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F14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D952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溢流至前一道水洗</w:t>
            </w:r>
          </w:p>
        </w:tc>
      </w:tr>
      <w:tr w14:paraId="4B194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3A70EE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中和槽</w:t>
            </w:r>
            <w:r>
              <w:rPr>
                <w:rFonts w:hint="default" w:ascii="Times New Roman" w:hAnsi="Times New Roman" w:eastAsia="仿宋" w:cs="Times New Roman"/>
                <w:i w:val="0"/>
                <w:iCs w:val="0"/>
                <w:color w:val="auto"/>
                <w:kern w:val="0"/>
                <w:sz w:val="21"/>
                <w:szCs w:val="21"/>
                <w:u w:val="none"/>
                <w:lang w:val="en-US" w:eastAsia="zh-CN" w:bidi="ar"/>
              </w:rPr>
              <w:t>7</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F832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9908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56"/>
                <w:rFonts w:hint="default" w:ascii="Times New Roman" w:hAnsi="Times New Roman" w:eastAsia="仿宋" w:cs="Times New Roman"/>
                <w:color w:val="auto"/>
                <w:sz w:val="21"/>
                <w:szCs w:val="21"/>
                <w:lang w:val="en-US" w:eastAsia="zh-CN" w:bidi="ar"/>
              </w:rPr>
              <w:t>中和剂</w:t>
            </w:r>
            <w:r>
              <w:rPr>
                <w:rFonts w:hint="default" w:ascii="Times New Roman" w:hAnsi="Times New Roman" w:eastAsia="仿宋" w:cs="Times New Roman"/>
                <w:i w:val="0"/>
                <w:iCs w:val="0"/>
                <w:color w:val="auto"/>
                <w:kern w:val="0"/>
                <w:sz w:val="21"/>
                <w:szCs w:val="21"/>
                <w:u w:val="none"/>
                <w:lang w:val="en-US" w:eastAsia="zh-CN" w:bidi="ar"/>
              </w:rPr>
              <w:t>3%</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9B8E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703B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CEC56">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8F63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0472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89DA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EAD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4</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CF1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2AA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0.12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37C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3416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C71D74">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8012C">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F0D2F">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DED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B579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10133">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3A75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4EF6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B765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1050" w:type="dxa"/>
            <w:gridSpan w:val="2"/>
            <w:vMerge w:val="restart"/>
            <w:tcBorders>
              <w:top w:val="single" w:color="000000" w:sz="4" w:space="0"/>
              <w:left w:val="single" w:color="000000" w:sz="4" w:space="0"/>
              <w:right w:val="single" w:color="000000" w:sz="4" w:space="0"/>
            </w:tcBorders>
            <w:shd w:val="clear" w:color="auto" w:fill="auto"/>
            <w:noWrap/>
            <w:vAlign w:val="center"/>
          </w:tcPr>
          <w:p w14:paraId="709CF8A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1125" w:type="dxa"/>
            <w:gridSpan w:val="2"/>
            <w:vMerge w:val="restart"/>
            <w:tcBorders>
              <w:top w:val="single" w:color="000000" w:sz="4" w:space="0"/>
              <w:left w:val="single" w:color="000000" w:sz="4" w:space="0"/>
              <w:right w:val="single" w:color="000000" w:sz="4" w:space="0"/>
            </w:tcBorders>
            <w:shd w:val="clear" w:color="auto" w:fill="auto"/>
            <w:noWrap/>
            <w:vAlign w:val="center"/>
          </w:tcPr>
          <w:p w14:paraId="5F963E5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sz w:val="21"/>
                <w:szCs w:val="21"/>
                <w:u w:val="none"/>
                <w:lang w:val="en-US" w:eastAsia="zh-CN"/>
              </w:rPr>
              <w:t>4.12</w:t>
            </w:r>
          </w:p>
        </w:tc>
        <w:tc>
          <w:tcPr>
            <w:tcW w:w="1143" w:type="dxa"/>
            <w:vMerge w:val="restart"/>
            <w:tcBorders>
              <w:top w:val="single" w:color="000000" w:sz="4" w:space="0"/>
              <w:left w:val="single" w:color="000000" w:sz="4" w:space="0"/>
              <w:right w:val="single" w:color="000000" w:sz="4" w:space="0"/>
            </w:tcBorders>
            <w:shd w:val="clear" w:color="auto" w:fill="auto"/>
            <w:noWrap/>
            <w:vAlign w:val="center"/>
          </w:tcPr>
          <w:p w14:paraId="064E9FC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B725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7131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CF79FC">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2A44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1E7DB">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9333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019C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F13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735B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33C3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693F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16248F4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6A4DE9D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5" w:type="pct"/>
            <w:vMerge w:val="continue"/>
            <w:tcBorders>
              <w:left w:val="single" w:color="000000" w:sz="4" w:space="0"/>
              <w:bottom w:val="single" w:color="000000" w:sz="4" w:space="0"/>
              <w:right w:val="single" w:color="000000" w:sz="4" w:space="0"/>
            </w:tcBorders>
            <w:shd w:val="clear" w:color="auto" w:fill="auto"/>
            <w:noWrap/>
            <w:vAlign w:val="center"/>
          </w:tcPr>
          <w:p w14:paraId="7F9B50E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BB13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3B1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5624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F02B47">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8</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A871F0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4AD1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D39E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03AA9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8F9D2">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06FE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B6CF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FD97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CE1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4EA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B1F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644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C0C6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DFA50D">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17D78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FD68CC6">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6E1A0">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4B28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D9EE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1A84">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E0D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C944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E189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E9D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0EA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456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55C36">
            <w:pPr>
              <w:jc w:val="center"/>
              <w:rPr>
                <w:rFonts w:hint="default" w:ascii="Times New Roman" w:hAnsi="Times New Roman" w:eastAsia="仿宋" w:cs="Times New Roman"/>
                <w:i w:val="0"/>
                <w:iCs w:val="0"/>
                <w:color w:val="auto"/>
                <w:sz w:val="21"/>
                <w:szCs w:val="21"/>
                <w:u w:val="none"/>
              </w:rPr>
            </w:pPr>
          </w:p>
        </w:tc>
      </w:tr>
      <w:tr w14:paraId="54FA9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550A5A">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AE5A9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2E07B9D">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C2B8">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41E83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FAEF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8E96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7D64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04BF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6A3CBF">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5FF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675</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553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056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4B1A0">
            <w:pPr>
              <w:jc w:val="center"/>
              <w:rPr>
                <w:rFonts w:hint="default" w:ascii="Times New Roman" w:hAnsi="Times New Roman" w:eastAsia="仿宋" w:cs="Times New Roman"/>
                <w:i w:val="0"/>
                <w:iCs w:val="0"/>
                <w:color w:val="auto"/>
                <w:sz w:val="21"/>
                <w:szCs w:val="21"/>
                <w:u w:val="none"/>
              </w:rPr>
            </w:pPr>
          </w:p>
        </w:tc>
      </w:tr>
      <w:tr w14:paraId="6B1F0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A180B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1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74E6BD">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水洗槽</w:t>
            </w:r>
            <w:r>
              <w:rPr>
                <w:rFonts w:hint="default" w:ascii="Times New Roman" w:hAnsi="Times New Roman" w:eastAsia="仿宋" w:cs="Times New Roman"/>
                <w:i w:val="0"/>
                <w:iCs w:val="0"/>
                <w:color w:val="auto"/>
                <w:kern w:val="0"/>
                <w:sz w:val="21"/>
                <w:szCs w:val="21"/>
                <w:u w:val="none"/>
                <w:lang w:val="en-US" w:eastAsia="zh-CN" w:bidi="ar"/>
              </w:rPr>
              <w:t>9</w:t>
            </w:r>
          </w:p>
        </w:tc>
        <w:tc>
          <w:tcPr>
            <w:tcW w:w="359" w:type="pct"/>
            <w:gridSpan w:val="2"/>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0D4A6B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B1D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98D7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5A7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94D9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89DB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2095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8451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44A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5CF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AC8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5C42C">
            <w:pPr>
              <w:jc w:val="center"/>
              <w:rPr>
                <w:rFonts w:hint="default" w:ascii="Times New Roman" w:hAnsi="Times New Roman" w:eastAsia="仿宋" w:cs="Times New Roman"/>
                <w:i w:val="0"/>
                <w:iCs w:val="0"/>
                <w:color w:val="auto"/>
                <w:sz w:val="21"/>
                <w:szCs w:val="21"/>
                <w:u w:val="none"/>
              </w:rPr>
            </w:pPr>
          </w:p>
        </w:tc>
      </w:tr>
      <w:tr w14:paraId="5BDB7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8C1C06">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E6E869F">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3A9917B">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A6942">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234B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B60C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BA5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AC3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7BC2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24E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7AD1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15A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950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0CA07">
            <w:pPr>
              <w:jc w:val="center"/>
              <w:rPr>
                <w:rFonts w:hint="default" w:ascii="Times New Roman" w:hAnsi="Times New Roman" w:eastAsia="仿宋" w:cs="Times New Roman"/>
                <w:i w:val="0"/>
                <w:iCs w:val="0"/>
                <w:color w:val="auto"/>
                <w:sz w:val="21"/>
                <w:szCs w:val="21"/>
                <w:u w:val="none"/>
              </w:rPr>
            </w:pPr>
          </w:p>
        </w:tc>
      </w:tr>
      <w:tr w14:paraId="45749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17AA0">
            <w:pPr>
              <w:jc w:val="center"/>
              <w:rPr>
                <w:rFonts w:hint="default" w:ascii="Times New Roman" w:hAnsi="Times New Roman" w:eastAsia="仿宋" w:cs="Times New Roman"/>
                <w:i w:val="0"/>
                <w:iCs w:val="0"/>
                <w:color w:val="auto"/>
                <w:sz w:val="21"/>
                <w:szCs w:val="21"/>
                <w:u w:val="none"/>
              </w:rPr>
            </w:pPr>
          </w:p>
        </w:tc>
        <w:tc>
          <w:tcPr>
            <w:tcW w:w="218"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FA39EEA">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1344057">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2398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5106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A2F71">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413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25FA">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1D76">
            <w:pPr>
              <w:jc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sz w:val="21"/>
                <w:szCs w:val="21"/>
                <w:highlight w:val="none"/>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995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750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6C1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9BD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9FC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6E9B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溢流至前一道水洗</w:t>
            </w:r>
          </w:p>
        </w:tc>
      </w:tr>
      <w:tr w14:paraId="50890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6BD423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硅烷处理槽</w:t>
            </w:r>
            <w:r>
              <w:rPr>
                <w:rFonts w:hint="default" w:ascii="Times New Roman" w:hAnsi="Times New Roman" w:eastAsia="仿宋" w:cs="Times New Roman"/>
                <w:i w:val="0"/>
                <w:iCs w:val="0"/>
                <w:color w:val="auto"/>
                <w:kern w:val="0"/>
                <w:sz w:val="21"/>
                <w:szCs w:val="21"/>
                <w:u w:val="none"/>
                <w:lang w:val="en-US" w:eastAsia="zh-CN" w:bidi="ar"/>
              </w:rPr>
              <w:t>10</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11FA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F4DF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硅烷剂</w:t>
            </w:r>
            <w:r>
              <w:rPr>
                <w:rFonts w:hint="default" w:ascii="Times New Roman" w:hAnsi="Times New Roman" w:eastAsia="仿宋" w:cs="Times New Roman"/>
                <w:i w:val="0"/>
                <w:iCs w:val="0"/>
                <w:color w:val="auto"/>
                <w:kern w:val="0"/>
                <w:sz w:val="21"/>
                <w:szCs w:val="21"/>
                <w:u w:val="none"/>
                <w:lang w:val="en-US" w:eastAsia="zh-CN" w:bidi="ar"/>
              </w:rPr>
              <w:t>3%</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606B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1007C">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5B5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01D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A76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DCE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F75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4</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2E1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eastAsia" w:eastAsia="仿宋" w:cs="Times New Roman"/>
                <w:i w:val="0"/>
                <w:iCs w:val="0"/>
                <w:color w:val="auto"/>
                <w:kern w:val="0"/>
                <w:sz w:val="21"/>
                <w:szCs w:val="21"/>
                <w:u w:val="none"/>
                <w:lang w:val="en-US" w:eastAsia="zh-CN" w:bidi="ar"/>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789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0.12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9F30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0F7F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3FEF3C">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FF39C">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90DCC">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48B9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2239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3</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9F4E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7A55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A33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474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4.12</w:t>
            </w:r>
          </w:p>
        </w:tc>
        <w:tc>
          <w:tcPr>
            <w:tcW w:w="1050" w:type="dxa"/>
            <w:gridSpan w:val="2"/>
            <w:vMerge w:val="restart"/>
            <w:tcBorders>
              <w:top w:val="single" w:color="000000" w:sz="4" w:space="0"/>
              <w:left w:val="single" w:color="000000" w:sz="4" w:space="0"/>
              <w:right w:val="single" w:color="000000" w:sz="4" w:space="0"/>
            </w:tcBorders>
            <w:shd w:val="clear" w:color="auto" w:fill="auto"/>
            <w:noWrap/>
            <w:vAlign w:val="center"/>
          </w:tcPr>
          <w:p w14:paraId="6AF9E83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1125" w:type="dxa"/>
            <w:gridSpan w:val="2"/>
            <w:vMerge w:val="restart"/>
            <w:tcBorders>
              <w:top w:val="single" w:color="000000" w:sz="4" w:space="0"/>
              <w:left w:val="single" w:color="000000" w:sz="4" w:space="0"/>
              <w:right w:val="single" w:color="000000" w:sz="4" w:space="0"/>
            </w:tcBorders>
            <w:shd w:val="clear" w:color="auto" w:fill="auto"/>
            <w:noWrap/>
            <w:vAlign w:val="center"/>
          </w:tcPr>
          <w:p w14:paraId="630FB14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sz w:val="21"/>
                <w:szCs w:val="21"/>
                <w:u w:val="none"/>
                <w:lang w:val="en-US" w:eastAsia="zh-CN"/>
              </w:rPr>
              <w:t>4.12</w:t>
            </w:r>
          </w:p>
        </w:tc>
        <w:tc>
          <w:tcPr>
            <w:tcW w:w="1143" w:type="dxa"/>
            <w:vMerge w:val="restart"/>
            <w:tcBorders>
              <w:top w:val="single" w:color="000000" w:sz="4" w:space="0"/>
              <w:left w:val="single" w:color="000000" w:sz="4" w:space="0"/>
              <w:right w:val="single" w:color="000000" w:sz="4" w:space="0"/>
            </w:tcBorders>
            <w:shd w:val="clear" w:color="auto" w:fill="auto"/>
            <w:noWrap/>
            <w:vAlign w:val="center"/>
          </w:tcPr>
          <w:p w14:paraId="785ECBB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F1A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128EC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D70F69">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39426">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FEBE7">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5BF9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7D3C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1BF6">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9AA4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3C9B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C41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29DF430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18A828F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5" w:type="pct"/>
            <w:vMerge w:val="continue"/>
            <w:tcBorders>
              <w:left w:val="single" w:color="000000" w:sz="4" w:space="0"/>
              <w:bottom w:val="single" w:color="000000" w:sz="4" w:space="0"/>
              <w:right w:val="single" w:color="000000" w:sz="4" w:space="0"/>
            </w:tcBorders>
            <w:shd w:val="clear" w:color="auto" w:fill="auto"/>
            <w:noWrap/>
            <w:vAlign w:val="center"/>
          </w:tcPr>
          <w:p w14:paraId="5836D8E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6BA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0C98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3" w:type="pct"/>
            <w:gridSpan w:val="2"/>
            <w:vMerge w:val="restart"/>
            <w:tcBorders>
              <w:top w:val="single" w:color="auto" w:sz="4" w:space="0"/>
              <w:left w:val="single" w:color="000000" w:sz="4" w:space="0"/>
              <w:right w:val="single" w:color="000000" w:sz="4" w:space="0"/>
            </w:tcBorders>
            <w:shd w:val="clear" w:color="auto" w:fill="auto"/>
            <w:vAlign w:val="center"/>
          </w:tcPr>
          <w:p w14:paraId="26B4E4F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22" w:type="pct"/>
            <w:gridSpan w:val="2"/>
            <w:vMerge w:val="restart"/>
            <w:tcBorders>
              <w:top w:val="single" w:color="auto" w:sz="4" w:space="0"/>
              <w:left w:val="single" w:color="000000" w:sz="4" w:space="0"/>
              <w:right w:val="single" w:color="000000" w:sz="4" w:space="0"/>
            </w:tcBorders>
            <w:shd w:val="clear" w:color="auto" w:fill="auto"/>
            <w:vAlign w:val="center"/>
          </w:tcPr>
          <w:p w14:paraId="0A5E3554">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11</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81B2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62D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6294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77E8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B75F6">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9501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E05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4EC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35B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8DF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464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D92F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3BF3C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3" w:type="pct"/>
            <w:gridSpan w:val="2"/>
            <w:vMerge w:val="continue"/>
            <w:tcBorders>
              <w:left w:val="single" w:color="000000" w:sz="4" w:space="0"/>
              <w:right w:val="single" w:color="000000" w:sz="4" w:space="0"/>
            </w:tcBorders>
            <w:shd w:val="clear" w:color="auto" w:fill="auto"/>
            <w:vAlign w:val="center"/>
          </w:tcPr>
          <w:p w14:paraId="10DC5D83">
            <w:pPr>
              <w:jc w:val="center"/>
              <w:rPr>
                <w:rFonts w:hint="default" w:ascii="Times New Roman" w:hAnsi="Times New Roman" w:eastAsia="仿宋" w:cs="Times New Roman"/>
                <w:i w:val="0"/>
                <w:iCs w:val="0"/>
                <w:color w:val="auto"/>
                <w:sz w:val="21"/>
                <w:szCs w:val="21"/>
                <w:u w:val="none"/>
              </w:rPr>
            </w:pPr>
          </w:p>
        </w:tc>
        <w:tc>
          <w:tcPr>
            <w:tcW w:w="222" w:type="pct"/>
            <w:gridSpan w:val="2"/>
            <w:vMerge w:val="continue"/>
            <w:tcBorders>
              <w:left w:val="single" w:color="000000" w:sz="4" w:space="0"/>
              <w:right w:val="single" w:color="000000" w:sz="4" w:space="0"/>
            </w:tcBorders>
            <w:shd w:val="clear" w:color="auto" w:fill="auto"/>
            <w:vAlign w:val="center"/>
          </w:tcPr>
          <w:p w14:paraId="5D591863">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DE6F">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1A6D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792B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9488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AD96">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9E39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FB6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E0D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AB3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BE4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D48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18809">
            <w:pPr>
              <w:jc w:val="center"/>
              <w:rPr>
                <w:rFonts w:hint="default" w:ascii="Times New Roman" w:hAnsi="Times New Roman" w:eastAsia="仿宋" w:cs="Times New Roman"/>
                <w:i w:val="0"/>
                <w:iCs w:val="0"/>
                <w:color w:val="auto"/>
                <w:sz w:val="21"/>
                <w:szCs w:val="21"/>
                <w:u w:val="none"/>
              </w:rPr>
            </w:pPr>
          </w:p>
        </w:tc>
      </w:tr>
      <w:tr w14:paraId="34FA7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3" w:type="pct"/>
            <w:gridSpan w:val="2"/>
            <w:vMerge w:val="continue"/>
            <w:tcBorders>
              <w:left w:val="single" w:color="000000" w:sz="4" w:space="0"/>
              <w:right w:val="single" w:color="000000" w:sz="4" w:space="0"/>
            </w:tcBorders>
            <w:shd w:val="clear" w:color="auto" w:fill="auto"/>
            <w:vAlign w:val="center"/>
          </w:tcPr>
          <w:p w14:paraId="2A8D7203">
            <w:pPr>
              <w:jc w:val="center"/>
              <w:rPr>
                <w:rFonts w:hint="default" w:ascii="Times New Roman" w:hAnsi="Times New Roman" w:eastAsia="仿宋" w:cs="Times New Roman"/>
                <w:i w:val="0"/>
                <w:iCs w:val="0"/>
                <w:color w:val="auto"/>
                <w:sz w:val="21"/>
                <w:szCs w:val="21"/>
                <w:u w:val="none"/>
              </w:rPr>
            </w:pPr>
          </w:p>
        </w:tc>
        <w:tc>
          <w:tcPr>
            <w:tcW w:w="222" w:type="pct"/>
            <w:gridSpan w:val="2"/>
            <w:vMerge w:val="continue"/>
            <w:tcBorders>
              <w:left w:val="single" w:color="000000" w:sz="4" w:space="0"/>
              <w:bottom w:val="single" w:color="auto" w:sz="4" w:space="0"/>
              <w:right w:val="single" w:color="000000" w:sz="4" w:space="0"/>
            </w:tcBorders>
            <w:shd w:val="clear" w:color="auto" w:fill="auto"/>
            <w:vAlign w:val="center"/>
          </w:tcPr>
          <w:p w14:paraId="7F98FAFD">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88DC3">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70B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788F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8F5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AFA07">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068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02BF">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306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709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675</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96A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451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93FE">
            <w:pPr>
              <w:jc w:val="center"/>
              <w:rPr>
                <w:rFonts w:hint="default" w:ascii="Times New Roman" w:hAnsi="Times New Roman" w:eastAsia="仿宋" w:cs="Times New Roman"/>
                <w:i w:val="0"/>
                <w:iCs w:val="0"/>
                <w:color w:val="auto"/>
                <w:sz w:val="21"/>
                <w:szCs w:val="21"/>
                <w:u w:val="none"/>
              </w:rPr>
            </w:pPr>
          </w:p>
        </w:tc>
      </w:tr>
      <w:tr w14:paraId="22BB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3" w:type="pct"/>
            <w:gridSpan w:val="2"/>
            <w:vMerge w:val="continue"/>
            <w:tcBorders>
              <w:left w:val="single" w:color="000000" w:sz="4" w:space="0"/>
              <w:right w:val="single" w:color="000000" w:sz="4" w:space="0"/>
            </w:tcBorders>
            <w:shd w:val="clear" w:color="auto" w:fill="auto"/>
            <w:vAlign w:val="center"/>
          </w:tcPr>
          <w:p w14:paraId="0E15C5C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222" w:type="pct"/>
            <w:gridSpan w:val="2"/>
            <w:vMerge w:val="restart"/>
            <w:tcBorders>
              <w:top w:val="single" w:color="auto" w:sz="4" w:space="0"/>
              <w:left w:val="single" w:color="000000" w:sz="4" w:space="0"/>
              <w:right w:val="single" w:color="000000" w:sz="4" w:space="0"/>
            </w:tcBorders>
            <w:shd w:val="clear" w:color="auto" w:fill="auto"/>
            <w:vAlign w:val="center"/>
          </w:tcPr>
          <w:p w14:paraId="2007791A">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12</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0E15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736F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5ADD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6DE2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2E91">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1EF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368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552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D4E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11.12</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45CE">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895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5FF4">
            <w:pPr>
              <w:jc w:val="center"/>
              <w:rPr>
                <w:rFonts w:hint="default" w:ascii="Times New Roman" w:hAnsi="Times New Roman" w:eastAsia="仿宋" w:cs="Times New Roman"/>
                <w:i w:val="0"/>
                <w:iCs w:val="0"/>
                <w:color w:val="auto"/>
                <w:sz w:val="21"/>
                <w:szCs w:val="21"/>
                <w:u w:val="none"/>
              </w:rPr>
            </w:pPr>
          </w:p>
        </w:tc>
      </w:tr>
      <w:tr w14:paraId="48C63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3" w:type="pct"/>
            <w:gridSpan w:val="2"/>
            <w:vMerge w:val="continue"/>
            <w:tcBorders>
              <w:left w:val="single" w:color="000000" w:sz="4" w:space="0"/>
              <w:right w:val="single" w:color="000000" w:sz="4" w:space="0"/>
            </w:tcBorders>
            <w:shd w:val="clear" w:color="auto" w:fill="auto"/>
            <w:vAlign w:val="center"/>
          </w:tcPr>
          <w:p w14:paraId="0827D036">
            <w:pPr>
              <w:jc w:val="center"/>
              <w:rPr>
                <w:rFonts w:hint="default" w:ascii="Times New Roman" w:hAnsi="Times New Roman" w:eastAsia="仿宋" w:cs="Times New Roman"/>
                <w:i w:val="0"/>
                <w:iCs w:val="0"/>
                <w:color w:val="auto"/>
                <w:sz w:val="21"/>
                <w:szCs w:val="21"/>
                <w:u w:val="none"/>
              </w:rPr>
            </w:pPr>
          </w:p>
        </w:tc>
        <w:tc>
          <w:tcPr>
            <w:tcW w:w="222" w:type="pct"/>
            <w:gridSpan w:val="2"/>
            <w:vMerge w:val="continue"/>
            <w:tcBorders>
              <w:left w:val="single" w:color="000000" w:sz="4" w:space="0"/>
              <w:right w:val="single" w:color="000000" w:sz="4" w:space="0"/>
            </w:tcBorders>
            <w:shd w:val="clear" w:color="auto" w:fill="auto"/>
            <w:vAlign w:val="center"/>
          </w:tcPr>
          <w:p w14:paraId="4F9B83BD">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F497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1B41F">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1358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7D8D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734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6C9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0AB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714F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29E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11.12</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CCF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E9E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9E6E2">
            <w:pPr>
              <w:jc w:val="center"/>
              <w:rPr>
                <w:rFonts w:hint="default" w:ascii="Times New Roman" w:hAnsi="Times New Roman" w:eastAsia="仿宋" w:cs="Times New Roman"/>
                <w:i w:val="0"/>
                <w:iCs w:val="0"/>
                <w:color w:val="auto"/>
                <w:sz w:val="21"/>
                <w:szCs w:val="21"/>
                <w:u w:val="none"/>
              </w:rPr>
            </w:pPr>
          </w:p>
        </w:tc>
      </w:tr>
      <w:tr w14:paraId="0C171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73" w:type="pct"/>
            <w:gridSpan w:val="2"/>
            <w:vMerge w:val="continue"/>
            <w:tcBorders>
              <w:left w:val="single" w:color="000000" w:sz="4" w:space="0"/>
              <w:bottom w:val="single" w:color="auto" w:sz="4" w:space="0"/>
              <w:right w:val="single" w:color="000000" w:sz="4" w:space="0"/>
            </w:tcBorders>
            <w:shd w:val="clear" w:color="auto" w:fill="auto"/>
            <w:vAlign w:val="center"/>
          </w:tcPr>
          <w:p w14:paraId="728AB2C2">
            <w:pPr>
              <w:jc w:val="center"/>
              <w:rPr>
                <w:rFonts w:hint="default" w:ascii="Times New Roman" w:hAnsi="Times New Roman" w:eastAsia="仿宋" w:cs="Times New Roman"/>
                <w:i w:val="0"/>
                <w:iCs w:val="0"/>
                <w:color w:val="auto"/>
                <w:sz w:val="21"/>
                <w:szCs w:val="21"/>
                <w:u w:val="none"/>
              </w:rPr>
            </w:pPr>
          </w:p>
        </w:tc>
        <w:tc>
          <w:tcPr>
            <w:tcW w:w="222" w:type="pct"/>
            <w:gridSpan w:val="2"/>
            <w:vMerge w:val="continue"/>
            <w:tcBorders>
              <w:left w:val="single" w:color="000000" w:sz="4" w:space="0"/>
              <w:bottom w:val="single" w:color="auto" w:sz="4" w:space="0"/>
              <w:right w:val="single" w:color="000000" w:sz="4" w:space="0"/>
            </w:tcBorders>
            <w:shd w:val="clear" w:color="auto" w:fill="auto"/>
            <w:vAlign w:val="center"/>
          </w:tcPr>
          <w:p w14:paraId="510840F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7481A">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93245">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FC33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09567">
            <w:pPr>
              <w:jc w:val="center"/>
              <w:rPr>
                <w:rFonts w:hint="default" w:ascii="Times New Roman" w:hAnsi="Times New Roman" w:eastAsia="仿宋" w:cs="Times New Roman"/>
                <w:i w:val="0"/>
                <w:iCs w:val="0"/>
                <w:color w:val="auto"/>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76A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361A">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3565">
            <w:pPr>
              <w:jc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sz w:val="21"/>
                <w:szCs w:val="21"/>
                <w:highlight w:val="none"/>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4E6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750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CFC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A97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262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5B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溢流至前</w:t>
            </w:r>
            <w:r>
              <w:rPr>
                <w:rFonts w:hint="eastAsia" w:eastAsia="仿宋" w:cs="Times New Roman"/>
                <w:i w:val="0"/>
                <w:iCs w:val="0"/>
                <w:color w:val="auto"/>
                <w:kern w:val="0"/>
                <w:sz w:val="21"/>
                <w:szCs w:val="21"/>
                <w:u w:val="none"/>
                <w:lang w:val="en-US" w:eastAsia="zh-CN" w:bidi="ar"/>
              </w:rPr>
              <w:t>一道</w:t>
            </w:r>
            <w:r>
              <w:rPr>
                <w:rFonts w:hint="default" w:ascii="Times New Roman" w:hAnsi="Times New Roman" w:eastAsia="仿宋" w:cs="Times New Roman"/>
                <w:i w:val="0"/>
                <w:iCs w:val="0"/>
                <w:color w:val="auto"/>
                <w:kern w:val="0"/>
                <w:sz w:val="21"/>
                <w:szCs w:val="21"/>
                <w:u w:val="none"/>
                <w:lang w:val="en-US" w:eastAsia="zh-CN" w:bidi="ar"/>
              </w:rPr>
              <w:t>水洗</w:t>
            </w:r>
          </w:p>
        </w:tc>
      </w:tr>
      <w:tr w14:paraId="7D7F7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A8F9FC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电泳</w:t>
            </w:r>
            <w:r>
              <w:rPr>
                <w:rFonts w:hint="default" w:ascii="Times New Roman" w:hAnsi="Times New Roman" w:eastAsia="仿宋" w:cs="Times New Roman"/>
                <w:i w:val="0"/>
                <w:iCs w:val="0"/>
                <w:color w:val="auto"/>
                <w:kern w:val="0"/>
                <w:sz w:val="21"/>
                <w:szCs w:val="21"/>
                <w:u w:val="none"/>
                <w:lang w:val="en-US" w:eastAsia="zh-CN" w:bidi="ar"/>
              </w:rPr>
              <w:t>13</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07B6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F3B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Style w:val="56"/>
                <w:rFonts w:hint="default" w:ascii="Times New Roman" w:hAnsi="Times New Roman" w:eastAsia="仿宋" w:cs="Times New Roman"/>
                <w:color w:val="auto"/>
                <w:sz w:val="21"/>
                <w:szCs w:val="21"/>
                <w:lang w:val="en-US" w:eastAsia="zh-CN" w:bidi="ar"/>
              </w:rPr>
              <w:t>电泳漆25%</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CA0C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869D0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1EA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FC5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081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83F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3BD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9C5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E21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0.09</w:t>
            </w:r>
          </w:p>
        </w:tc>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DBFA1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BE4B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F8401F0">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70D4D">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54F6">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98007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更换（配槽）用水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33E9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C5DD9">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275F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991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3CB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vMerge w:val="restart"/>
            <w:tcBorders>
              <w:top w:val="single" w:color="000000" w:sz="4" w:space="0"/>
              <w:left w:val="single" w:color="000000" w:sz="4" w:space="0"/>
              <w:right w:val="single" w:color="000000" w:sz="4" w:space="0"/>
            </w:tcBorders>
            <w:shd w:val="clear" w:color="auto" w:fill="auto"/>
            <w:noWrap/>
            <w:vAlign w:val="center"/>
          </w:tcPr>
          <w:p w14:paraId="5DEA996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vMerge w:val="restart"/>
            <w:tcBorders>
              <w:top w:val="single" w:color="000000" w:sz="4" w:space="0"/>
              <w:left w:val="single" w:color="000000" w:sz="4" w:space="0"/>
              <w:right w:val="single" w:color="000000" w:sz="4" w:space="0"/>
            </w:tcBorders>
            <w:shd w:val="clear" w:color="auto" w:fill="auto"/>
            <w:noWrap/>
            <w:vAlign w:val="center"/>
          </w:tcPr>
          <w:p w14:paraId="1F65789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1143" w:type="dxa"/>
            <w:vMerge w:val="restart"/>
            <w:tcBorders>
              <w:top w:val="single" w:color="000000" w:sz="4" w:space="0"/>
              <w:left w:val="single" w:color="000000" w:sz="4" w:space="0"/>
              <w:right w:val="single" w:color="000000" w:sz="4" w:space="0"/>
            </w:tcBorders>
            <w:shd w:val="clear" w:color="auto" w:fill="auto"/>
            <w:noWrap/>
            <w:vAlign w:val="center"/>
          </w:tcPr>
          <w:p w14:paraId="7C42581C">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15.09</w:t>
            </w:r>
          </w:p>
        </w:tc>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A5FB2">
            <w:pPr>
              <w:jc w:val="center"/>
              <w:rPr>
                <w:rFonts w:hint="default" w:ascii="Times New Roman" w:hAnsi="Times New Roman" w:eastAsia="仿宋" w:cs="Times New Roman"/>
                <w:i w:val="0"/>
                <w:iCs w:val="0"/>
                <w:color w:val="auto"/>
                <w:sz w:val="21"/>
                <w:szCs w:val="21"/>
                <w:u w:val="none"/>
              </w:rPr>
            </w:pPr>
          </w:p>
        </w:tc>
      </w:tr>
      <w:tr w14:paraId="0CCF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FAADB5">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9C700">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EEBEA">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441E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729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A354">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853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F40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D81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36"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6610B34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0"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6AE00D1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5" w:type="pct"/>
            <w:vMerge w:val="continue"/>
            <w:tcBorders>
              <w:left w:val="single" w:color="000000" w:sz="4" w:space="0"/>
              <w:bottom w:val="single" w:color="000000" w:sz="4" w:space="0"/>
              <w:right w:val="single" w:color="000000" w:sz="4" w:space="0"/>
            </w:tcBorders>
            <w:shd w:val="clear" w:color="auto" w:fill="auto"/>
            <w:noWrap/>
            <w:vAlign w:val="center"/>
          </w:tcPr>
          <w:p w14:paraId="679FAF3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DAB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4FBE4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95"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5E21B62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超滤系统</w:t>
            </w:r>
          </w:p>
        </w:tc>
        <w:tc>
          <w:tcPr>
            <w:tcW w:w="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C31B8">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20307">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75A6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反冲洗用水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9588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2DA2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6936">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0.2</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FE31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B9B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2.4</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602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w:t>
            </w:r>
            <w:r>
              <w:rPr>
                <w:rFonts w:hint="eastAsia" w:eastAsia="仿宋" w:cs="Times New Roman"/>
                <w:i w:val="0"/>
                <w:iCs w:val="0"/>
                <w:color w:val="auto"/>
                <w:kern w:val="0"/>
                <w:sz w:val="21"/>
                <w:szCs w:val="21"/>
                <w:u w:val="none"/>
                <w:lang w:val="en-US" w:eastAsia="zh-CN" w:bidi="ar"/>
              </w:rPr>
              <w:t>328</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857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176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r>
              <w:rPr>
                <w:rFonts w:hint="eastAsia" w:eastAsia="仿宋" w:cs="Times New Roman"/>
                <w:i w:val="0"/>
                <w:iCs w:val="0"/>
                <w:color w:val="auto"/>
                <w:kern w:val="0"/>
                <w:sz w:val="21"/>
                <w:szCs w:val="21"/>
                <w:u w:val="none"/>
                <w:lang w:val="en-US" w:eastAsia="zh-CN" w:bidi="ar"/>
              </w:rPr>
              <w:t>072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8F07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2748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9A67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回收槽</w:t>
            </w:r>
            <w:r>
              <w:rPr>
                <w:rFonts w:hint="default" w:ascii="Times New Roman" w:hAnsi="Times New Roman" w:eastAsia="仿宋" w:cs="Times New Roman"/>
                <w:i w:val="0"/>
                <w:iCs w:val="0"/>
                <w:color w:val="auto"/>
                <w:kern w:val="0"/>
                <w:sz w:val="21"/>
                <w:szCs w:val="21"/>
                <w:u w:val="none"/>
                <w:lang w:val="en-US" w:eastAsia="zh-CN" w:bidi="ar"/>
              </w:rPr>
              <w:t>14</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C4ECB">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E8EC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7540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81FA4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9C71">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7E42">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42F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8DA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35C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896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C73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CA64">
            <w:pPr>
              <w:jc w:val="center"/>
              <w:rPr>
                <w:rFonts w:hint="default" w:ascii="Times New Roman" w:hAnsi="Times New Roman" w:eastAsia="仿宋" w:cs="Times New Roman"/>
                <w:i w:val="0"/>
                <w:iCs w:val="0"/>
                <w:color w:val="auto"/>
                <w:sz w:val="21"/>
                <w:szCs w:val="21"/>
                <w:u w:val="none"/>
              </w:rPr>
            </w:pPr>
          </w:p>
        </w:tc>
      </w:tr>
      <w:tr w14:paraId="13BA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6E7CB">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7C9AB">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A588E">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103AAD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4E5960D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Style w:val="56"/>
                <w:rFonts w:hint="default" w:ascii="Times New Roman" w:hAnsi="Times New Roman" w:eastAsia="仿宋" w:cs="Times New Roman"/>
                <w:color w:val="auto"/>
                <w:sz w:val="21"/>
                <w:szCs w:val="21"/>
                <w:lang w:val="en-US" w:eastAsia="zh-CN" w:bidi="ar"/>
              </w:rPr>
              <w:t>个月</w:t>
            </w:r>
          </w:p>
        </w:tc>
        <w:tc>
          <w:tcPr>
            <w:tcW w:w="37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90DEB65">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636F55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4057F3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5046FCC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6E844D8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3CAA8C3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E44E90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DDE3">
            <w:pPr>
              <w:jc w:val="center"/>
              <w:rPr>
                <w:rFonts w:hint="default" w:ascii="Times New Roman" w:hAnsi="Times New Roman" w:eastAsia="仿宋" w:cs="Times New Roman"/>
                <w:i w:val="0"/>
                <w:iCs w:val="0"/>
                <w:color w:val="auto"/>
                <w:sz w:val="21"/>
                <w:szCs w:val="21"/>
                <w:u w:val="none"/>
              </w:rPr>
            </w:pPr>
          </w:p>
        </w:tc>
      </w:tr>
      <w:tr w14:paraId="0164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2BB67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Style w:val="45"/>
                <w:rFonts w:hint="default" w:ascii="Times New Roman" w:hAnsi="Times New Roman" w:eastAsia="仿宋" w:cs="Times New Roman"/>
                <w:color w:val="auto"/>
                <w:sz w:val="21"/>
                <w:szCs w:val="21"/>
                <w:lang w:val="en-US" w:eastAsia="zh-CN" w:bidi="ar"/>
              </w:rPr>
              <w:t>回收槽</w:t>
            </w:r>
            <w:r>
              <w:rPr>
                <w:rFonts w:hint="default" w:ascii="Times New Roman" w:hAnsi="Times New Roman" w:eastAsia="仿宋" w:cs="Times New Roman"/>
                <w:i w:val="0"/>
                <w:iCs w:val="0"/>
                <w:color w:val="auto"/>
                <w:kern w:val="0"/>
                <w:sz w:val="21"/>
                <w:szCs w:val="21"/>
                <w:u w:val="none"/>
                <w:lang w:val="en-US" w:eastAsia="zh-CN" w:bidi="ar"/>
              </w:rPr>
              <w:t>15</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61BB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9F7E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E34F80A">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40526C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Fonts w:hint="default" w:ascii="Times New Roman" w:hAnsi="Times New Roman" w:eastAsia="仿宋" w:cs="Times New Roman"/>
                <w:i w:val="0"/>
                <w:iCs w:val="0"/>
                <w:color w:val="auto"/>
                <w:kern w:val="0"/>
                <w:sz w:val="21"/>
                <w:szCs w:val="21"/>
                <w:u w:val="none"/>
                <w:lang w:val="en-US" w:eastAsia="zh-CN" w:bidi="ar"/>
              </w:rPr>
              <w:t>个月</w:t>
            </w:r>
          </w:p>
        </w:tc>
        <w:tc>
          <w:tcPr>
            <w:tcW w:w="37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CC0D565">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444D36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37371B0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310B80C5">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1871A09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21D3DBC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8FA2B3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BD6C2">
            <w:pPr>
              <w:jc w:val="center"/>
              <w:rPr>
                <w:rFonts w:hint="default" w:ascii="Times New Roman" w:hAnsi="Times New Roman" w:eastAsia="仿宋" w:cs="Times New Roman"/>
                <w:i w:val="0"/>
                <w:iCs w:val="0"/>
                <w:color w:val="auto"/>
                <w:sz w:val="21"/>
                <w:szCs w:val="21"/>
                <w:u w:val="none"/>
              </w:rPr>
            </w:pPr>
          </w:p>
        </w:tc>
      </w:tr>
      <w:tr w14:paraId="7F717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1F4DE">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C555E">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8584A">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29B8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8639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kern w:val="0"/>
                <w:sz w:val="21"/>
                <w:szCs w:val="21"/>
                <w:u w:val="none"/>
                <w:lang w:val="en-US" w:eastAsia="zh-CN" w:bidi="ar"/>
              </w:rPr>
              <w:t>4</w:t>
            </w:r>
            <w:r>
              <w:rPr>
                <w:rFonts w:hint="default" w:ascii="Times New Roman" w:hAnsi="Times New Roman" w:eastAsia="仿宋" w:cs="Times New Roman"/>
                <w:i w:val="0"/>
                <w:iCs w:val="0"/>
                <w:color w:val="auto"/>
                <w:kern w:val="0"/>
                <w:sz w:val="21"/>
                <w:szCs w:val="21"/>
                <w:u w:val="none"/>
                <w:lang w:val="en-US" w:eastAsia="zh-CN" w:bidi="ar"/>
              </w:rPr>
              <w:t>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C54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B3C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3748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D7D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3.09</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70E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3</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4D4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F30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0.09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D971E">
            <w:pPr>
              <w:jc w:val="center"/>
              <w:rPr>
                <w:rFonts w:hint="default" w:ascii="Times New Roman" w:hAnsi="Times New Roman" w:eastAsia="仿宋" w:cs="Times New Roman"/>
                <w:i w:val="0"/>
                <w:iCs w:val="0"/>
                <w:color w:val="auto"/>
                <w:sz w:val="21"/>
                <w:szCs w:val="21"/>
                <w:u w:val="none"/>
              </w:rPr>
            </w:pPr>
          </w:p>
        </w:tc>
      </w:tr>
      <w:tr w14:paraId="6036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95"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1EB7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DD608">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A207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58C0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C1FE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每天</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A3D2">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302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2C1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300</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3AE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99D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EE36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8D87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5E1D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6871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9" w:type="pct"/>
            <w:vMerge w:val="restart"/>
            <w:tcBorders>
              <w:top w:val="single" w:color="000000" w:sz="4" w:space="0"/>
              <w:left w:val="single" w:color="000000" w:sz="4" w:space="0"/>
              <w:right w:val="single" w:color="000000" w:sz="4" w:space="0"/>
            </w:tcBorders>
            <w:shd w:val="clear" w:color="auto" w:fill="auto"/>
            <w:vAlign w:val="center"/>
          </w:tcPr>
          <w:p w14:paraId="61501D2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eastAsia" w:eastAsia="仿宋" w:cs="Times New Roman"/>
                <w:i w:val="0"/>
                <w:iCs w:val="0"/>
                <w:color w:val="auto"/>
                <w:sz w:val="21"/>
                <w:szCs w:val="21"/>
                <w:u w:val="none"/>
                <w:lang w:val="en-US" w:eastAsia="zh-CN"/>
              </w:rPr>
              <w:t>二级溢流</w:t>
            </w:r>
          </w:p>
        </w:tc>
        <w:tc>
          <w:tcPr>
            <w:tcW w:w="246" w:type="pct"/>
            <w:gridSpan w:val="3"/>
            <w:vMerge w:val="restart"/>
            <w:tcBorders>
              <w:top w:val="single" w:color="000000" w:sz="4" w:space="0"/>
              <w:left w:val="single" w:color="000000" w:sz="4" w:space="0"/>
              <w:right w:val="single" w:color="000000" w:sz="4" w:space="0"/>
            </w:tcBorders>
            <w:shd w:val="clear" w:color="auto" w:fill="auto"/>
            <w:vAlign w:val="center"/>
          </w:tcPr>
          <w:p w14:paraId="72F6ECEB">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16</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0CCD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EBCF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6DF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479C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C71E">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D3E3F">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B4E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D1A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D46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B3C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F3E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6A5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r>
      <w:tr w14:paraId="5DEA4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9" w:type="pct"/>
            <w:vMerge w:val="continue"/>
            <w:tcBorders>
              <w:left w:val="single" w:color="000000" w:sz="4" w:space="0"/>
              <w:right w:val="single" w:color="000000" w:sz="4" w:space="0"/>
            </w:tcBorders>
            <w:shd w:val="clear" w:color="auto" w:fill="auto"/>
            <w:vAlign w:val="center"/>
          </w:tcPr>
          <w:p w14:paraId="5401D6DF">
            <w:pPr>
              <w:jc w:val="center"/>
              <w:rPr>
                <w:rFonts w:hint="default" w:ascii="Times New Roman" w:hAnsi="Times New Roman" w:eastAsia="仿宋" w:cs="Times New Roman"/>
                <w:i w:val="0"/>
                <w:iCs w:val="0"/>
                <w:color w:val="auto"/>
                <w:sz w:val="21"/>
                <w:szCs w:val="21"/>
                <w:u w:val="none"/>
              </w:rPr>
            </w:pPr>
          </w:p>
        </w:tc>
        <w:tc>
          <w:tcPr>
            <w:tcW w:w="246" w:type="pct"/>
            <w:gridSpan w:val="3"/>
            <w:vMerge w:val="continue"/>
            <w:tcBorders>
              <w:left w:val="single" w:color="000000" w:sz="4" w:space="0"/>
              <w:right w:val="single" w:color="000000" w:sz="4" w:space="0"/>
            </w:tcBorders>
            <w:shd w:val="clear" w:color="auto" w:fill="auto"/>
            <w:vAlign w:val="center"/>
          </w:tcPr>
          <w:p w14:paraId="1A65D3F1">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88170">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D556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FC5A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FB21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DD31">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FBEF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B3E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2D7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5877">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AEED6">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F4D1">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58A41">
            <w:pPr>
              <w:jc w:val="center"/>
              <w:rPr>
                <w:rFonts w:hint="default" w:ascii="Times New Roman" w:hAnsi="Times New Roman" w:eastAsia="仿宋" w:cs="Times New Roman"/>
                <w:i w:val="0"/>
                <w:iCs w:val="0"/>
                <w:color w:val="auto"/>
                <w:sz w:val="21"/>
                <w:szCs w:val="21"/>
                <w:u w:val="none"/>
              </w:rPr>
            </w:pPr>
          </w:p>
        </w:tc>
      </w:tr>
      <w:tr w14:paraId="7140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9" w:type="pct"/>
            <w:vMerge w:val="continue"/>
            <w:tcBorders>
              <w:left w:val="single" w:color="000000" w:sz="4" w:space="0"/>
              <w:right w:val="single" w:color="000000" w:sz="4" w:space="0"/>
            </w:tcBorders>
            <w:shd w:val="clear" w:color="auto" w:fill="auto"/>
            <w:vAlign w:val="center"/>
          </w:tcPr>
          <w:p w14:paraId="7469033F">
            <w:pPr>
              <w:jc w:val="center"/>
              <w:rPr>
                <w:rFonts w:hint="default" w:ascii="Times New Roman" w:hAnsi="Times New Roman" w:eastAsia="仿宋" w:cs="Times New Roman"/>
                <w:i w:val="0"/>
                <w:iCs w:val="0"/>
                <w:color w:val="auto"/>
                <w:sz w:val="21"/>
                <w:szCs w:val="21"/>
                <w:u w:val="none"/>
              </w:rPr>
            </w:pPr>
          </w:p>
        </w:tc>
        <w:tc>
          <w:tcPr>
            <w:tcW w:w="246" w:type="pct"/>
            <w:gridSpan w:val="3"/>
            <w:vMerge w:val="continue"/>
            <w:tcBorders>
              <w:left w:val="single" w:color="000000" w:sz="4" w:space="0"/>
              <w:bottom w:val="single" w:color="000000" w:sz="4" w:space="0"/>
              <w:right w:val="single" w:color="000000" w:sz="4" w:space="0"/>
            </w:tcBorders>
            <w:shd w:val="clear" w:color="auto" w:fill="auto"/>
            <w:vAlign w:val="center"/>
          </w:tcPr>
          <w:p w14:paraId="1EF579FD">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18B3">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3E51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36F3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补充用水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968D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来自后一级溢流水</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1AEF">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4FF0">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F6CF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35D8">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2D6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675</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14F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F8E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DD053">
            <w:pPr>
              <w:jc w:val="center"/>
              <w:rPr>
                <w:rFonts w:hint="default" w:ascii="Times New Roman" w:hAnsi="Times New Roman" w:eastAsia="仿宋" w:cs="Times New Roman"/>
                <w:i w:val="0"/>
                <w:iCs w:val="0"/>
                <w:color w:val="auto"/>
                <w:sz w:val="21"/>
                <w:szCs w:val="21"/>
                <w:u w:val="none"/>
              </w:rPr>
            </w:pPr>
          </w:p>
        </w:tc>
      </w:tr>
      <w:tr w14:paraId="4316B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9" w:type="pct"/>
            <w:vMerge w:val="continue"/>
            <w:tcBorders>
              <w:left w:val="single" w:color="000000" w:sz="4" w:space="0"/>
              <w:right w:val="single" w:color="000000" w:sz="4" w:space="0"/>
            </w:tcBorders>
            <w:shd w:val="clear" w:color="auto" w:fill="auto"/>
            <w:vAlign w:val="center"/>
          </w:tcPr>
          <w:p w14:paraId="34DE2A9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246" w:type="pct"/>
            <w:gridSpan w:val="3"/>
            <w:vMerge w:val="restart"/>
            <w:tcBorders>
              <w:top w:val="single" w:color="000000" w:sz="4" w:space="0"/>
              <w:left w:val="single" w:color="000000" w:sz="4" w:space="0"/>
              <w:right w:val="single" w:color="000000" w:sz="4" w:space="0"/>
            </w:tcBorders>
            <w:shd w:val="clear" w:color="auto" w:fill="auto"/>
            <w:vAlign w:val="center"/>
          </w:tcPr>
          <w:p w14:paraId="4697FFB4">
            <w:pPr>
              <w:keepNext w:val="0"/>
              <w:keepLines w:val="0"/>
              <w:widowControl/>
              <w:suppressLineNumbers w:val="0"/>
              <w:jc w:val="center"/>
              <w:textAlignment w:val="center"/>
              <w:rPr>
                <w:rStyle w:val="45"/>
                <w:rFonts w:hint="default" w:ascii="Times New Roman" w:hAnsi="Times New Roman" w:eastAsia="仿宋" w:cs="Times New Roman"/>
                <w:color w:val="auto"/>
                <w:sz w:val="21"/>
                <w:szCs w:val="21"/>
                <w:lang w:val="en-US" w:eastAsia="zh-CN" w:bidi="ar"/>
              </w:rPr>
            </w:pPr>
            <w:r>
              <w:rPr>
                <w:rStyle w:val="45"/>
                <w:rFonts w:hint="default" w:ascii="Times New Roman" w:hAnsi="Times New Roman" w:eastAsia="仿宋" w:cs="Times New Roman"/>
                <w:color w:val="auto"/>
                <w:sz w:val="21"/>
                <w:szCs w:val="21"/>
                <w:lang w:val="en-US" w:eastAsia="zh-CN" w:bidi="ar"/>
              </w:rPr>
              <w:t>纯水洗槽</w:t>
            </w:r>
            <w:r>
              <w:rPr>
                <w:rFonts w:hint="default" w:ascii="Times New Roman" w:hAnsi="Times New Roman" w:eastAsia="仿宋" w:cs="Times New Roman"/>
                <w:i w:val="0"/>
                <w:iCs w:val="0"/>
                <w:color w:val="auto"/>
                <w:kern w:val="0"/>
                <w:sz w:val="21"/>
                <w:szCs w:val="21"/>
                <w:u w:val="none"/>
                <w:lang w:val="en-US" w:eastAsia="zh-CN" w:bidi="ar"/>
              </w:rPr>
              <w:t>17</w:t>
            </w:r>
          </w:p>
        </w:tc>
        <w:tc>
          <w:tcPr>
            <w:tcW w:w="35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7A0E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7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0E90D">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w:t>
            </w: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2AF6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洗槽用水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AFEE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8577">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6AD7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BBCB">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B2B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98F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E2A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47E3">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571D0">
            <w:pPr>
              <w:jc w:val="center"/>
              <w:rPr>
                <w:rFonts w:hint="default" w:ascii="Times New Roman" w:hAnsi="Times New Roman" w:eastAsia="仿宋" w:cs="Times New Roman"/>
                <w:i w:val="0"/>
                <w:iCs w:val="0"/>
                <w:color w:val="auto"/>
                <w:sz w:val="21"/>
                <w:szCs w:val="21"/>
                <w:u w:val="none"/>
              </w:rPr>
            </w:pPr>
          </w:p>
        </w:tc>
      </w:tr>
      <w:tr w14:paraId="0F54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9" w:type="pct"/>
            <w:vMerge w:val="continue"/>
            <w:tcBorders>
              <w:left w:val="single" w:color="000000" w:sz="4" w:space="0"/>
              <w:right w:val="single" w:color="000000" w:sz="4" w:space="0"/>
            </w:tcBorders>
            <w:shd w:val="clear" w:color="auto" w:fill="auto"/>
            <w:vAlign w:val="center"/>
          </w:tcPr>
          <w:p w14:paraId="73D5B59A">
            <w:pPr>
              <w:jc w:val="center"/>
              <w:rPr>
                <w:rFonts w:hint="default" w:ascii="Times New Roman" w:hAnsi="Times New Roman" w:eastAsia="仿宋" w:cs="Times New Roman"/>
                <w:i w:val="0"/>
                <w:iCs w:val="0"/>
                <w:color w:val="auto"/>
                <w:sz w:val="21"/>
                <w:szCs w:val="21"/>
                <w:u w:val="none"/>
              </w:rPr>
            </w:pPr>
          </w:p>
        </w:tc>
        <w:tc>
          <w:tcPr>
            <w:tcW w:w="246" w:type="pct"/>
            <w:gridSpan w:val="3"/>
            <w:vMerge w:val="continue"/>
            <w:tcBorders>
              <w:left w:val="single" w:color="000000" w:sz="4" w:space="0"/>
              <w:right w:val="single" w:color="000000" w:sz="4" w:space="0"/>
            </w:tcBorders>
            <w:shd w:val="clear" w:color="auto" w:fill="auto"/>
            <w:vAlign w:val="center"/>
          </w:tcPr>
          <w:p w14:paraId="733400EE">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2ABC7">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C3CD8">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5AA9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更换用水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B015F">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每个月</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743C">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87F1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1.03</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5CAE">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E45D">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12.36</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2279">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w:t>
            </w:r>
            <w:r>
              <w:rPr>
                <w:rFonts w:hint="eastAsia" w:eastAsia="仿宋" w:cs="Times New Roman"/>
                <w:i w:val="0"/>
                <w:iCs w:val="0"/>
                <w:color w:val="auto"/>
                <w:kern w:val="0"/>
                <w:sz w:val="21"/>
                <w:szCs w:val="21"/>
                <w:u w:val="none"/>
                <w:lang w:val="en-US" w:eastAsia="zh-CN" w:bidi="ar"/>
              </w:rPr>
              <w:t>99</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3EE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451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0.37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DED8">
            <w:pPr>
              <w:jc w:val="center"/>
              <w:rPr>
                <w:rFonts w:hint="default" w:ascii="Times New Roman" w:hAnsi="Times New Roman" w:eastAsia="仿宋" w:cs="Times New Roman"/>
                <w:i w:val="0"/>
                <w:iCs w:val="0"/>
                <w:color w:val="auto"/>
                <w:sz w:val="21"/>
                <w:szCs w:val="21"/>
                <w:u w:val="none"/>
              </w:rPr>
            </w:pPr>
          </w:p>
        </w:tc>
      </w:tr>
      <w:tr w14:paraId="6F0D1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9" w:type="pct"/>
            <w:vMerge w:val="continue"/>
            <w:tcBorders>
              <w:left w:val="single" w:color="000000" w:sz="4" w:space="0"/>
              <w:bottom w:val="single" w:color="000000" w:sz="4" w:space="0"/>
              <w:right w:val="single" w:color="000000" w:sz="4" w:space="0"/>
            </w:tcBorders>
            <w:shd w:val="clear" w:color="auto" w:fill="auto"/>
            <w:vAlign w:val="center"/>
          </w:tcPr>
          <w:p w14:paraId="45A9D2ED">
            <w:pPr>
              <w:jc w:val="center"/>
              <w:rPr>
                <w:rFonts w:hint="default" w:ascii="Times New Roman" w:hAnsi="Times New Roman" w:eastAsia="仿宋" w:cs="Times New Roman"/>
                <w:i w:val="0"/>
                <w:iCs w:val="0"/>
                <w:color w:val="auto"/>
                <w:sz w:val="21"/>
                <w:szCs w:val="21"/>
                <w:u w:val="none"/>
              </w:rPr>
            </w:pPr>
          </w:p>
        </w:tc>
        <w:tc>
          <w:tcPr>
            <w:tcW w:w="246" w:type="pct"/>
            <w:gridSpan w:val="3"/>
            <w:vMerge w:val="continue"/>
            <w:tcBorders>
              <w:left w:val="single" w:color="000000" w:sz="4" w:space="0"/>
              <w:bottom w:val="single" w:color="000000" w:sz="4" w:space="0"/>
              <w:right w:val="single" w:color="000000" w:sz="4" w:space="0"/>
            </w:tcBorders>
            <w:shd w:val="clear" w:color="auto" w:fill="auto"/>
            <w:vAlign w:val="center"/>
          </w:tcPr>
          <w:p w14:paraId="384041AF">
            <w:pPr>
              <w:jc w:val="center"/>
              <w:rPr>
                <w:rFonts w:hint="default" w:ascii="Times New Roman" w:hAnsi="Times New Roman" w:eastAsia="仿宋" w:cs="Times New Roman"/>
                <w:i w:val="0"/>
                <w:iCs w:val="0"/>
                <w:color w:val="auto"/>
                <w:sz w:val="21"/>
                <w:szCs w:val="21"/>
                <w:u w:val="none"/>
              </w:rPr>
            </w:pPr>
          </w:p>
        </w:tc>
        <w:tc>
          <w:tcPr>
            <w:tcW w:w="35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0935F">
            <w:pPr>
              <w:jc w:val="center"/>
              <w:rPr>
                <w:rFonts w:hint="default" w:ascii="Times New Roman" w:hAnsi="Times New Roman" w:eastAsia="仿宋" w:cs="Times New Roman"/>
                <w:i w:val="0"/>
                <w:iCs w:val="0"/>
                <w:color w:val="auto"/>
                <w:sz w:val="21"/>
                <w:szCs w:val="21"/>
                <w:u w:val="none"/>
              </w:rPr>
            </w:pPr>
          </w:p>
        </w:tc>
        <w:tc>
          <w:tcPr>
            <w:tcW w:w="37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E577D">
            <w:pPr>
              <w:jc w:val="center"/>
              <w:rPr>
                <w:rFonts w:hint="default" w:ascii="Times New Roman" w:hAnsi="Times New Roman" w:eastAsia="仿宋" w:cs="Times New Roman"/>
                <w:i w:val="0"/>
                <w:iCs w:val="0"/>
                <w:color w:val="auto"/>
                <w:sz w:val="21"/>
                <w:szCs w:val="21"/>
                <w:u w:val="none"/>
              </w:rPr>
            </w:pPr>
          </w:p>
        </w:tc>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AE43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溢流补水</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68CA9">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E5F0">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eastAsia" w:eastAsia="仿宋" w:cs="Times New Roman"/>
                <w:i w:val="0"/>
                <w:iCs w:val="0"/>
                <w:color w:val="auto"/>
                <w:kern w:val="0"/>
                <w:sz w:val="21"/>
                <w:szCs w:val="21"/>
                <w:u w:val="none"/>
                <w:lang w:val="en-US" w:eastAsia="zh-CN" w:bidi="ar"/>
              </w:rPr>
              <w:t>0.25</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E379">
            <w:pPr>
              <w:jc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sz w:val="21"/>
                <w:szCs w:val="21"/>
                <w:u w:val="none"/>
                <w:lang w:val="en-US" w:eastAsia="zh-CN"/>
              </w:rPr>
              <w:t>/</w:t>
            </w:r>
          </w:p>
        </w:tc>
        <w:tc>
          <w:tcPr>
            <w:tcW w:w="34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EA8D">
            <w:pPr>
              <w:jc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default" w:ascii="Times New Roman" w:hAnsi="Times New Roman" w:eastAsia="仿宋" w:cs="Times New Roman"/>
                <w:i w:val="0"/>
                <w:iCs w:val="0"/>
                <w:color w:val="auto"/>
                <w:sz w:val="21"/>
                <w:szCs w:val="21"/>
                <w:highlight w:val="none"/>
                <w:u w:val="none"/>
                <w:lang w:val="en-US" w:eastAsia="zh-CN"/>
              </w:rPr>
              <w:t>/</w:t>
            </w:r>
          </w:p>
        </w:tc>
        <w:tc>
          <w:tcPr>
            <w:tcW w:w="38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94C8">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highlight w:val="none"/>
                <w:u w:val="none"/>
                <w:lang w:val="en-US" w:eastAsia="zh-CN" w:bidi="ar-SA"/>
              </w:rPr>
            </w:pPr>
            <w:r>
              <w:rPr>
                <w:rFonts w:hint="eastAsia" w:eastAsia="仿宋" w:cs="Times New Roman"/>
                <w:i w:val="0"/>
                <w:iCs w:val="0"/>
                <w:color w:val="auto"/>
                <w:kern w:val="0"/>
                <w:sz w:val="21"/>
                <w:szCs w:val="21"/>
                <w:highlight w:val="none"/>
                <w:u w:val="none"/>
                <w:lang w:val="en-US" w:eastAsia="zh-CN" w:bidi="ar"/>
              </w:rPr>
              <w:t>750</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1BF4">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59D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sz w:val="21"/>
                <w:szCs w:val="21"/>
                <w:u w:val="none"/>
                <w:lang w:val="en-US" w:eastAsia="zh-CN"/>
              </w:rPr>
              <w:t>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B3BA">
            <w:pPr>
              <w:keepNext w:val="0"/>
              <w:keepLines w:val="0"/>
              <w:widowControl/>
              <w:suppressLineNumbers w:val="0"/>
              <w:jc w:val="center"/>
              <w:textAlignment w:val="center"/>
              <w:rPr>
                <w:rFonts w:hint="default" w:ascii="Times New Roman" w:hAnsi="Times New Roman" w:eastAsia="仿宋" w:cs="Times New Roman"/>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C2B4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溢流至前</w:t>
            </w:r>
            <w:r>
              <w:rPr>
                <w:rFonts w:hint="eastAsia" w:eastAsia="仿宋" w:cs="Times New Roman"/>
                <w:i w:val="0"/>
                <w:iCs w:val="0"/>
                <w:color w:val="auto"/>
                <w:kern w:val="0"/>
                <w:sz w:val="21"/>
                <w:szCs w:val="21"/>
                <w:u w:val="none"/>
                <w:lang w:val="en-US" w:eastAsia="zh-CN" w:bidi="ar"/>
              </w:rPr>
              <w:t>一道</w:t>
            </w:r>
            <w:r>
              <w:rPr>
                <w:rFonts w:hint="default" w:ascii="Times New Roman" w:hAnsi="Times New Roman" w:eastAsia="仿宋" w:cs="Times New Roman"/>
                <w:i w:val="0"/>
                <w:iCs w:val="0"/>
                <w:color w:val="auto"/>
                <w:kern w:val="0"/>
                <w:sz w:val="21"/>
                <w:szCs w:val="21"/>
                <w:u w:val="none"/>
                <w:lang w:val="en-US" w:eastAsia="zh-CN" w:bidi="ar"/>
              </w:rPr>
              <w:t>水洗</w:t>
            </w:r>
          </w:p>
        </w:tc>
      </w:tr>
      <w:tr w14:paraId="0F993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3187" w:type="pct"/>
            <w:gridSpan w:val="16"/>
            <w:vMerge w:val="restart"/>
            <w:tcBorders>
              <w:top w:val="single" w:color="000000" w:sz="4" w:space="0"/>
              <w:left w:val="single" w:color="000000" w:sz="4" w:space="0"/>
              <w:right w:val="single" w:color="000000" w:sz="4" w:space="0"/>
            </w:tcBorders>
            <w:shd w:val="clear" w:color="auto" w:fill="auto"/>
            <w:vAlign w:val="center"/>
          </w:tcPr>
          <w:p w14:paraId="271D5A98">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c>
          <w:tcPr>
            <w:tcW w:w="384" w:type="pct"/>
            <w:gridSpan w:val="2"/>
            <w:vMerge w:val="restart"/>
            <w:tcBorders>
              <w:top w:val="single" w:color="000000" w:sz="4" w:space="0"/>
              <w:left w:val="single" w:color="000000" w:sz="4" w:space="0"/>
              <w:right w:val="single" w:color="000000" w:sz="4" w:space="0"/>
            </w:tcBorders>
            <w:shd w:val="clear" w:color="auto" w:fill="auto"/>
            <w:noWrap/>
            <w:vAlign w:val="center"/>
          </w:tcPr>
          <w:p w14:paraId="308D6F90">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总计：</w:t>
            </w:r>
            <w:r>
              <w:rPr>
                <w:rFonts w:hint="eastAsia" w:eastAsia="仿宋" w:cs="Times New Roman"/>
                <w:b/>
                <w:bCs/>
                <w:i w:val="0"/>
                <w:iCs w:val="0"/>
                <w:color w:val="auto"/>
                <w:sz w:val="21"/>
                <w:szCs w:val="21"/>
                <w:u w:val="none"/>
                <w:lang w:val="en-US" w:eastAsia="zh-CN"/>
              </w:rPr>
              <w:t>4149.34</w:t>
            </w:r>
          </w:p>
        </w:tc>
        <w:tc>
          <w:tcPr>
            <w:tcW w:w="3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593E">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eastAsia" w:eastAsia="仿宋" w:cs="Times New Roman"/>
                <w:b/>
                <w:bCs/>
                <w:i w:val="0"/>
                <w:iCs w:val="0"/>
                <w:color w:val="auto"/>
                <w:sz w:val="21"/>
                <w:szCs w:val="21"/>
                <w:u w:val="none"/>
                <w:lang w:val="en-US" w:eastAsia="zh-CN"/>
              </w:rPr>
              <w:t>3917.488</w:t>
            </w:r>
          </w:p>
        </w:tc>
        <w:tc>
          <w:tcPr>
            <w:tcW w:w="3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0CB1">
            <w:pPr>
              <w:keepNext w:val="0"/>
              <w:keepLines w:val="0"/>
              <w:widowControl/>
              <w:suppressLineNumbers w:val="0"/>
              <w:jc w:val="center"/>
              <w:textAlignment w:val="center"/>
              <w:rPr>
                <w:rFonts w:hint="default" w:ascii="Times New Roman" w:hAnsi="Times New Roman" w:eastAsia="仿宋" w:cs="Times New Roman"/>
                <w:b/>
                <w:bCs/>
                <w:i w:val="0"/>
                <w:iCs w:val="0"/>
                <w:color w:val="auto"/>
                <w:kern w:val="0"/>
                <w:sz w:val="21"/>
                <w:szCs w:val="21"/>
                <w:u w:val="none"/>
                <w:lang w:val="en-US" w:eastAsia="zh-CN" w:bidi="ar"/>
              </w:rPr>
            </w:pPr>
            <w:r>
              <w:rPr>
                <w:rFonts w:hint="default" w:ascii="Times New Roman" w:hAnsi="Times New Roman" w:eastAsia="仿宋" w:cs="Times New Roman"/>
                <w:b/>
                <w:bCs/>
                <w:i w:val="0"/>
                <w:iCs w:val="0"/>
                <w:color w:val="auto"/>
                <w:kern w:val="0"/>
                <w:sz w:val="21"/>
                <w:szCs w:val="21"/>
                <w:u w:val="none"/>
                <w:lang w:val="en-US" w:eastAsia="zh-CN" w:bidi="ar"/>
              </w:rPr>
              <w:t>20.6</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FCF3">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eastAsia" w:eastAsia="仿宋" w:cs="Times New Roman"/>
                <w:b/>
                <w:bCs/>
                <w:i w:val="0"/>
                <w:iCs w:val="0"/>
                <w:color w:val="auto"/>
                <w:sz w:val="21"/>
                <w:szCs w:val="21"/>
                <w:u w:val="none"/>
                <w:lang w:val="en-US" w:eastAsia="zh-CN"/>
              </w:rPr>
              <w:t>211.252</w:t>
            </w:r>
          </w:p>
        </w:tc>
        <w:tc>
          <w:tcPr>
            <w:tcW w:w="366" w:type="pct"/>
            <w:vMerge w:val="restart"/>
            <w:tcBorders>
              <w:top w:val="single" w:color="000000" w:sz="4" w:space="0"/>
              <w:left w:val="single" w:color="000000" w:sz="4" w:space="0"/>
              <w:right w:val="single" w:color="000000" w:sz="4" w:space="0"/>
            </w:tcBorders>
            <w:shd w:val="clear" w:color="auto" w:fill="auto"/>
            <w:noWrap/>
            <w:vAlign w:val="center"/>
          </w:tcPr>
          <w:p w14:paraId="484408EF">
            <w:pPr>
              <w:jc w:val="center"/>
              <w:rPr>
                <w:rFonts w:hint="default" w:ascii="Times New Roman" w:hAnsi="Times New Roman" w:eastAsia="仿宋" w:cs="Times New Roman"/>
                <w:i w:val="0"/>
                <w:iCs w:val="0"/>
                <w:color w:val="auto"/>
                <w:sz w:val="21"/>
                <w:szCs w:val="21"/>
                <w:u w:val="none"/>
                <w:lang w:val="en-US" w:eastAsia="zh-CN"/>
              </w:rPr>
            </w:pPr>
            <w:r>
              <w:rPr>
                <w:rFonts w:hint="default" w:ascii="Times New Roman" w:hAnsi="Times New Roman" w:eastAsia="仿宋" w:cs="Times New Roman"/>
                <w:i w:val="0"/>
                <w:iCs w:val="0"/>
                <w:color w:val="auto"/>
                <w:sz w:val="21"/>
                <w:szCs w:val="21"/>
                <w:u w:val="none"/>
                <w:lang w:val="en-US" w:eastAsia="zh-CN"/>
              </w:rPr>
              <w:t>/</w:t>
            </w:r>
          </w:p>
        </w:tc>
      </w:tr>
      <w:tr w14:paraId="7B0B4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87" w:type="pct"/>
            <w:gridSpan w:val="16"/>
            <w:vMerge w:val="continue"/>
            <w:tcBorders>
              <w:left w:val="single" w:color="000000" w:sz="4" w:space="0"/>
              <w:bottom w:val="single" w:color="000000" w:sz="4" w:space="0"/>
              <w:right w:val="single" w:color="000000" w:sz="4" w:space="0"/>
            </w:tcBorders>
            <w:shd w:val="clear" w:color="auto" w:fill="auto"/>
            <w:vAlign w:val="center"/>
          </w:tcPr>
          <w:p w14:paraId="30369000">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p>
        </w:tc>
        <w:tc>
          <w:tcPr>
            <w:tcW w:w="384" w:type="pct"/>
            <w:gridSpan w:val="2"/>
            <w:vMerge w:val="continue"/>
            <w:tcBorders>
              <w:left w:val="single" w:color="000000" w:sz="4" w:space="0"/>
              <w:bottom w:val="single" w:color="000000" w:sz="4" w:space="0"/>
              <w:right w:val="single" w:color="000000" w:sz="4" w:space="0"/>
            </w:tcBorders>
            <w:shd w:val="clear" w:color="auto" w:fill="auto"/>
            <w:noWrap/>
            <w:vAlign w:val="center"/>
          </w:tcPr>
          <w:p w14:paraId="664FCC2F">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rPr>
            </w:pPr>
          </w:p>
        </w:tc>
        <w:tc>
          <w:tcPr>
            <w:tcW w:w="106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AF203">
            <w:pPr>
              <w:keepNext w:val="0"/>
              <w:keepLines w:val="0"/>
              <w:widowControl/>
              <w:suppressLineNumbers w:val="0"/>
              <w:jc w:val="center"/>
              <w:textAlignment w:val="center"/>
              <w:rPr>
                <w:rFonts w:hint="default" w:ascii="Times New Roman" w:hAnsi="Times New Roman" w:eastAsia="仿宋" w:cs="Times New Roman"/>
                <w:b/>
                <w:bCs/>
                <w:i w:val="0"/>
                <w:iCs w:val="0"/>
                <w:color w:val="auto"/>
                <w:sz w:val="21"/>
                <w:szCs w:val="21"/>
                <w:u w:val="none"/>
                <w:lang w:val="en-US" w:eastAsia="zh-CN"/>
              </w:rPr>
            </w:pPr>
            <w:r>
              <w:rPr>
                <w:rFonts w:hint="default" w:ascii="Times New Roman" w:hAnsi="Times New Roman" w:eastAsia="仿宋" w:cs="Times New Roman"/>
                <w:b/>
                <w:bCs/>
                <w:i w:val="0"/>
                <w:iCs w:val="0"/>
                <w:color w:val="auto"/>
                <w:sz w:val="21"/>
                <w:szCs w:val="21"/>
                <w:u w:val="none"/>
                <w:lang w:val="en-US" w:eastAsia="zh-CN"/>
              </w:rPr>
              <w:t>总计：</w:t>
            </w:r>
            <w:r>
              <w:rPr>
                <w:rFonts w:hint="eastAsia" w:eastAsia="仿宋" w:cs="Times New Roman"/>
                <w:b/>
                <w:bCs/>
                <w:i w:val="0"/>
                <w:iCs w:val="0"/>
                <w:color w:val="auto"/>
                <w:sz w:val="21"/>
                <w:szCs w:val="21"/>
                <w:u w:val="none"/>
                <w:lang w:val="en-US" w:eastAsia="zh-CN"/>
              </w:rPr>
              <w:t>4149.34</w:t>
            </w:r>
          </w:p>
        </w:tc>
        <w:tc>
          <w:tcPr>
            <w:tcW w:w="366" w:type="pct"/>
            <w:vMerge w:val="continue"/>
            <w:tcBorders>
              <w:left w:val="single" w:color="000000" w:sz="4" w:space="0"/>
              <w:bottom w:val="single" w:color="000000" w:sz="4" w:space="0"/>
              <w:right w:val="single" w:color="000000" w:sz="4" w:space="0"/>
            </w:tcBorders>
            <w:shd w:val="clear" w:color="auto" w:fill="auto"/>
            <w:noWrap/>
            <w:vAlign w:val="center"/>
          </w:tcPr>
          <w:p w14:paraId="0C017085">
            <w:pPr>
              <w:jc w:val="center"/>
              <w:rPr>
                <w:rFonts w:hint="default" w:ascii="Times New Roman" w:hAnsi="Times New Roman" w:eastAsia="仿宋" w:cs="Times New Roman"/>
                <w:i w:val="0"/>
                <w:iCs w:val="0"/>
                <w:color w:val="auto"/>
                <w:sz w:val="21"/>
                <w:szCs w:val="21"/>
                <w:u w:val="none"/>
              </w:rPr>
            </w:pPr>
          </w:p>
        </w:tc>
      </w:tr>
    </w:tbl>
    <w:p w14:paraId="7D213A5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本项目废水产生情况一览表</w:t>
      </w:r>
    </w:p>
    <w:tbl>
      <w:tblPr>
        <w:tblStyle w:val="20"/>
        <w:tblW w:w="4999"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28" w:type="dxa"/>
          <w:bottom w:w="0" w:type="dxa"/>
          <w:right w:w="28" w:type="dxa"/>
        </w:tblCellMar>
      </w:tblPr>
      <w:tblGrid>
        <w:gridCol w:w="1546"/>
        <w:gridCol w:w="1039"/>
        <w:gridCol w:w="1268"/>
        <w:gridCol w:w="1583"/>
        <w:gridCol w:w="1620"/>
        <w:gridCol w:w="1224"/>
        <w:gridCol w:w="3581"/>
        <w:gridCol w:w="2025"/>
        <w:gridCol w:w="1567"/>
      </w:tblGrid>
      <w:tr w14:paraId="348BD889">
        <w:tblPrEx>
          <w:tblCellMar>
            <w:top w:w="0" w:type="dxa"/>
            <w:left w:w="28" w:type="dxa"/>
            <w:bottom w:w="0" w:type="dxa"/>
            <w:right w:w="28" w:type="dxa"/>
          </w:tblCellMar>
        </w:tblPrEx>
        <w:trPr>
          <w:tblHeader/>
        </w:trPr>
        <w:tc>
          <w:tcPr>
            <w:tcW w:w="836" w:type="pct"/>
            <w:gridSpan w:val="2"/>
            <w:vMerge w:val="restart"/>
            <w:tcBorders>
              <w:tl2br w:val="nil"/>
              <w:tr2bl w:val="nil"/>
            </w:tcBorders>
            <w:vAlign w:val="center"/>
          </w:tcPr>
          <w:p w14:paraId="787C8CA6">
            <w:pPr>
              <w:pStyle w:val="31"/>
              <w:wordWrap/>
              <w:jc w:val="center"/>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产污工段</w:t>
            </w:r>
          </w:p>
        </w:tc>
        <w:tc>
          <w:tcPr>
            <w:tcW w:w="410" w:type="pct"/>
            <w:vMerge w:val="restart"/>
            <w:tcBorders>
              <w:tl2br w:val="nil"/>
              <w:tr2bl w:val="nil"/>
            </w:tcBorders>
            <w:vAlign w:val="center"/>
          </w:tcPr>
          <w:p w14:paraId="1EAC641E">
            <w:pPr>
              <w:pStyle w:val="31"/>
              <w:wordWrap/>
              <w:jc w:val="center"/>
              <w:rPr>
                <w:rFonts w:hint="eastAsia"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废水量</w:t>
            </w:r>
          </w:p>
          <w:p w14:paraId="2AE811A5">
            <w:pPr>
              <w:pStyle w:val="31"/>
              <w:wordWrap/>
              <w:jc w:val="center"/>
              <w:rPr>
                <w:rFonts w:hint="default"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m</w:t>
            </w:r>
            <w:r>
              <w:rPr>
                <w:rFonts w:hint="eastAsia" w:eastAsia="仿宋" w:cs="Times New Roman"/>
                <w:b/>
                <w:color w:val="auto"/>
                <w:sz w:val="21"/>
                <w:szCs w:val="21"/>
                <w:highlight w:val="none"/>
                <w:vertAlign w:val="superscript"/>
                <w:lang w:val="en-US" w:eastAsia="zh-CN"/>
              </w:rPr>
              <w:t>3</w:t>
            </w:r>
            <w:r>
              <w:rPr>
                <w:rFonts w:hint="eastAsia" w:eastAsia="仿宋" w:cs="Times New Roman"/>
                <w:b/>
                <w:color w:val="auto"/>
                <w:sz w:val="21"/>
                <w:szCs w:val="21"/>
                <w:highlight w:val="none"/>
                <w:lang w:val="en-US" w:eastAsia="zh-CN"/>
              </w:rPr>
              <w:t>/a</w:t>
            </w:r>
          </w:p>
        </w:tc>
        <w:tc>
          <w:tcPr>
            <w:tcW w:w="512" w:type="pct"/>
            <w:vMerge w:val="restart"/>
            <w:tcBorders>
              <w:tl2br w:val="nil"/>
              <w:tr2bl w:val="nil"/>
            </w:tcBorders>
            <w:vAlign w:val="center"/>
          </w:tcPr>
          <w:p w14:paraId="6FAFA26A">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污染因子</w:t>
            </w:r>
          </w:p>
        </w:tc>
        <w:tc>
          <w:tcPr>
            <w:tcW w:w="920" w:type="pct"/>
            <w:gridSpan w:val="2"/>
            <w:tcBorders>
              <w:tl2br w:val="nil"/>
              <w:tr2bl w:val="nil"/>
            </w:tcBorders>
            <w:vAlign w:val="center"/>
          </w:tcPr>
          <w:p w14:paraId="453E3D1B">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污染物产生情况</w:t>
            </w:r>
          </w:p>
        </w:tc>
        <w:tc>
          <w:tcPr>
            <w:tcW w:w="2320" w:type="pct"/>
            <w:gridSpan w:val="3"/>
            <w:tcBorders>
              <w:tl2br w:val="nil"/>
              <w:tr2bl w:val="nil"/>
            </w:tcBorders>
            <w:vAlign w:val="center"/>
          </w:tcPr>
          <w:p w14:paraId="41ABE593">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处理措施</w:t>
            </w:r>
          </w:p>
        </w:tc>
      </w:tr>
      <w:tr w14:paraId="6D4F75F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blHeader/>
        </w:trPr>
        <w:tc>
          <w:tcPr>
            <w:tcW w:w="836" w:type="pct"/>
            <w:gridSpan w:val="2"/>
            <w:vMerge w:val="continue"/>
            <w:tcBorders>
              <w:tl2br w:val="nil"/>
              <w:tr2bl w:val="nil"/>
            </w:tcBorders>
            <w:vAlign w:val="center"/>
          </w:tcPr>
          <w:p w14:paraId="29D55B70">
            <w:pPr>
              <w:pStyle w:val="31"/>
              <w:wordWrap/>
              <w:jc w:val="center"/>
              <w:rPr>
                <w:rFonts w:hint="default" w:ascii="Times New Roman" w:hAnsi="Times New Roman" w:eastAsia="仿宋" w:cs="Times New Roman"/>
                <w:b/>
                <w:color w:val="auto"/>
                <w:sz w:val="21"/>
                <w:szCs w:val="21"/>
                <w:highlight w:val="none"/>
              </w:rPr>
            </w:pPr>
          </w:p>
        </w:tc>
        <w:tc>
          <w:tcPr>
            <w:tcW w:w="410" w:type="pct"/>
            <w:vMerge w:val="continue"/>
            <w:tcBorders>
              <w:tl2br w:val="nil"/>
              <w:tr2bl w:val="nil"/>
            </w:tcBorders>
            <w:vAlign w:val="center"/>
          </w:tcPr>
          <w:p w14:paraId="15FC33EC">
            <w:pPr>
              <w:pStyle w:val="31"/>
              <w:wordWrap/>
              <w:jc w:val="center"/>
              <w:rPr>
                <w:rFonts w:hint="default" w:ascii="Times New Roman" w:hAnsi="Times New Roman" w:eastAsia="仿宋" w:cs="Times New Roman"/>
                <w:b/>
                <w:color w:val="auto"/>
                <w:sz w:val="21"/>
                <w:szCs w:val="21"/>
                <w:highlight w:val="none"/>
              </w:rPr>
            </w:pPr>
          </w:p>
        </w:tc>
        <w:tc>
          <w:tcPr>
            <w:tcW w:w="512" w:type="pct"/>
            <w:vMerge w:val="continue"/>
            <w:tcBorders>
              <w:tl2br w:val="nil"/>
              <w:tr2bl w:val="nil"/>
            </w:tcBorders>
            <w:vAlign w:val="center"/>
          </w:tcPr>
          <w:p w14:paraId="7AD488DD">
            <w:pPr>
              <w:pStyle w:val="31"/>
              <w:wordWrap/>
              <w:jc w:val="center"/>
              <w:rPr>
                <w:rFonts w:hint="default" w:ascii="Times New Roman" w:hAnsi="Times New Roman" w:eastAsia="仿宋" w:cs="Times New Roman"/>
                <w:b/>
                <w:color w:val="auto"/>
                <w:sz w:val="21"/>
                <w:szCs w:val="21"/>
                <w:highlight w:val="none"/>
              </w:rPr>
            </w:pPr>
          </w:p>
        </w:tc>
        <w:tc>
          <w:tcPr>
            <w:tcW w:w="524" w:type="pct"/>
            <w:tcBorders>
              <w:tl2br w:val="nil"/>
              <w:tr2bl w:val="nil"/>
            </w:tcBorders>
            <w:vAlign w:val="center"/>
          </w:tcPr>
          <w:p w14:paraId="5C4DDE3A">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产生浓度（mg/L）</w:t>
            </w:r>
          </w:p>
        </w:tc>
        <w:tc>
          <w:tcPr>
            <w:tcW w:w="396" w:type="pct"/>
            <w:tcBorders>
              <w:tl2br w:val="nil"/>
              <w:tr2bl w:val="nil"/>
            </w:tcBorders>
            <w:vAlign w:val="center"/>
          </w:tcPr>
          <w:p w14:paraId="38549C62">
            <w:pPr>
              <w:pStyle w:val="31"/>
              <w:wordWrap/>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产生量</w:t>
            </w:r>
            <w:r>
              <w:rPr>
                <w:rFonts w:hint="eastAsia"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t/a</w:t>
            </w:r>
            <w:r>
              <w:rPr>
                <w:rFonts w:hint="eastAsia" w:eastAsia="仿宋" w:cs="Times New Roman"/>
                <w:b/>
                <w:color w:val="auto"/>
                <w:sz w:val="21"/>
                <w:szCs w:val="21"/>
                <w:highlight w:val="none"/>
                <w:lang w:eastAsia="zh-CN"/>
              </w:rPr>
              <w:t>）</w:t>
            </w:r>
          </w:p>
        </w:tc>
        <w:tc>
          <w:tcPr>
            <w:tcW w:w="1158" w:type="pct"/>
            <w:tcBorders>
              <w:tl2br w:val="nil"/>
              <w:tr2bl w:val="nil"/>
            </w:tcBorders>
            <w:vAlign w:val="center"/>
          </w:tcPr>
          <w:p w14:paraId="3370B285">
            <w:pPr>
              <w:pStyle w:val="31"/>
              <w:wordWrap/>
              <w:jc w:val="center"/>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工艺</w:t>
            </w:r>
          </w:p>
        </w:tc>
        <w:tc>
          <w:tcPr>
            <w:tcW w:w="655" w:type="pct"/>
            <w:tcBorders>
              <w:tl2br w:val="nil"/>
              <w:tr2bl w:val="nil"/>
            </w:tcBorders>
            <w:vAlign w:val="center"/>
          </w:tcPr>
          <w:p w14:paraId="634FEE35">
            <w:pPr>
              <w:pStyle w:val="31"/>
              <w:wordWrap/>
              <w:jc w:val="center"/>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能力</w:t>
            </w:r>
          </w:p>
        </w:tc>
        <w:tc>
          <w:tcPr>
            <w:tcW w:w="507" w:type="pct"/>
            <w:tcBorders>
              <w:tl2br w:val="nil"/>
              <w:tr2bl w:val="nil"/>
            </w:tcBorders>
            <w:vAlign w:val="center"/>
          </w:tcPr>
          <w:p w14:paraId="0DA18D64">
            <w:pPr>
              <w:pStyle w:val="31"/>
              <w:wordWrap/>
              <w:jc w:val="center"/>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是否为可行技术</w:t>
            </w:r>
          </w:p>
        </w:tc>
      </w:tr>
      <w:tr w14:paraId="7D6030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0" w:type="pct"/>
            <w:vMerge w:val="restart"/>
            <w:tcBorders>
              <w:tl2br w:val="nil"/>
              <w:tr2bl w:val="nil"/>
            </w:tcBorders>
            <w:vAlign w:val="center"/>
          </w:tcPr>
          <w:p w14:paraId="59F362FB">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电泳处理线、喷粉前处理线</w:t>
            </w:r>
          </w:p>
        </w:tc>
        <w:tc>
          <w:tcPr>
            <w:tcW w:w="336" w:type="pct"/>
            <w:vMerge w:val="restart"/>
            <w:tcBorders>
              <w:tl2br w:val="nil"/>
              <w:tr2bl w:val="nil"/>
            </w:tcBorders>
            <w:vAlign w:val="center"/>
          </w:tcPr>
          <w:p w14:paraId="7E15E88F">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脱脂槽</w:t>
            </w:r>
          </w:p>
        </w:tc>
        <w:tc>
          <w:tcPr>
            <w:tcW w:w="410" w:type="pct"/>
            <w:vMerge w:val="restart"/>
            <w:tcBorders>
              <w:tl2br w:val="nil"/>
              <w:tr2bl w:val="nil"/>
            </w:tcBorders>
            <w:vAlign w:val="center"/>
          </w:tcPr>
          <w:p w14:paraId="656818D7">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20.12</w:t>
            </w:r>
          </w:p>
        </w:tc>
        <w:tc>
          <w:tcPr>
            <w:tcW w:w="512" w:type="pct"/>
            <w:tcBorders>
              <w:tl2br w:val="nil"/>
              <w:tr2bl w:val="nil"/>
            </w:tcBorders>
            <w:shd w:val="clear" w:color="auto" w:fill="auto"/>
            <w:vAlign w:val="center"/>
          </w:tcPr>
          <w:p w14:paraId="3CB1EE5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4028117C">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7-10（无量纲）</w:t>
            </w:r>
          </w:p>
        </w:tc>
        <w:tc>
          <w:tcPr>
            <w:tcW w:w="1158" w:type="pct"/>
            <w:vMerge w:val="restart"/>
            <w:tcBorders>
              <w:tl2br w:val="nil"/>
              <w:tr2bl w:val="nil"/>
            </w:tcBorders>
            <w:vAlign w:val="center"/>
          </w:tcPr>
          <w:p w14:paraId="28BC7F3C">
            <w:pPr>
              <w:pStyle w:val="31"/>
              <w:wordWrap/>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高浓度废水定期添加（TW001）+电泳废水前处理设施（TW002）+综合废水处理设施（TW003）</w:t>
            </w:r>
          </w:p>
        </w:tc>
        <w:tc>
          <w:tcPr>
            <w:tcW w:w="655" w:type="pct"/>
            <w:vMerge w:val="restart"/>
            <w:tcBorders>
              <w:tl2br w:val="nil"/>
              <w:tr2bl w:val="nil"/>
            </w:tcBorders>
            <w:vAlign w:val="center"/>
          </w:tcPr>
          <w:p w14:paraId="1F0FCF16">
            <w:pPr>
              <w:pStyle w:val="31"/>
              <w:wordWrap/>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16FF8556">
            <w:pPr>
              <w:pStyle w:val="31"/>
              <w:wordWrap/>
              <w:jc w:val="center"/>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是</w:t>
            </w:r>
          </w:p>
        </w:tc>
      </w:tr>
      <w:tr w14:paraId="17D7D29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F7A5FFA">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33BBF52">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11ABE676">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8D93B83">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7E95631B">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1200</w:t>
            </w:r>
          </w:p>
        </w:tc>
        <w:tc>
          <w:tcPr>
            <w:tcW w:w="396" w:type="pct"/>
            <w:tcBorders>
              <w:tl2br w:val="nil"/>
              <w:tr2bl w:val="nil"/>
            </w:tcBorders>
            <w:vAlign w:val="center"/>
          </w:tcPr>
          <w:p w14:paraId="103E4B0C">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0.0241</w:t>
            </w:r>
          </w:p>
        </w:tc>
        <w:tc>
          <w:tcPr>
            <w:tcW w:w="1158" w:type="pct"/>
            <w:vMerge w:val="continue"/>
            <w:tcBorders>
              <w:tl2br w:val="nil"/>
              <w:tr2bl w:val="nil"/>
            </w:tcBorders>
            <w:vAlign w:val="center"/>
          </w:tcPr>
          <w:p w14:paraId="228117C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52133C4F">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3CC4AF3">
            <w:pPr>
              <w:pStyle w:val="31"/>
              <w:wordWrap/>
              <w:jc w:val="center"/>
              <w:rPr>
                <w:rFonts w:hint="default" w:ascii="Times New Roman" w:hAnsi="Times New Roman" w:eastAsia="仿宋" w:cs="Times New Roman"/>
                <w:color w:val="auto"/>
                <w:kern w:val="0"/>
                <w:sz w:val="21"/>
                <w:szCs w:val="21"/>
                <w:highlight w:val="none"/>
              </w:rPr>
            </w:pPr>
          </w:p>
        </w:tc>
      </w:tr>
      <w:tr w14:paraId="6C18DD6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75CA7538">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171D3AAA">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203F9457">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9C5DEA2">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5E8DBD73">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500</w:t>
            </w:r>
          </w:p>
        </w:tc>
        <w:tc>
          <w:tcPr>
            <w:tcW w:w="396" w:type="pct"/>
            <w:tcBorders>
              <w:tl2br w:val="nil"/>
              <w:tr2bl w:val="nil"/>
            </w:tcBorders>
            <w:vAlign w:val="center"/>
          </w:tcPr>
          <w:p w14:paraId="4F9FBF3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0.0101</w:t>
            </w:r>
          </w:p>
        </w:tc>
        <w:tc>
          <w:tcPr>
            <w:tcW w:w="1158" w:type="pct"/>
            <w:vMerge w:val="continue"/>
            <w:tcBorders>
              <w:tl2br w:val="nil"/>
              <w:tr2bl w:val="nil"/>
            </w:tcBorders>
            <w:vAlign w:val="center"/>
          </w:tcPr>
          <w:p w14:paraId="1C7B81F6">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27E5A7D">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6EAB2D4">
            <w:pPr>
              <w:pStyle w:val="31"/>
              <w:wordWrap/>
              <w:jc w:val="center"/>
              <w:rPr>
                <w:rFonts w:hint="default" w:ascii="Times New Roman" w:hAnsi="Times New Roman" w:eastAsia="仿宋" w:cs="Times New Roman"/>
                <w:color w:val="auto"/>
                <w:kern w:val="0"/>
                <w:sz w:val="21"/>
                <w:szCs w:val="21"/>
                <w:highlight w:val="none"/>
              </w:rPr>
            </w:pPr>
          </w:p>
        </w:tc>
      </w:tr>
      <w:tr w14:paraId="27FE468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E1EB519">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1066A081">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5984698B">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3105ABF">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石油类</w:t>
            </w:r>
          </w:p>
        </w:tc>
        <w:tc>
          <w:tcPr>
            <w:tcW w:w="524" w:type="pct"/>
            <w:tcBorders>
              <w:tl2br w:val="nil"/>
              <w:tr2bl w:val="nil"/>
            </w:tcBorders>
            <w:shd w:val="clear" w:color="auto" w:fill="auto"/>
            <w:vAlign w:val="center"/>
          </w:tcPr>
          <w:p w14:paraId="7BD55D23">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200</w:t>
            </w:r>
          </w:p>
        </w:tc>
        <w:tc>
          <w:tcPr>
            <w:tcW w:w="396" w:type="pct"/>
            <w:tcBorders>
              <w:tl2br w:val="nil"/>
              <w:tr2bl w:val="nil"/>
            </w:tcBorders>
            <w:vAlign w:val="center"/>
          </w:tcPr>
          <w:p w14:paraId="1929E9BF">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158" w:type="pct"/>
            <w:vMerge w:val="continue"/>
            <w:tcBorders>
              <w:tl2br w:val="nil"/>
              <w:tr2bl w:val="nil"/>
            </w:tcBorders>
            <w:vAlign w:val="center"/>
          </w:tcPr>
          <w:p w14:paraId="7C92DA1A">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A1C0E79">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34053C15">
            <w:pPr>
              <w:pStyle w:val="31"/>
              <w:wordWrap/>
              <w:jc w:val="center"/>
              <w:rPr>
                <w:rFonts w:hint="default" w:ascii="Times New Roman" w:hAnsi="Times New Roman" w:eastAsia="仿宋" w:cs="Times New Roman"/>
                <w:color w:val="auto"/>
                <w:kern w:val="0"/>
                <w:sz w:val="21"/>
                <w:szCs w:val="21"/>
                <w:highlight w:val="none"/>
              </w:rPr>
            </w:pPr>
          </w:p>
        </w:tc>
      </w:tr>
      <w:tr w14:paraId="334416C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346812F">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49BBC7E4">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23111C1B">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5EA8AE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LAS</w:t>
            </w:r>
          </w:p>
        </w:tc>
        <w:tc>
          <w:tcPr>
            <w:tcW w:w="524" w:type="pct"/>
            <w:tcBorders>
              <w:tl2br w:val="nil"/>
              <w:tr2bl w:val="nil"/>
            </w:tcBorders>
            <w:shd w:val="clear" w:color="auto" w:fill="auto"/>
            <w:vAlign w:val="center"/>
          </w:tcPr>
          <w:p w14:paraId="686FBF7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396" w:type="pct"/>
            <w:tcBorders>
              <w:tl2br w:val="nil"/>
              <w:tr2bl w:val="nil"/>
            </w:tcBorders>
            <w:vAlign w:val="center"/>
          </w:tcPr>
          <w:p w14:paraId="3F90931E">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158" w:type="pct"/>
            <w:vMerge w:val="continue"/>
            <w:tcBorders>
              <w:tl2br w:val="nil"/>
              <w:tr2bl w:val="nil"/>
            </w:tcBorders>
            <w:vAlign w:val="center"/>
          </w:tcPr>
          <w:p w14:paraId="57B9E47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AA5A16F">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6A9027E">
            <w:pPr>
              <w:pStyle w:val="31"/>
              <w:wordWrap/>
              <w:jc w:val="center"/>
              <w:rPr>
                <w:rFonts w:hint="default" w:ascii="Times New Roman" w:hAnsi="Times New Roman" w:eastAsia="仿宋" w:cs="Times New Roman"/>
                <w:color w:val="auto"/>
                <w:kern w:val="0"/>
                <w:sz w:val="21"/>
                <w:szCs w:val="21"/>
                <w:highlight w:val="none"/>
              </w:rPr>
            </w:pPr>
          </w:p>
        </w:tc>
      </w:tr>
      <w:tr w14:paraId="41DA636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0" w:type="pct"/>
            <w:vMerge w:val="restart"/>
            <w:tcBorders>
              <w:tl2br w:val="nil"/>
              <w:tr2bl w:val="nil"/>
            </w:tcBorders>
            <w:vAlign w:val="center"/>
          </w:tcPr>
          <w:p w14:paraId="6C0F4AE7">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w:t>
            </w:r>
          </w:p>
        </w:tc>
        <w:tc>
          <w:tcPr>
            <w:tcW w:w="336" w:type="pct"/>
            <w:vMerge w:val="restart"/>
            <w:tcBorders>
              <w:tl2br w:val="nil"/>
              <w:tr2bl w:val="nil"/>
            </w:tcBorders>
            <w:vAlign w:val="center"/>
          </w:tcPr>
          <w:p w14:paraId="570AC1AC">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脱脂后水洗</w:t>
            </w:r>
          </w:p>
        </w:tc>
        <w:tc>
          <w:tcPr>
            <w:tcW w:w="410" w:type="pct"/>
            <w:vMerge w:val="restart"/>
            <w:tcBorders>
              <w:tl2br w:val="nil"/>
              <w:tr2bl w:val="nil"/>
            </w:tcBorders>
            <w:vAlign w:val="center"/>
          </w:tcPr>
          <w:p w14:paraId="4546546E">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1969.96</w:t>
            </w:r>
          </w:p>
        </w:tc>
        <w:tc>
          <w:tcPr>
            <w:tcW w:w="512" w:type="pct"/>
            <w:tcBorders>
              <w:tl2br w:val="nil"/>
              <w:tr2bl w:val="nil"/>
            </w:tcBorders>
            <w:shd w:val="clear" w:color="auto" w:fill="auto"/>
            <w:vAlign w:val="center"/>
          </w:tcPr>
          <w:p w14:paraId="4B4FFB33">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3A3C91A1">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8-10（无量纲）</w:t>
            </w:r>
          </w:p>
        </w:tc>
        <w:tc>
          <w:tcPr>
            <w:tcW w:w="1158" w:type="pct"/>
            <w:vMerge w:val="restart"/>
            <w:tcBorders>
              <w:tl2br w:val="nil"/>
              <w:tr2bl w:val="nil"/>
            </w:tcBorders>
            <w:vAlign w:val="center"/>
          </w:tcPr>
          <w:p w14:paraId="0B209B64">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vAlign w:val="center"/>
          </w:tcPr>
          <w:p w14:paraId="5573FCB0">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5D832D2C">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5D8ABE4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27AB6D49">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1171A55D">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5EFDCA35">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4C70CE9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2DC2A07E">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800</w:t>
            </w:r>
          </w:p>
        </w:tc>
        <w:tc>
          <w:tcPr>
            <w:tcW w:w="396" w:type="pct"/>
            <w:tcBorders>
              <w:tl2br w:val="nil"/>
              <w:tr2bl w:val="nil"/>
            </w:tcBorders>
            <w:vAlign w:val="center"/>
          </w:tcPr>
          <w:p w14:paraId="23F470DF">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1.576</w:t>
            </w:r>
          </w:p>
        </w:tc>
        <w:tc>
          <w:tcPr>
            <w:tcW w:w="1158" w:type="pct"/>
            <w:vMerge w:val="continue"/>
            <w:tcBorders>
              <w:tl2br w:val="nil"/>
              <w:tr2bl w:val="nil"/>
            </w:tcBorders>
            <w:vAlign w:val="center"/>
          </w:tcPr>
          <w:p w14:paraId="55C912C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45641C1">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373E0C3">
            <w:pPr>
              <w:pStyle w:val="31"/>
              <w:wordWrap/>
              <w:jc w:val="center"/>
              <w:rPr>
                <w:rFonts w:hint="default" w:ascii="Times New Roman" w:hAnsi="Times New Roman" w:eastAsia="仿宋" w:cs="Times New Roman"/>
                <w:color w:val="auto"/>
                <w:kern w:val="0"/>
                <w:sz w:val="21"/>
                <w:szCs w:val="21"/>
                <w:highlight w:val="none"/>
              </w:rPr>
            </w:pPr>
          </w:p>
        </w:tc>
      </w:tr>
      <w:tr w14:paraId="30B718A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87F8C7A">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69D02598">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7EB9FB40">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DA74176">
            <w:pPr>
              <w:pStyle w:val="31"/>
              <w:wordWrap/>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042DD0BD">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62439D01">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0.788</w:t>
            </w:r>
          </w:p>
        </w:tc>
        <w:tc>
          <w:tcPr>
            <w:tcW w:w="1158" w:type="pct"/>
            <w:vMerge w:val="continue"/>
            <w:tcBorders>
              <w:tl2br w:val="nil"/>
              <w:tr2bl w:val="nil"/>
            </w:tcBorders>
            <w:vAlign w:val="center"/>
          </w:tcPr>
          <w:p w14:paraId="2B74B8D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B5AD7B8">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5B73B60">
            <w:pPr>
              <w:pStyle w:val="31"/>
              <w:wordWrap/>
              <w:jc w:val="center"/>
              <w:rPr>
                <w:rFonts w:hint="default" w:ascii="Times New Roman" w:hAnsi="Times New Roman" w:eastAsia="仿宋" w:cs="Times New Roman"/>
                <w:color w:val="auto"/>
                <w:kern w:val="0"/>
                <w:sz w:val="21"/>
                <w:szCs w:val="21"/>
                <w:highlight w:val="none"/>
              </w:rPr>
            </w:pPr>
          </w:p>
        </w:tc>
      </w:tr>
      <w:tr w14:paraId="48F2175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4921D4B0">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61BCDBFB">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7915582E">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5591D21">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石油类</w:t>
            </w:r>
          </w:p>
        </w:tc>
        <w:tc>
          <w:tcPr>
            <w:tcW w:w="524" w:type="pct"/>
            <w:tcBorders>
              <w:tl2br w:val="nil"/>
              <w:tr2bl w:val="nil"/>
            </w:tcBorders>
            <w:shd w:val="clear" w:color="auto" w:fill="auto"/>
            <w:vAlign w:val="center"/>
          </w:tcPr>
          <w:p w14:paraId="04B34FFC">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140</w:t>
            </w:r>
          </w:p>
        </w:tc>
        <w:tc>
          <w:tcPr>
            <w:tcW w:w="396" w:type="pct"/>
            <w:tcBorders>
              <w:tl2br w:val="nil"/>
              <w:tr2bl w:val="nil"/>
            </w:tcBorders>
            <w:vAlign w:val="center"/>
          </w:tcPr>
          <w:p w14:paraId="507C0BF1">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0.2758</w:t>
            </w:r>
          </w:p>
        </w:tc>
        <w:tc>
          <w:tcPr>
            <w:tcW w:w="1158" w:type="pct"/>
            <w:vMerge w:val="continue"/>
            <w:tcBorders>
              <w:tl2br w:val="nil"/>
              <w:tr2bl w:val="nil"/>
            </w:tcBorders>
            <w:vAlign w:val="center"/>
          </w:tcPr>
          <w:p w14:paraId="39E2875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0F6A33D">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9FDFFA3">
            <w:pPr>
              <w:pStyle w:val="31"/>
              <w:wordWrap/>
              <w:jc w:val="center"/>
              <w:rPr>
                <w:rFonts w:hint="default" w:ascii="Times New Roman" w:hAnsi="Times New Roman" w:eastAsia="仿宋" w:cs="Times New Roman"/>
                <w:color w:val="auto"/>
                <w:kern w:val="0"/>
                <w:sz w:val="21"/>
                <w:szCs w:val="21"/>
                <w:highlight w:val="none"/>
              </w:rPr>
            </w:pPr>
          </w:p>
        </w:tc>
      </w:tr>
      <w:tr w14:paraId="33CEA3F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DC733EF">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C7BA899">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71423BED">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317280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LAS</w:t>
            </w:r>
          </w:p>
        </w:tc>
        <w:tc>
          <w:tcPr>
            <w:tcW w:w="524" w:type="pct"/>
            <w:tcBorders>
              <w:tl2br w:val="nil"/>
              <w:tr2bl w:val="nil"/>
            </w:tcBorders>
            <w:shd w:val="clear" w:color="auto" w:fill="auto"/>
            <w:vAlign w:val="center"/>
          </w:tcPr>
          <w:p w14:paraId="01F094CF">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70</w:t>
            </w:r>
          </w:p>
        </w:tc>
        <w:tc>
          <w:tcPr>
            <w:tcW w:w="396" w:type="pct"/>
            <w:tcBorders>
              <w:tl2br w:val="nil"/>
              <w:tr2bl w:val="nil"/>
            </w:tcBorders>
            <w:vAlign w:val="center"/>
          </w:tcPr>
          <w:p w14:paraId="2F19E238">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0.1379</w:t>
            </w:r>
          </w:p>
        </w:tc>
        <w:tc>
          <w:tcPr>
            <w:tcW w:w="1158" w:type="pct"/>
            <w:vMerge w:val="continue"/>
            <w:tcBorders>
              <w:tl2br w:val="nil"/>
              <w:tr2bl w:val="nil"/>
            </w:tcBorders>
            <w:vAlign w:val="center"/>
          </w:tcPr>
          <w:p w14:paraId="68C53F70">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D4FBF4B">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EDB305C">
            <w:pPr>
              <w:pStyle w:val="31"/>
              <w:wordWrap/>
              <w:jc w:val="center"/>
              <w:rPr>
                <w:rFonts w:hint="default" w:ascii="Times New Roman" w:hAnsi="Times New Roman" w:eastAsia="仿宋" w:cs="Times New Roman"/>
                <w:color w:val="auto"/>
                <w:kern w:val="0"/>
                <w:sz w:val="21"/>
                <w:szCs w:val="21"/>
                <w:highlight w:val="none"/>
              </w:rPr>
            </w:pPr>
          </w:p>
        </w:tc>
      </w:tr>
      <w:tr w14:paraId="414B01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7428B344">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w:t>
            </w:r>
          </w:p>
        </w:tc>
        <w:tc>
          <w:tcPr>
            <w:tcW w:w="336" w:type="pct"/>
            <w:vMerge w:val="restart"/>
            <w:tcBorders>
              <w:tl2br w:val="nil"/>
              <w:tr2bl w:val="nil"/>
            </w:tcBorders>
            <w:vAlign w:val="center"/>
          </w:tcPr>
          <w:p w14:paraId="399EFCDA">
            <w:pPr>
              <w:pStyle w:val="31"/>
              <w:wordWrap/>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酸洗槽</w:t>
            </w:r>
          </w:p>
        </w:tc>
        <w:tc>
          <w:tcPr>
            <w:tcW w:w="410" w:type="pct"/>
            <w:vMerge w:val="restart"/>
            <w:tcBorders>
              <w:tl2br w:val="nil"/>
              <w:tr2bl w:val="nil"/>
            </w:tcBorders>
            <w:vAlign w:val="center"/>
          </w:tcPr>
          <w:p w14:paraId="01198FF5">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20.36</w:t>
            </w:r>
          </w:p>
        </w:tc>
        <w:tc>
          <w:tcPr>
            <w:tcW w:w="512" w:type="pct"/>
            <w:tcBorders>
              <w:tl2br w:val="nil"/>
              <w:tr2bl w:val="nil"/>
            </w:tcBorders>
            <w:shd w:val="clear" w:color="auto" w:fill="auto"/>
            <w:vAlign w:val="center"/>
          </w:tcPr>
          <w:p w14:paraId="1C20EFAD">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4FF93DC8">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2-5（无量纲）</w:t>
            </w:r>
          </w:p>
        </w:tc>
        <w:tc>
          <w:tcPr>
            <w:tcW w:w="1158" w:type="pct"/>
            <w:vMerge w:val="restart"/>
            <w:tcBorders>
              <w:tl2br w:val="nil"/>
              <w:tr2bl w:val="nil"/>
            </w:tcBorders>
            <w:vAlign w:val="center"/>
          </w:tcPr>
          <w:p w14:paraId="3A46C90C">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高浓度废水定期添加（TW001）+电泳废水前处理设施（TW002）+综合废水处理设施（TW003）</w:t>
            </w:r>
          </w:p>
        </w:tc>
        <w:tc>
          <w:tcPr>
            <w:tcW w:w="655" w:type="pct"/>
            <w:vMerge w:val="restart"/>
            <w:tcBorders>
              <w:tl2br w:val="nil"/>
              <w:tr2bl w:val="nil"/>
            </w:tcBorders>
            <w:vAlign w:val="center"/>
          </w:tcPr>
          <w:p w14:paraId="1CB50270">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3121E040">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17A068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3D12B22">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F90919B">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5DFCA149">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FAAE8BC">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58BEBCA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600</w:t>
            </w:r>
          </w:p>
        </w:tc>
        <w:tc>
          <w:tcPr>
            <w:tcW w:w="396" w:type="pct"/>
            <w:tcBorders>
              <w:tl2br w:val="nil"/>
              <w:tr2bl w:val="nil"/>
            </w:tcBorders>
            <w:vAlign w:val="center"/>
          </w:tcPr>
          <w:p w14:paraId="67E97107">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0.0122</w:t>
            </w:r>
          </w:p>
        </w:tc>
        <w:tc>
          <w:tcPr>
            <w:tcW w:w="1158" w:type="pct"/>
            <w:vMerge w:val="continue"/>
            <w:tcBorders>
              <w:tl2br w:val="nil"/>
              <w:tr2bl w:val="nil"/>
            </w:tcBorders>
            <w:vAlign w:val="center"/>
          </w:tcPr>
          <w:p w14:paraId="4FA0C208">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AAEF785">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942A04B">
            <w:pPr>
              <w:pStyle w:val="31"/>
              <w:wordWrap/>
              <w:jc w:val="center"/>
              <w:rPr>
                <w:rFonts w:hint="default" w:ascii="Times New Roman" w:hAnsi="Times New Roman" w:eastAsia="仿宋" w:cs="Times New Roman"/>
                <w:color w:val="auto"/>
                <w:kern w:val="0"/>
                <w:sz w:val="21"/>
                <w:szCs w:val="21"/>
                <w:highlight w:val="none"/>
              </w:rPr>
            </w:pPr>
          </w:p>
        </w:tc>
      </w:tr>
      <w:tr w14:paraId="4BE29A5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5D5044E">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5689DE32">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50479415">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1D17DE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4E49636A">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0CFF85EA">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0.0081</w:t>
            </w:r>
          </w:p>
        </w:tc>
        <w:tc>
          <w:tcPr>
            <w:tcW w:w="1158" w:type="pct"/>
            <w:vMerge w:val="continue"/>
            <w:tcBorders>
              <w:tl2br w:val="nil"/>
              <w:tr2bl w:val="nil"/>
            </w:tcBorders>
            <w:vAlign w:val="center"/>
          </w:tcPr>
          <w:p w14:paraId="69E55FD3">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070A2E9">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796E554">
            <w:pPr>
              <w:pStyle w:val="31"/>
              <w:wordWrap/>
              <w:jc w:val="center"/>
              <w:rPr>
                <w:rFonts w:hint="default" w:ascii="Times New Roman" w:hAnsi="Times New Roman" w:eastAsia="仿宋" w:cs="Times New Roman"/>
                <w:color w:val="auto"/>
                <w:kern w:val="0"/>
                <w:sz w:val="21"/>
                <w:szCs w:val="21"/>
                <w:highlight w:val="none"/>
              </w:rPr>
            </w:pPr>
          </w:p>
        </w:tc>
      </w:tr>
      <w:tr w14:paraId="5ECD890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4229E6D6">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w:t>
            </w:r>
          </w:p>
        </w:tc>
        <w:tc>
          <w:tcPr>
            <w:tcW w:w="336" w:type="pct"/>
            <w:vMerge w:val="restart"/>
            <w:tcBorders>
              <w:tl2br w:val="nil"/>
              <w:tr2bl w:val="nil"/>
            </w:tcBorders>
            <w:vAlign w:val="center"/>
          </w:tcPr>
          <w:p w14:paraId="16AEB070">
            <w:pPr>
              <w:pStyle w:val="31"/>
              <w:wordWrap/>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酸洗后水洗</w:t>
            </w:r>
          </w:p>
        </w:tc>
        <w:tc>
          <w:tcPr>
            <w:tcW w:w="410" w:type="pct"/>
            <w:vMerge w:val="restart"/>
            <w:tcBorders>
              <w:tl2br w:val="nil"/>
              <w:tr2bl w:val="nil"/>
            </w:tcBorders>
            <w:vAlign w:val="center"/>
          </w:tcPr>
          <w:p w14:paraId="138A6896">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1969.96</w:t>
            </w:r>
          </w:p>
        </w:tc>
        <w:tc>
          <w:tcPr>
            <w:tcW w:w="512" w:type="pct"/>
            <w:tcBorders>
              <w:tl2br w:val="nil"/>
              <w:tr2bl w:val="nil"/>
            </w:tcBorders>
            <w:shd w:val="clear" w:color="auto" w:fill="auto"/>
            <w:vAlign w:val="center"/>
          </w:tcPr>
          <w:p w14:paraId="426AF7AE">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11AE7EC9">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3-7（无量纲）</w:t>
            </w:r>
          </w:p>
        </w:tc>
        <w:tc>
          <w:tcPr>
            <w:tcW w:w="1158" w:type="pct"/>
            <w:vMerge w:val="restart"/>
            <w:tcBorders>
              <w:tl2br w:val="nil"/>
              <w:tr2bl w:val="nil"/>
            </w:tcBorders>
            <w:shd w:val="clear" w:color="auto" w:fill="auto"/>
            <w:vAlign w:val="center"/>
          </w:tcPr>
          <w:p w14:paraId="7ECCC63F">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shd w:val="clear" w:color="auto" w:fill="auto"/>
            <w:vAlign w:val="center"/>
          </w:tcPr>
          <w:p w14:paraId="0459E01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61446AA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是</w:t>
            </w:r>
          </w:p>
        </w:tc>
      </w:tr>
      <w:tr w14:paraId="198FAD3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D9A6F81">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36CC6092">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5849465D">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4A82D62">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6266D893">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0685F476">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0.788</w:t>
            </w:r>
          </w:p>
        </w:tc>
        <w:tc>
          <w:tcPr>
            <w:tcW w:w="1158" w:type="pct"/>
            <w:vMerge w:val="continue"/>
            <w:tcBorders>
              <w:tl2br w:val="nil"/>
              <w:tr2bl w:val="nil"/>
            </w:tcBorders>
            <w:vAlign w:val="center"/>
          </w:tcPr>
          <w:p w14:paraId="3F94281E">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6B82E17">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341321D">
            <w:pPr>
              <w:pStyle w:val="31"/>
              <w:wordWrap/>
              <w:jc w:val="center"/>
              <w:rPr>
                <w:rFonts w:hint="default" w:ascii="Times New Roman" w:hAnsi="Times New Roman" w:eastAsia="仿宋" w:cs="Times New Roman"/>
                <w:color w:val="auto"/>
                <w:kern w:val="0"/>
                <w:sz w:val="21"/>
                <w:szCs w:val="21"/>
                <w:highlight w:val="none"/>
              </w:rPr>
            </w:pPr>
          </w:p>
        </w:tc>
      </w:tr>
      <w:tr w14:paraId="1687E06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772D0E8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64BD634A">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13E26D64">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4EA731A6">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68308EF6">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300</w:t>
            </w:r>
          </w:p>
        </w:tc>
        <w:tc>
          <w:tcPr>
            <w:tcW w:w="396" w:type="pct"/>
            <w:tcBorders>
              <w:tl2br w:val="nil"/>
              <w:tr2bl w:val="nil"/>
            </w:tcBorders>
            <w:vAlign w:val="center"/>
          </w:tcPr>
          <w:p w14:paraId="1F43CB0E">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0.591</w:t>
            </w:r>
          </w:p>
        </w:tc>
        <w:tc>
          <w:tcPr>
            <w:tcW w:w="1158" w:type="pct"/>
            <w:vMerge w:val="continue"/>
            <w:tcBorders>
              <w:tl2br w:val="nil"/>
              <w:tr2bl w:val="nil"/>
            </w:tcBorders>
            <w:vAlign w:val="center"/>
          </w:tcPr>
          <w:p w14:paraId="48CB43D1">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88D9907">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D32ED40">
            <w:pPr>
              <w:pStyle w:val="31"/>
              <w:wordWrap/>
              <w:jc w:val="center"/>
              <w:rPr>
                <w:rFonts w:hint="default" w:ascii="Times New Roman" w:hAnsi="Times New Roman" w:eastAsia="仿宋" w:cs="Times New Roman"/>
                <w:color w:val="auto"/>
                <w:kern w:val="0"/>
                <w:sz w:val="21"/>
                <w:szCs w:val="21"/>
                <w:highlight w:val="none"/>
              </w:rPr>
            </w:pPr>
          </w:p>
        </w:tc>
      </w:tr>
      <w:tr w14:paraId="10AB5CE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0" w:type="pct"/>
            <w:vMerge w:val="restart"/>
            <w:tcBorders>
              <w:tl2br w:val="nil"/>
              <w:tr2bl w:val="nil"/>
            </w:tcBorders>
            <w:vAlign w:val="center"/>
          </w:tcPr>
          <w:p w14:paraId="379D620A">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w:t>
            </w:r>
          </w:p>
        </w:tc>
        <w:tc>
          <w:tcPr>
            <w:tcW w:w="336" w:type="pct"/>
            <w:vMerge w:val="restart"/>
            <w:tcBorders>
              <w:tl2br w:val="nil"/>
              <w:tr2bl w:val="nil"/>
            </w:tcBorders>
            <w:vAlign w:val="center"/>
          </w:tcPr>
          <w:p w14:paraId="3D8D2DF6">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硅烷槽</w:t>
            </w:r>
          </w:p>
        </w:tc>
        <w:tc>
          <w:tcPr>
            <w:tcW w:w="410" w:type="pct"/>
            <w:vMerge w:val="restart"/>
            <w:tcBorders>
              <w:tl2br w:val="nil"/>
              <w:tr2bl w:val="nil"/>
            </w:tcBorders>
            <w:vAlign w:val="center"/>
          </w:tcPr>
          <w:p w14:paraId="74DAB870">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13.59</w:t>
            </w:r>
          </w:p>
        </w:tc>
        <w:tc>
          <w:tcPr>
            <w:tcW w:w="512" w:type="pct"/>
            <w:tcBorders>
              <w:tl2br w:val="nil"/>
              <w:tr2bl w:val="nil"/>
            </w:tcBorders>
            <w:shd w:val="clear" w:color="auto" w:fill="auto"/>
            <w:vAlign w:val="center"/>
          </w:tcPr>
          <w:p w14:paraId="68074BD3">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114B2001">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4-6</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shd w:val="clear" w:color="auto" w:fill="auto"/>
            <w:vAlign w:val="center"/>
          </w:tcPr>
          <w:p w14:paraId="3D79EC5C">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高浓度废水定期添加（TW001）+电泳废水前处理设施（TW002）+综合废水处理设施（TW003）</w:t>
            </w:r>
          </w:p>
        </w:tc>
        <w:tc>
          <w:tcPr>
            <w:tcW w:w="655" w:type="pct"/>
            <w:vMerge w:val="restart"/>
            <w:tcBorders>
              <w:tl2br w:val="nil"/>
              <w:tr2bl w:val="nil"/>
            </w:tcBorders>
            <w:shd w:val="clear" w:color="auto" w:fill="auto"/>
            <w:vAlign w:val="center"/>
          </w:tcPr>
          <w:p w14:paraId="0083B12C">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0682426D">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028EF9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2A66A9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4DF78FCF">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545F3922">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CD68055">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64D7420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600</w:t>
            </w:r>
          </w:p>
        </w:tc>
        <w:tc>
          <w:tcPr>
            <w:tcW w:w="396" w:type="pct"/>
            <w:tcBorders>
              <w:tl2br w:val="nil"/>
              <w:tr2bl w:val="nil"/>
            </w:tcBorders>
            <w:vAlign w:val="center"/>
          </w:tcPr>
          <w:p w14:paraId="083407D8">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0.0082</w:t>
            </w:r>
          </w:p>
        </w:tc>
        <w:tc>
          <w:tcPr>
            <w:tcW w:w="1158" w:type="pct"/>
            <w:vMerge w:val="continue"/>
            <w:tcBorders>
              <w:tl2br w:val="nil"/>
              <w:tr2bl w:val="nil"/>
            </w:tcBorders>
            <w:vAlign w:val="center"/>
          </w:tcPr>
          <w:p w14:paraId="6BC5181E">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4378A6DB">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CEC0300">
            <w:pPr>
              <w:pStyle w:val="31"/>
              <w:wordWrap/>
              <w:jc w:val="center"/>
              <w:rPr>
                <w:rFonts w:hint="default" w:ascii="Times New Roman" w:hAnsi="Times New Roman" w:eastAsia="仿宋" w:cs="Times New Roman"/>
                <w:color w:val="auto"/>
                <w:kern w:val="0"/>
                <w:sz w:val="21"/>
                <w:szCs w:val="21"/>
                <w:highlight w:val="none"/>
              </w:rPr>
            </w:pPr>
          </w:p>
        </w:tc>
      </w:tr>
      <w:tr w14:paraId="4196C76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31BB433F">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BDB88DA">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1FBF0F0">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9073AB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7E359E8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6CD45ED7">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1158" w:type="pct"/>
            <w:vMerge w:val="continue"/>
            <w:tcBorders>
              <w:tl2br w:val="nil"/>
              <w:tr2bl w:val="nil"/>
            </w:tcBorders>
            <w:vAlign w:val="center"/>
          </w:tcPr>
          <w:p w14:paraId="3C436265">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52BD1F95">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5640E48">
            <w:pPr>
              <w:pStyle w:val="31"/>
              <w:wordWrap/>
              <w:jc w:val="center"/>
              <w:rPr>
                <w:rFonts w:hint="default" w:ascii="Times New Roman" w:hAnsi="Times New Roman" w:eastAsia="仿宋" w:cs="Times New Roman"/>
                <w:color w:val="auto"/>
                <w:kern w:val="0"/>
                <w:sz w:val="21"/>
                <w:szCs w:val="21"/>
                <w:highlight w:val="none"/>
              </w:rPr>
            </w:pPr>
          </w:p>
        </w:tc>
      </w:tr>
      <w:tr w14:paraId="03253F3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4EFBAAF">
            <w:pPr>
              <w:pStyle w:val="31"/>
              <w:wordWrap/>
              <w:jc w:val="center"/>
              <w:rPr>
                <w:rFonts w:hint="default" w:ascii="Times New Roman" w:hAnsi="Times New Roman" w:eastAsia="仿宋" w:cs="Times New Roman"/>
                <w:color w:val="auto"/>
                <w:sz w:val="21"/>
                <w:szCs w:val="21"/>
                <w:highlight w:val="none"/>
              </w:rPr>
            </w:pPr>
          </w:p>
        </w:tc>
        <w:tc>
          <w:tcPr>
            <w:tcW w:w="336" w:type="pct"/>
            <w:vMerge w:val="restart"/>
            <w:tcBorders>
              <w:tl2br w:val="nil"/>
              <w:tr2bl w:val="nil"/>
            </w:tcBorders>
            <w:vAlign w:val="center"/>
          </w:tcPr>
          <w:p w14:paraId="3220000D">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硅烷后水洗</w:t>
            </w:r>
          </w:p>
        </w:tc>
        <w:tc>
          <w:tcPr>
            <w:tcW w:w="410" w:type="pct"/>
            <w:vMerge w:val="restart"/>
            <w:tcBorders>
              <w:tl2br w:val="nil"/>
              <w:tr2bl w:val="nil"/>
            </w:tcBorders>
            <w:vAlign w:val="center"/>
          </w:tcPr>
          <w:p w14:paraId="673F2709">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3227.08</w:t>
            </w:r>
          </w:p>
        </w:tc>
        <w:tc>
          <w:tcPr>
            <w:tcW w:w="512" w:type="pct"/>
            <w:tcBorders>
              <w:tl2br w:val="nil"/>
              <w:tr2bl w:val="nil"/>
            </w:tcBorders>
            <w:shd w:val="clear" w:color="auto" w:fill="auto"/>
            <w:vAlign w:val="center"/>
          </w:tcPr>
          <w:p w14:paraId="16DD33EE">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42A03D2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5-7</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shd w:val="clear" w:color="auto" w:fill="auto"/>
            <w:vAlign w:val="center"/>
          </w:tcPr>
          <w:p w14:paraId="4EE8E1F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shd w:val="clear" w:color="auto" w:fill="auto"/>
            <w:vAlign w:val="center"/>
          </w:tcPr>
          <w:p w14:paraId="6255CCBE">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424FF1E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是</w:t>
            </w:r>
          </w:p>
        </w:tc>
      </w:tr>
      <w:tr w14:paraId="310227D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2D00A077">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D396BAB">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2CD356D5">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4442F2A">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21AF21FA">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108D53D5">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1.2908</w:t>
            </w:r>
          </w:p>
        </w:tc>
        <w:tc>
          <w:tcPr>
            <w:tcW w:w="1158" w:type="pct"/>
            <w:vMerge w:val="continue"/>
            <w:tcBorders>
              <w:tl2br w:val="nil"/>
              <w:tr2bl w:val="nil"/>
            </w:tcBorders>
            <w:vAlign w:val="center"/>
          </w:tcPr>
          <w:p w14:paraId="18E362A0">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26C0D64E">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3F97873">
            <w:pPr>
              <w:pStyle w:val="31"/>
              <w:wordWrap/>
              <w:jc w:val="center"/>
              <w:rPr>
                <w:rFonts w:hint="default" w:ascii="Times New Roman" w:hAnsi="Times New Roman" w:eastAsia="仿宋" w:cs="Times New Roman"/>
                <w:color w:val="auto"/>
                <w:kern w:val="0"/>
                <w:sz w:val="21"/>
                <w:szCs w:val="21"/>
                <w:highlight w:val="none"/>
              </w:rPr>
            </w:pPr>
          </w:p>
        </w:tc>
      </w:tr>
      <w:tr w14:paraId="146AB76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7CD582E">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4B836FE1">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65A0B45A">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734D937">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57B667A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300</w:t>
            </w:r>
          </w:p>
        </w:tc>
        <w:tc>
          <w:tcPr>
            <w:tcW w:w="396" w:type="pct"/>
            <w:tcBorders>
              <w:tl2br w:val="nil"/>
              <w:tr2bl w:val="nil"/>
            </w:tcBorders>
            <w:vAlign w:val="center"/>
          </w:tcPr>
          <w:p w14:paraId="4F5E3738">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0.9681</w:t>
            </w:r>
          </w:p>
        </w:tc>
        <w:tc>
          <w:tcPr>
            <w:tcW w:w="1158" w:type="pct"/>
            <w:vMerge w:val="continue"/>
            <w:tcBorders>
              <w:tl2br w:val="nil"/>
              <w:tr2bl w:val="nil"/>
            </w:tcBorders>
            <w:vAlign w:val="center"/>
          </w:tcPr>
          <w:p w14:paraId="6AA8AFBA">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C67DBDC">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343E5AFB">
            <w:pPr>
              <w:pStyle w:val="31"/>
              <w:wordWrap/>
              <w:jc w:val="center"/>
              <w:rPr>
                <w:rFonts w:hint="default" w:ascii="Times New Roman" w:hAnsi="Times New Roman" w:eastAsia="仿宋" w:cs="Times New Roman"/>
                <w:color w:val="auto"/>
                <w:kern w:val="0"/>
                <w:sz w:val="21"/>
                <w:szCs w:val="21"/>
                <w:highlight w:val="none"/>
              </w:rPr>
            </w:pPr>
          </w:p>
        </w:tc>
      </w:tr>
      <w:tr w14:paraId="5568323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0" w:type="pct"/>
            <w:vMerge w:val="restart"/>
            <w:tcBorders>
              <w:tl2br w:val="nil"/>
              <w:tr2bl w:val="nil"/>
            </w:tcBorders>
            <w:vAlign w:val="center"/>
          </w:tcPr>
          <w:p w14:paraId="099C28B1">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w:t>
            </w:r>
          </w:p>
        </w:tc>
        <w:tc>
          <w:tcPr>
            <w:tcW w:w="336" w:type="pct"/>
            <w:vMerge w:val="restart"/>
            <w:tcBorders>
              <w:tl2br w:val="nil"/>
              <w:tr2bl w:val="nil"/>
            </w:tcBorders>
            <w:vAlign w:val="center"/>
          </w:tcPr>
          <w:p w14:paraId="27B66623">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中和槽</w:t>
            </w:r>
          </w:p>
        </w:tc>
        <w:tc>
          <w:tcPr>
            <w:tcW w:w="410" w:type="pct"/>
            <w:vMerge w:val="restart"/>
            <w:tcBorders>
              <w:tl2br w:val="nil"/>
              <w:tr2bl w:val="nil"/>
            </w:tcBorders>
            <w:vAlign w:val="center"/>
          </w:tcPr>
          <w:p w14:paraId="687277E0">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w:t>
            </w:r>
          </w:p>
        </w:tc>
        <w:tc>
          <w:tcPr>
            <w:tcW w:w="512" w:type="pct"/>
            <w:tcBorders>
              <w:tl2br w:val="nil"/>
              <w:tr2bl w:val="nil"/>
            </w:tcBorders>
            <w:shd w:val="clear" w:color="auto" w:fill="auto"/>
            <w:vAlign w:val="center"/>
          </w:tcPr>
          <w:p w14:paraId="5AD266A1">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5278D9A7">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8-9</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shd w:val="clear" w:color="auto" w:fill="auto"/>
            <w:vAlign w:val="center"/>
          </w:tcPr>
          <w:p w14:paraId="72B72E0B">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高浓度废水定期添加（TW001）+电泳废水前处理设施（TW002）+综合废水处理设施（TW003）</w:t>
            </w:r>
          </w:p>
        </w:tc>
        <w:tc>
          <w:tcPr>
            <w:tcW w:w="655" w:type="pct"/>
            <w:vMerge w:val="restart"/>
            <w:tcBorders>
              <w:tl2br w:val="nil"/>
              <w:tr2bl w:val="nil"/>
            </w:tcBorders>
            <w:shd w:val="clear" w:color="auto" w:fill="auto"/>
            <w:vAlign w:val="center"/>
          </w:tcPr>
          <w:p w14:paraId="5E95958F">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73D21164">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6F178D7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42BC573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66949515">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BA70415">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8B373DE">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265423C7">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600</w:t>
            </w:r>
          </w:p>
        </w:tc>
        <w:tc>
          <w:tcPr>
            <w:tcW w:w="396" w:type="pct"/>
            <w:tcBorders>
              <w:tl2br w:val="nil"/>
              <w:tr2bl w:val="nil"/>
            </w:tcBorders>
            <w:vAlign w:val="center"/>
          </w:tcPr>
          <w:p w14:paraId="5D716034">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r>
              <w:rPr>
                <w:rFonts w:hint="eastAsia" w:cs="Times New Roman"/>
                <w:i w:val="0"/>
                <w:iCs w:val="0"/>
                <w:color w:val="auto"/>
                <w:kern w:val="0"/>
                <w:sz w:val="21"/>
                <w:szCs w:val="21"/>
                <w:u w:val="none"/>
                <w:lang w:val="en-US" w:eastAsia="zh-CN" w:bidi="ar"/>
              </w:rPr>
              <w:t>8</w:t>
            </w:r>
          </w:p>
        </w:tc>
        <w:tc>
          <w:tcPr>
            <w:tcW w:w="1158" w:type="pct"/>
            <w:vMerge w:val="continue"/>
            <w:tcBorders>
              <w:tl2br w:val="nil"/>
              <w:tr2bl w:val="nil"/>
            </w:tcBorders>
            <w:vAlign w:val="center"/>
          </w:tcPr>
          <w:p w14:paraId="380BD08E">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888F948">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9626B11">
            <w:pPr>
              <w:pStyle w:val="31"/>
              <w:wordWrap/>
              <w:jc w:val="center"/>
              <w:rPr>
                <w:rFonts w:hint="default" w:ascii="Times New Roman" w:hAnsi="Times New Roman" w:eastAsia="仿宋" w:cs="Times New Roman"/>
                <w:color w:val="auto"/>
                <w:kern w:val="0"/>
                <w:sz w:val="21"/>
                <w:szCs w:val="21"/>
                <w:highlight w:val="none"/>
              </w:rPr>
            </w:pPr>
          </w:p>
        </w:tc>
      </w:tr>
      <w:tr w14:paraId="1CDAB10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EC0A8A1">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AA4129E">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3F198B48">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275C90C">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6039366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2DB44870">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r>
              <w:rPr>
                <w:rFonts w:hint="eastAsia" w:cs="Times New Roman"/>
                <w:i w:val="0"/>
                <w:iCs w:val="0"/>
                <w:color w:val="auto"/>
                <w:kern w:val="0"/>
                <w:sz w:val="21"/>
                <w:szCs w:val="21"/>
                <w:u w:val="none"/>
                <w:lang w:val="en-US" w:eastAsia="zh-CN" w:bidi="ar"/>
              </w:rPr>
              <w:t>2</w:t>
            </w:r>
          </w:p>
        </w:tc>
        <w:tc>
          <w:tcPr>
            <w:tcW w:w="1158" w:type="pct"/>
            <w:vMerge w:val="continue"/>
            <w:tcBorders>
              <w:tl2br w:val="nil"/>
              <w:tr2bl w:val="nil"/>
            </w:tcBorders>
            <w:vAlign w:val="center"/>
          </w:tcPr>
          <w:p w14:paraId="669CC0E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4408FF6">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08D8CBE">
            <w:pPr>
              <w:pStyle w:val="31"/>
              <w:wordWrap/>
              <w:jc w:val="center"/>
              <w:rPr>
                <w:rFonts w:hint="default" w:ascii="Times New Roman" w:hAnsi="Times New Roman" w:eastAsia="仿宋" w:cs="Times New Roman"/>
                <w:color w:val="auto"/>
                <w:kern w:val="0"/>
                <w:sz w:val="21"/>
                <w:szCs w:val="21"/>
                <w:highlight w:val="none"/>
              </w:rPr>
            </w:pPr>
          </w:p>
        </w:tc>
      </w:tr>
      <w:tr w14:paraId="6A2BA59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44E9E86">
            <w:pPr>
              <w:pStyle w:val="31"/>
              <w:wordWrap/>
              <w:jc w:val="center"/>
              <w:rPr>
                <w:rFonts w:hint="default" w:ascii="Times New Roman" w:hAnsi="Times New Roman" w:eastAsia="仿宋" w:cs="Times New Roman"/>
                <w:color w:val="auto"/>
                <w:sz w:val="21"/>
                <w:szCs w:val="21"/>
                <w:highlight w:val="none"/>
              </w:rPr>
            </w:pPr>
          </w:p>
        </w:tc>
        <w:tc>
          <w:tcPr>
            <w:tcW w:w="336" w:type="pct"/>
            <w:vMerge w:val="restart"/>
            <w:tcBorders>
              <w:tl2br w:val="nil"/>
              <w:tr2bl w:val="nil"/>
            </w:tcBorders>
            <w:vAlign w:val="center"/>
          </w:tcPr>
          <w:p w14:paraId="73F13E73">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中和后水洗</w:t>
            </w:r>
          </w:p>
        </w:tc>
        <w:tc>
          <w:tcPr>
            <w:tcW w:w="410" w:type="pct"/>
            <w:vMerge w:val="restart"/>
            <w:tcBorders>
              <w:tl2br w:val="nil"/>
              <w:tr2bl w:val="nil"/>
            </w:tcBorders>
            <w:vAlign w:val="center"/>
          </w:tcPr>
          <w:p w14:paraId="1DCF969F">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1550.92</w:t>
            </w:r>
          </w:p>
        </w:tc>
        <w:tc>
          <w:tcPr>
            <w:tcW w:w="512" w:type="pct"/>
            <w:tcBorders>
              <w:tl2br w:val="nil"/>
              <w:tr2bl w:val="nil"/>
            </w:tcBorders>
            <w:shd w:val="clear" w:color="auto" w:fill="auto"/>
            <w:vAlign w:val="center"/>
          </w:tcPr>
          <w:p w14:paraId="0E59F021">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1C16FE3F">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7-8</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shd w:val="clear" w:color="auto" w:fill="auto"/>
            <w:vAlign w:val="center"/>
          </w:tcPr>
          <w:p w14:paraId="48B5545D">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shd w:val="clear" w:color="auto" w:fill="auto"/>
            <w:vAlign w:val="center"/>
          </w:tcPr>
          <w:p w14:paraId="067DF165">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4B0D67F8">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是</w:t>
            </w:r>
          </w:p>
        </w:tc>
      </w:tr>
      <w:tr w14:paraId="342BD6B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DD02360">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B0DD57B">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4F1DFB9">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2DB07B64">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1F042703">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396" w:type="pct"/>
            <w:tcBorders>
              <w:tl2br w:val="nil"/>
              <w:tr2bl w:val="nil"/>
            </w:tcBorders>
            <w:vAlign w:val="center"/>
          </w:tcPr>
          <w:p w14:paraId="3182601E">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0.6204</w:t>
            </w:r>
          </w:p>
        </w:tc>
        <w:tc>
          <w:tcPr>
            <w:tcW w:w="1158" w:type="pct"/>
            <w:vMerge w:val="continue"/>
            <w:tcBorders>
              <w:tl2br w:val="nil"/>
              <w:tr2bl w:val="nil"/>
            </w:tcBorders>
            <w:vAlign w:val="center"/>
          </w:tcPr>
          <w:p w14:paraId="50FFF525">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57FF2063">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F1ABD1A">
            <w:pPr>
              <w:pStyle w:val="31"/>
              <w:wordWrap/>
              <w:jc w:val="center"/>
              <w:rPr>
                <w:rFonts w:hint="default" w:ascii="Times New Roman" w:hAnsi="Times New Roman" w:eastAsia="仿宋" w:cs="Times New Roman"/>
                <w:color w:val="auto"/>
                <w:kern w:val="0"/>
                <w:sz w:val="21"/>
                <w:szCs w:val="21"/>
                <w:highlight w:val="none"/>
              </w:rPr>
            </w:pPr>
          </w:p>
        </w:tc>
      </w:tr>
      <w:tr w14:paraId="0A5E7DD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77B1147">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367B9B66">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7FD9FECC">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F5DEA32">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2E2CBC71">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300</w:t>
            </w:r>
          </w:p>
        </w:tc>
        <w:tc>
          <w:tcPr>
            <w:tcW w:w="396" w:type="pct"/>
            <w:tcBorders>
              <w:tl2br w:val="nil"/>
              <w:tr2bl w:val="nil"/>
            </w:tcBorders>
            <w:vAlign w:val="center"/>
          </w:tcPr>
          <w:p w14:paraId="7CC34497">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0.4653</w:t>
            </w:r>
          </w:p>
        </w:tc>
        <w:tc>
          <w:tcPr>
            <w:tcW w:w="1158" w:type="pct"/>
            <w:vMerge w:val="continue"/>
            <w:tcBorders>
              <w:tl2br w:val="nil"/>
              <w:tr2bl w:val="nil"/>
            </w:tcBorders>
            <w:vAlign w:val="center"/>
          </w:tcPr>
          <w:p w14:paraId="08F933D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688235E">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59498B0">
            <w:pPr>
              <w:pStyle w:val="31"/>
              <w:wordWrap/>
              <w:jc w:val="center"/>
              <w:rPr>
                <w:rFonts w:hint="default" w:ascii="Times New Roman" w:hAnsi="Times New Roman" w:eastAsia="仿宋" w:cs="Times New Roman"/>
                <w:color w:val="auto"/>
                <w:kern w:val="0"/>
                <w:sz w:val="21"/>
                <w:szCs w:val="21"/>
                <w:highlight w:val="none"/>
              </w:rPr>
            </w:pPr>
          </w:p>
        </w:tc>
      </w:tr>
      <w:tr w14:paraId="141BC6B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5767D49B">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w:t>
            </w:r>
          </w:p>
        </w:tc>
        <w:tc>
          <w:tcPr>
            <w:tcW w:w="336" w:type="pct"/>
            <w:vMerge w:val="restart"/>
            <w:tcBorders>
              <w:tl2br w:val="nil"/>
              <w:tr2bl w:val="nil"/>
            </w:tcBorders>
            <w:vAlign w:val="center"/>
          </w:tcPr>
          <w:p w14:paraId="316B22AC">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电泳槽</w:t>
            </w:r>
          </w:p>
        </w:tc>
        <w:tc>
          <w:tcPr>
            <w:tcW w:w="410" w:type="pct"/>
            <w:vMerge w:val="restart"/>
            <w:tcBorders>
              <w:tl2br w:val="nil"/>
              <w:tr2bl w:val="nil"/>
            </w:tcBorders>
            <w:vAlign w:val="center"/>
          </w:tcPr>
          <w:p w14:paraId="14C6BE37">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12</w:t>
            </w:r>
          </w:p>
        </w:tc>
        <w:tc>
          <w:tcPr>
            <w:tcW w:w="512" w:type="pct"/>
            <w:tcBorders>
              <w:tl2br w:val="nil"/>
              <w:tr2bl w:val="nil"/>
            </w:tcBorders>
            <w:shd w:val="clear" w:color="auto" w:fill="auto"/>
            <w:vAlign w:val="center"/>
          </w:tcPr>
          <w:p w14:paraId="3085A84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036BFEC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5-6</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vAlign w:val="center"/>
          </w:tcPr>
          <w:p w14:paraId="08C4244A">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电泳废水前处理设施（TW002）+综合废水处理设施（TW003）</w:t>
            </w:r>
          </w:p>
        </w:tc>
        <w:tc>
          <w:tcPr>
            <w:tcW w:w="655" w:type="pct"/>
            <w:vMerge w:val="restart"/>
            <w:tcBorders>
              <w:tl2br w:val="nil"/>
              <w:tr2bl w:val="nil"/>
            </w:tcBorders>
            <w:vAlign w:val="center"/>
          </w:tcPr>
          <w:p w14:paraId="254730D4">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3669BFE0">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7A213F6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01D6D97">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2B52328B">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55007C86">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06ACD94">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524" w:type="pct"/>
            <w:tcBorders>
              <w:tl2br w:val="nil"/>
              <w:tr2bl w:val="nil"/>
            </w:tcBorders>
            <w:shd w:val="clear" w:color="auto" w:fill="auto"/>
            <w:vAlign w:val="center"/>
          </w:tcPr>
          <w:p w14:paraId="50D1DA1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1400</w:t>
            </w:r>
          </w:p>
        </w:tc>
        <w:tc>
          <w:tcPr>
            <w:tcW w:w="396" w:type="pct"/>
            <w:tcBorders>
              <w:tl2br w:val="nil"/>
              <w:tr2bl w:val="nil"/>
            </w:tcBorders>
            <w:vAlign w:val="center"/>
          </w:tcPr>
          <w:p w14:paraId="6179AA09">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0.0168</w:t>
            </w:r>
          </w:p>
        </w:tc>
        <w:tc>
          <w:tcPr>
            <w:tcW w:w="1158" w:type="pct"/>
            <w:vMerge w:val="continue"/>
            <w:tcBorders>
              <w:tl2br w:val="nil"/>
              <w:tr2bl w:val="nil"/>
            </w:tcBorders>
            <w:vAlign w:val="center"/>
          </w:tcPr>
          <w:p w14:paraId="4195C806">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FEDBADB">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193C738D">
            <w:pPr>
              <w:pStyle w:val="31"/>
              <w:wordWrap/>
              <w:jc w:val="center"/>
              <w:rPr>
                <w:rFonts w:hint="default" w:ascii="Times New Roman" w:hAnsi="Times New Roman" w:eastAsia="仿宋" w:cs="Times New Roman"/>
                <w:color w:val="auto"/>
                <w:kern w:val="0"/>
                <w:sz w:val="21"/>
                <w:szCs w:val="21"/>
                <w:highlight w:val="none"/>
              </w:rPr>
            </w:pPr>
          </w:p>
        </w:tc>
      </w:tr>
      <w:tr w14:paraId="700DE0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DF89D1F">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0E68C13">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1635C64">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1ED3B83">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524" w:type="pct"/>
            <w:tcBorders>
              <w:tl2br w:val="nil"/>
              <w:tr2bl w:val="nil"/>
            </w:tcBorders>
            <w:shd w:val="clear" w:color="auto" w:fill="auto"/>
            <w:vAlign w:val="center"/>
          </w:tcPr>
          <w:p w14:paraId="5A086DB6">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396" w:type="pct"/>
            <w:tcBorders>
              <w:tl2br w:val="nil"/>
              <w:tr2bl w:val="nil"/>
            </w:tcBorders>
            <w:shd w:val="clear" w:color="auto" w:fill="auto"/>
            <w:vAlign w:val="center"/>
          </w:tcPr>
          <w:p w14:paraId="5F89538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158" w:type="pct"/>
            <w:vMerge w:val="continue"/>
            <w:tcBorders>
              <w:tl2br w:val="nil"/>
              <w:tr2bl w:val="nil"/>
            </w:tcBorders>
            <w:vAlign w:val="center"/>
          </w:tcPr>
          <w:p w14:paraId="59015ED6">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F978FBD">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DC44C3D">
            <w:pPr>
              <w:pStyle w:val="31"/>
              <w:wordWrap/>
              <w:jc w:val="center"/>
              <w:rPr>
                <w:rFonts w:hint="default" w:ascii="Times New Roman" w:hAnsi="Times New Roman" w:eastAsia="仿宋" w:cs="Times New Roman"/>
                <w:color w:val="auto"/>
                <w:kern w:val="0"/>
                <w:sz w:val="21"/>
                <w:szCs w:val="21"/>
                <w:highlight w:val="none"/>
              </w:rPr>
            </w:pPr>
          </w:p>
        </w:tc>
      </w:tr>
      <w:tr w14:paraId="18C1F45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4E54CE5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197139FA">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7E3FE92C">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F120040">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TN</w:t>
            </w:r>
          </w:p>
        </w:tc>
        <w:tc>
          <w:tcPr>
            <w:tcW w:w="524" w:type="pct"/>
            <w:tcBorders>
              <w:tl2br w:val="nil"/>
              <w:tr2bl w:val="nil"/>
            </w:tcBorders>
            <w:shd w:val="clear" w:color="auto" w:fill="auto"/>
            <w:vAlign w:val="center"/>
          </w:tcPr>
          <w:p w14:paraId="234E3591">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96" w:type="pct"/>
            <w:tcBorders>
              <w:tl2br w:val="nil"/>
              <w:tr2bl w:val="nil"/>
            </w:tcBorders>
            <w:shd w:val="clear" w:color="auto" w:fill="auto"/>
            <w:vAlign w:val="center"/>
          </w:tcPr>
          <w:p w14:paraId="7B6C68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158" w:type="pct"/>
            <w:vMerge w:val="continue"/>
            <w:tcBorders>
              <w:tl2br w:val="nil"/>
              <w:tr2bl w:val="nil"/>
            </w:tcBorders>
            <w:vAlign w:val="center"/>
          </w:tcPr>
          <w:p w14:paraId="0D46AD7E">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F0C9955">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35A39040">
            <w:pPr>
              <w:pStyle w:val="31"/>
              <w:wordWrap/>
              <w:jc w:val="center"/>
              <w:rPr>
                <w:rFonts w:hint="default" w:ascii="Times New Roman" w:hAnsi="Times New Roman" w:eastAsia="仿宋" w:cs="Times New Roman"/>
                <w:color w:val="auto"/>
                <w:kern w:val="0"/>
                <w:sz w:val="21"/>
                <w:szCs w:val="21"/>
                <w:highlight w:val="none"/>
              </w:rPr>
            </w:pPr>
          </w:p>
        </w:tc>
      </w:tr>
      <w:tr w14:paraId="60C1758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32677F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B0B8DC6">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6A6C80F6">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A4933A1">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524" w:type="pct"/>
            <w:tcBorders>
              <w:tl2br w:val="nil"/>
              <w:tr2bl w:val="nil"/>
            </w:tcBorders>
            <w:shd w:val="clear" w:color="auto" w:fill="auto"/>
            <w:vAlign w:val="center"/>
          </w:tcPr>
          <w:p w14:paraId="479DA669">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396" w:type="pct"/>
            <w:tcBorders>
              <w:tl2br w:val="nil"/>
              <w:tr2bl w:val="nil"/>
            </w:tcBorders>
            <w:shd w:val="clear" w:color="auto" w:fill="auto"/>
            <w:vAlign w:val="center"/>
          </w:tcPr>
          <w:p w14:paraId="3AEB8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1158" w:type="pct"/>
            <w:vMerge w:val="continue"/>
            <w:tcBorders>
              <w:tl2br w:val="nil"/>
              <w:tr2bl w:val="nil"/>
            </w:tcBorders>
            <w:vAlign w:val="center"/>
          </w:tcPr>
          <w:p w14:paraId="2DAFEB95">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C797FB2">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C5E1225">
            <w:pPr>
              <w:pStyle w:val="31"/>
              <w:wordWrap/>
              <w:jc w:val="center"/>
              <w:rPr>
                <w:rFonts w:hint="default" w:ascii="Times New Roman" w:hAnsi="Times New Roman" w:eastAsia="仿宋" w:cs="Times New Roman"/>
                <w:color w:val="auto"/>
                <w:kern w:val="0"/>
                <w:sz w:val="21"/>
                <w:szCs w:val="21"/>
                <w:highlight w:val="none"/>
              </w:rPr>
            </w:pPr>
          </w:p>
        </w:tc>
      </w:tr>
      <w:tr w14:paraId="4EA668A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32E08DC">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F1B47E7">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01CD2477">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AA3F995">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524" w:type="pct"/>
            <w:tcBorders>
              <w:tl2br w:val="nil"/>
              <w:tr2bl w:val="nil"/>
            </w:tcBorders>
            <w:shd w:val="clear" w:color="auto" w:fill="auto"/>
            <w:vAlign w:val="center"/>
          </w:tcPr>
          <w:p w14:paraId="60323A8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96" w:type="pct"/>
            <w:tcBorders>
              <w:tl2br w:val="nil"/>
              <w:tr2bl w:val="nil"/>
            </w:tcBorders>
            <w:vAlign w:val="center"/>
          </w:tcPr>
          <w:p w14:paraId="1D0E5558">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1158" w:type="pct"/>
            <w:vMerge w:val="continue"/>
            <w:tcBorders>
              <w:tl2br w:val="nil"/>
              <w:tr2bl w:val="nil"/>
            </w:tcBorders>
            <w:vAlign w:val="center"/>
          </w:tcPr>
          <w:p w14:paraId="744F6EB3">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5C842E8">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AC7B1AF">
            <w:pPr>
              <w:pStyle w:val="31"/>
              <w:wordWrap/>
              <w:jc w:val="center"/>
              <w:rPr>
                <w:rFonts w:hint="default" w:ascii="Times New Roman" w:hAnsi="Times New Roman" w:eastAsia="仿宋" w:cs="Times New Roman"/>
                <w:color w:val="auto"/>
                <w:kern w:val="0"/>
                <w:sz w:val="21"/>
                <w:szCs w:val="21"/>
                <w:highlight w:val="none"/>
              </w:rPr>
            </w:pPr>
          </w:p>
        </w:tc>
      </w:tr>
      <w:tr w14:paraId="1F42058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2027ADBD">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w:t>
            </w:r>
          </w:p>
        </w:tc>
        <w:tc>
          <w:tcPr>
            <w:tcW w:w="336" w:type="pct"/>
            <w:vMerge w:val="restart"/>
            <w:tcBorders>
              <w:tl2br w:val="nil"/>
              <w:tr2bl w:val="nil"/>
            </w:tcBorders>
            <w:vAlign w:val="center"/>
          </w:tcPr>
          <w:p w14:paraId="24A4F3CE">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回收槽</w:t>
            </w:r>
          </w:p>
        </w:tc>
        <w:tc>
          <w:tcPr>
            <w:tcW w:w="410" w:type="pct"/>
            <w:vMerge w:val="restart"/>
            <w:tcBorders>
              <w:tl2br w:val="nil"/>
              <w:tr2bl w:val="nil"/>
            </w:tcBorders>
            <w:vAlign w:val="center"/>
          </w:tcPr>
          <w:p w14:paraId="2C7FC6E2">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24</w:t>
            </w:r>
          </w:p>
        </w:tc>
        <w:tc>
          <w:tcPr>
            <w:tcW w:w="512" w:type="pct"/>
            <w:tcBorders>
              <w:tl2br w:val="nil"/>
              <w:tr2bl w:val="nil"/>
            </w:tcBorders>
            <w:shd w:val="clear" w:color="auto" w:fill="auto"/>
            <w:vAlign w:val="center"/>
          </w:tcPr>
          <w:p w14:paraId="40661A0C">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2386C509">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6-7</w:t>
            </w:r>
            <w:r>
              <w:rPr>
                <w:rFonts w:hint="eastAsia" w:eastAsia="仿宋" w:cs="Times New Roman"/>
                <w:color w:val="auto"/>
                <w:sz w:val="21"/>
                <w:szCs w:val="21"/>
                <w:highlight w:val="none"/>
                <w:lang w:val="en-US" w:eastAsia="zh-CN"/>
              </w:rPr>
              <w:t>（无量纲）</w:t>
            </w:r>
          </w:p>
        </w:tc>
        <w:tc>
          <w:tcPr>
            <w:tcW w:w="1158" w:type="pct"/>
            <w:vMerge w:val="continue"/>
            <w:tcBorders>
              <w:tl2br w:val="nil"/>
              <w:tr2bl w:val="nil"/>
            </w:tcBorders>
            <w:vAlign w:val="center"/>
          </w:tcPr>
          <w:p w14:paraId="402FBB8D">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0CE3100">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AA53707">
            <w:pPr>
              <w:pStyle w:val="31"/>
              <w:wordWrap/>
              <w:jc w:val="center"/>
              <w:rPr>
                <w:rFonts w:hint="default" w:ascii="Times New Roman" w:hAnsi="Times New Roman" w:eastAsia="仿宋" w:cs="Times New Roman"/>
                <w:color w:val="auto"/>
                <w:kern w:val="0"/>
                <w:sz w:val="21"/>
                <w:szCs w:val="21"/>
                <w:highlight w:val="none"/>
              </w:rPr>
            </w:pPr>
          </w:p>
        </w:tc>
      </w:tr>
      <w:tr w14:paraId="00C372D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E6ADA00">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5A7322E7">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66BDAA64">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9136D85">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524" w:type="pct"/>
            <w:tcBorders>
              <w:tl2br w:val="nil"/>
              <w:tr2bl w:val="nil"/>
            </w:tcBorders>
            <w:shd w:val="clear" w:color="auto" w:fill="auto"/>
            <w:vAlign w:val="center"/>
          </w:tcPr>
          <w:p w14:paraId="239B293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396" w:type="pct"/>
            <w:tcBorders>
              <w:tl2br w:val="nil"/>
              <w:tr2bl w:val="nil"/>
            </w:tcBorders>
            <w:vAlign w:val="center"/>
          </w:tcPr>
          <w:p w14:paraId="6BB81BC8">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0.0288</w:t>
            </w:r>
          </w:p>
        </w:tc>
        <w:tc>
          <w:tcPr>
            <w:tcW w:w="1158" w:type="pct"/>
            <w:vMerge w:val="continue"/>
            <w:tcBorders>
              <w:tl2br w:val="nil"/>
              <w:tr2bl w:val="nil"/>
            </w:tcBorders>
            <w:vAlign w:val="center"/>
          </w:tcPr>
          <w:p w14:paraId="1F755E6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2631A4C4">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527FAD58">
            <w:pPr>
              <w:pStyle w:val="31"/>
              <w:wordWrap/>
              <w:jc w:val="center"/>
              <w:rPr>
                <w:rFonts w:hint="default" w:ascii="Times New Roman" w:hAnsi="Times New Roman" w:eastAsia="仿宋" w:cs="Times New Roman"/>
                <w:color w:val="auto"/>
                <w:kern w:val="0"/>
                <w:sz w:val="21"/>
                <w:szCs w:val="21"/>
                <w:highlight w:val="none"/>
              </w:rPr>
            </w:pPr>
          </w:p>
        </w:tc>
      </w:tr>
      <w:tr w14:paraId="4A54E57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6D52E3C4">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9F50AF0">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79DCB709">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1D4A7D8">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524" w:type="pct"/>
            <w:tcBorders>
              <w:tl2br w:val="nil"/>
              <w:tr2bl w:val="nil"/>
            </w:tcBorders>
            <w:shd w:val="clear" w:color="auto" w:fill="auto"/>
            <w:vAlign w:val="center"/>
          </w:tcPr>
          <w:p w14:paraId="4C592A0E">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396" w:type="pct"/>
            <w:tcBorders>
              <w:tl2br w:val="nil"/>
              <w:tr2bl w:val="nil"/>
            </w:tcBorders>
            <w:shd w:val="clear" w:color="auto" w:fill="auto"/>
            <w:vAlign w:val="center"/>
          </w:tcPr>
          <w:p w14:paraId="63D241A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0.0096</w:t>
            </w:r>
          </w:p>
        </w:tc>
        <w:tc>
          <w:tcPr>
            <w:tcW w:w="1158" w:type="pct"/>
            <w:vMerge w:val="continue"/>
            <w:tcBorders>
              <w:tl2br w:val="nil"/>
              <w:tr2bl w:val="nil"/>
            </w:tcBorders>
            <w:vAlign w:val="center"/>
          </w:tcPr>
          <w:p w14:paraId="5DA8AD83">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A8965C8">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1375DD80">
            <w:pPr>
              <w:pStyle w:val="31"/>
              <w:wordWrap/>
              <w:jc w:val="center"/>
              <w:rPr>
                <w:rFonts w:hint="default" w:ascii="Times New Roman" w:hAnsi="Times New Roman" w:eastAsia="仿宋" w:cs="Times New Roman"/>
                <w:color w:val="auto"/>
                <w:kern w:val="0"/>
                <w:sz w:val="21"/>
                <w:szCs w:val="21"/>
                <w:highlight w:val="none"/>
              </w:rPr>
            </w:pPr>
          </w:p>
        </w:tc>
      </w:tr>
      <w:tr w14:paraId="58533F5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C9C6995">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5C502DD4">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3269A0AE">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E48987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TN</w:t>
            </w:r>
          </w:p>
        </w:tc>
        <w:tc>
          <w:tcPr>
            <w:tcW w:w="524" w:type="pct"/>
            <w:tcBorders>
              <w:tl2br w:val="nil"/>
              <w:tr2bl w:val="nil"/>
            </w:tcBorders>
            <w:shd w:val="clear" w:color="auto" w:fill="auto"/>
            <w:vAlign w:val="center"/>
          </w:tcPr>
          <w:p w14:paraId="0D32D90E">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396" w:type="pct"/>
            <w:tcBorders>
              <w:tl2br w:val="nil"/>
              <w:tr2bl w:val="nil"/>
            </w:tcBorders>
            <w:shd w:val="clear" w:color="auto" w:fill="auto"/>
            <w:vAlign w:val="center"/>
          </w:tcPr>
          <w:p w14:paraId="10B26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0.0024</w:t>
            </w:r>
          </w:p>
        </w:tc>
        <w:tc>
          <w:tcPr>
            <w:tcW w:w="1158" w:type="pct"/>
            <w:vMerge w:val="continue"/>
            <w:tcBorders>
              <w:tl2br w:val="nil"/>
              <w:tr2bl w:val="nil"/>
            </w:tcBorders>
            <w:vAlign w:val="center"/>
          </w:tcPr>
          <w:p w14:paraId="4E91B48C">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168C84E">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4083238E">
            <w:pPr>
              <w:pStyle w:val="31"/>
              <w:wordWrap/>
              <w:jc w:val="center"/>
              <w:rPr>
                <w:rFonts w:hint="default" w:ascii="Times New Roman" w:hAnsi="Times New Roman" w:eastAsia="仿宋" w:cs="Times New Roman"/>
                <w:color w:val="auto"/>
                <w:kern w:val="0"/>
                <w:sz w:val="21"/>
                <w:szCs w:val="21"/>
                <w:highlight w:val="none"/>
              </w:rPr>
            </w:pPr>
          </w:p>
        </w:tc>
      </w:tr>
      <w:tr w14:paraId="55A54C4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2001A36">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45517445">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2C0F0986">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CE562E5">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524" w:type="pct"/>
            <w:tcBorders>
              <w:tl2br w:val="nil"/>
              <w:tr2bl w:val="nil"/>
            </w:tcBorders>
            <w:shd w:val="clear" w:color="auto" w:fill="auto"/>
            <w:vAlign w:val="center"/>
          </w:tcPr>
          <w:p w14:paraId="2E8F0525">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96" w:type="pct"/>
            <w:tcBorders>
              <w:tl2br w:val="nil"/>
              <w:tr2bl w:val="nil"/>
            </w:tcBorders>
            <w:shd w:val="clear" w:color="auto" w:fill="auto"/>
            <w:vAlign w:val="center"/>
          </w:tcPr>
          <w:p w14:paraId="5E8683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0.0019</w:t>
            </w:r>
          </w:p>
        </w:tc>
        <w:tc>
          <w:tcPr>
            <w:tcW w:w="1158" w:type="pct"/>
            <w:vMerge w:val="continue"/>
            <w:tcBorders>
              <w:tl2br w:val="nil"/>
              <w:tr2bl w:val="nil"/>
            </w:tcBorders>
            <w:vAlign w:val="center"/>
          </w:tcPr>
          <w:p w14:paraId="5A948B3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505619A1">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3ADA04DA">
            <w:pPr>
              <w:pStyle w:val="31"/>
              <w:wordWrap/>
              <w:jc w:val="center"/>
              <w:rPr>
                <w:rFonts w:hint="default" w:ascii="Times New Roman" w:hAnsi="Times New Roman" w:eastAsia="仿宋" w:cs="Times New Roman"/>
                <w:color w:val="auto"/>
                <w:kern w:val="0"/>
                <w:sz w:val="21"/>
                <w:szCs w:val="21"/>
                <w:highlight w:val="none"/>
              </w:rPr>
            </w:pPr>
          </w:p>
        </w:tc>
      </w:tr>
      <w:tr w14:paraId="4BBD347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246" w:hRule="atLeast"/>
        </w:trPr>
        <w:tc>
          <w:tcPr>
            <w:tcW w:w="500" w:type="pct"/>
            <w:vMerge w:val="continue"/>
            <w:tcBorders>
              <w:tl2br w:val="nil"/>
              <w:tr2bl w:val="nil"/>
            </w:tcBorders>
            <w:vAlign w:val="center"/>
          </w:tcPr>
          <w:p w14:paraId="24CF2150">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475C1BE2">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CE7855B">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5E861B3D">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524" w:type="pct"/>
            <w:tcBorders>
              <w:tl2br w:val="nil"/>
              <w:tr2bl w:val="nil"/>
            </w:tcBorders>
            <w:shd w:val="clear" w:color="auto" w:fill="auto"/>
            <w:vAlign w:val="center"/>
          </w:tcPr>
          <w:p w14:paraId="35C37F2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3.125</w:t>
            </w:r>
          </w:p>
        </w:tc>
        <w:tc>
          <w:tcPr>
            <w:tcW w:w="396" w:type="pct"/>
            <w:tcBorders>
              <w:tl2br w:val="nil"/>
              <w:tr2bl w:val="nil"/>
            </w:tcBorders>
            <w:vAlign w:val="center"/>
          </w:tcPr>
          <w:p w14:paraId="733FF746">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0.000075</w:t>
            </w:r>
          </w:p>
        </w:tc>
        <w:tc>
          <w:tcPr>
            <w:tcW w:w="1158" w:type="pct"/>
            <w:vMerge w:val="continue"/>
            <w:tcBorders>
              <w:tl2br w:val="nil"/>
              <w:tr2bl w:val="nil"/>
            </w:tcBorders>
            <w:vAlign w:val="center"/>
          </w:tcPr>
          <w:p w14:paraId="45EACC0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FF9B9AC">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EF5BE61">
            <w:pPr>
              <w:pStyle w:val="31"/>
              <w:wordWrap/>
              <w:jc w:val="center"/>
              <w:rPr>
                <w:rFonts w:hint="default" w:ascii="Times New Roman" w:hAnsi="Times New Roman" w:eastAsia="仿宋" w:cs="Times New Roman"/>
                <w:color w:val="auto"/>
                <w:kern w:val="0"/>
                <w:sz w:val="21"/>
                <w:szCs w:val="21"/>
                <w:highlight w:val="none"/>
              </w:rPr>
            </w:pPr>
          </w:p>
        </w:tc>
      </w:tr>
      <w:tr w14:paraId="59D365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72302096">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w:t>
            </w:r>
          </w:p>
        </w:tc>
        <w:tc>
          <w:tcPr>
            <w:tcW w:w="336" w:type="pct"/>
            <w:vMerge w:val="restart"/>
            <w:tcBorders>
              <w:tl2br w:val="nil"/>
              <w:tr2bl w:val="nil"/>
            </w:tcBorders>
            <w:vAlign w:val="center"/>
          </w:tcPr>
          <w:p w14:paraId="2FFCF1E7">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回收后水洗</w:t>
            </w:r>
          </w:p>
        </w:tc>
        <w:tc>
          <w:tcPr>
            <w:tcW w:w="410" w:type="pct"/>
            <w:vMerge w:val="restart"/>
            <w:tcBorders>
              <w:tl2br w:val="nil"/>
              <w:tr2bl w:val="nil"/>
            </w:tcBorders>
            <w:vAlign w:val="center"/>
          </w:tcPr>
          <w:p w14:paraId="7AFFB393">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1550.92</w:t>
            </w:r>
          </w:p>
        </w:tc>
        <w:tc>
          <w:tcPr>
            <w:tcW w:w="512" w:type="pct"/>
            <w:tcBorders>
              <w:tl2br w:val="nil"/>
              <w:tr2bl w:val="nil"/>
            </w:tcBorders>
            <w:shd w:val="clear" w:color="auto" w:fill="auto"/>
            <w:vAlign w:val="center"/>
          </w:tcPr>
          <w:p w14:paraId="4A1F8DA7">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1F57DC2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6-7</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shd w:val="clear" w:color="auto" w:fill="auto"/>
            <w:vAlign w:val="center"/>
          </w:tcPr>
          <w:p w14:paraId="160344CF">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shd w:val="clear" w:color="auto" w:fill="auto"/>
            <w:vAlign w:val="center"/>
          </w:tcPr>
          <w:p w14:paraId="63DE9030">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shd w:val="clear" w:color="auto" w:fill="auto"/>
            <w:vAlign w:val="center"/>
          </w:tcPr>
          <w:p w14:paraId="363FBD2D">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rPr>
              <w:t>是</w:t>
            </w:r>
          </w:p>
        </w:tc>
      </w:tr>
      <w:tr w14:paraId="0778817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10ACC5C7">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34AE9F1F">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E14CF4A">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14347F5">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524" w:type="pct"/>
            <w:tcBorders>
              <w:tl2br w:val="nil"/>
              <w:tr2bl w:val="nil"/>
            </w:tcBorders>
            <w:shd w:val="clear" w:color="auto" w:fill="auto"/>
            <w:vAlign w:val="center"/>
          </w:tcPr>
          <w:p w14:paraId="4CE247C4">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396" w:type="pct"/>
            <w:tcBorders>
              <w:tl2br w:val="nil"/>
              <w:tr2bl w:val="nil"/>
            </w:tcBorders>
            <w:vAlign w:val="center"/>
          </w:tcPr>
          <w:p w14:paraId="64D83A36">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0.6204</w:t>
            </w:r>
          </w:p>
        </w:tc>
        <w:tc>
          <w:tcPr>
            <w:tcW w:w="1158" w:type="pct"/>
            <w:vMerge w:val="continue"/>
            <w:tcBorders>
              <w:tl2br w:val="nil"/>
              <w:tr2bl w:val="nil"/>
            </w:tcBorders>
            <w:vAlign w:val="center"/>
          </w:tcPr>
          <w:p w14:paraId="31221CB2">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28228CC">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5B44DA3">
            <w:pPr>
              <w:pStyle w:val="31"/>
              <w:wordWrap/>
              <w:jc w:val="center"/>
              <w:rPr>
                <w:rFonts w:hint="default" w:ascii="Times New Roman" w:hAnsi="Times New Roman" w:eastAsia="仿宋" w:cs="Times New Roman"/>
                <w:color w:val="auto"/>
                <w:kern w:val="0"/>
                <w:sz w:val="21"/>
                <w:szCs w:val="21"/>
                <w:highlight w:val="none"/>
              </w:rPr>
            </w:pPr>
          </w:p>
        </w:tc>
      </w:tr>
      <w:tr w14:paraId="3FA4BF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31056422">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5ACEB07B">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D2E23FE">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D1653B1">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524" w:type="pct"/>
            <w:tcBorders>
              <w:tl2br w:val="nil"/>
              <w:tr2bl w:val="nil"/>
            </w:tcBorders>
            <w:shd w:val="clear" w:color="auto" w:fill="auto"/>
            <w:vAlign w:val="center"/>
          </w:tcPr>
          <w:p w14:paraId="4BAEFF9F">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396" w:type="pct"/>
            <w:tcBorders>
              <w:tl2br w:val="nil"/>
              <w:tr2bl w:val="nil"/>
            </w:tcBorders>
            <w:shd w:val="clear" w:color="auto" w:fill="auto"/>
            <w:vAlign w:val="center"/>
          </w:tcPr>
          <w:p w14:paraId="60EAD42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0.4653</w:t>
            </w:r>
          </w:p>
        </w:tc>
        <w:tc>
          <w:tcPr>
            <w:tcW w:w="1158" w:type="pct"/>
            <w:vMerge w:val="continue"/>
            <w:tcBorders>
              <w:tl2br w:val="nil"/>
              <w:tr2bl w:val="nil"/>
            </w:tcBorders>
            <w:vAlign w:val="center"/>
          </w:tcPr>
          <w:p w14:paraId="18840B78">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394966D">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43ED49E">
            <w:pPr>
              <w:pStyle w:val="31"/>
              <w:wordWrap/>
              <w:jc w:val="center"/>
              <w:rPr>
                <w:rFonts w:hint="default" w:ascii="Times New Roman" w:hAnsi="Times New Roman" w:eastAsia="仿宋" w:cs="Times New Roman"/>
                <w:color w:val="auto"/>
                <w:kern w:val="0"/>
                <w:sz w:val="21"/>
                <w:szCs w:val="21"/>
                <w:highlight w:val="none"/>
              </w:rPr>
            </w:pPr>
          </w:p>
        </w:tc>
      </w:tr>
      <w:tr w14:paraId="7535625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421665D3">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269890AB">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0D58D399">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C0B9DE5">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TN</w:t>
            </w:r>
          </w:p>
        </w:tc>
        <w:tc>
          <w:tcPr>
            <w:tcW w:w="524" w:type="pct"/>
            <w:tcBorders>
              <w:tl2br w:val="nil"/>
              <w:tr2bl w:val="nil"/>
            </w:tcBorders>
            <w:shd w:val="clear" w:color="auto" w:fill="auto"/>
            <w:vAlign w:val="center"/>
          </w:tcPr>
          <w:p w14:paraId="2E42FB3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3.07</w:t>
            </w:r>
          </w:p>
        </w:tc>
        <w:tc>
          <w:tcPr>
            <w:tcW w:w="396" w:type="pct"/>
            <w:tcBorders>
              <w:tl2br w:val="nil"/>
              <w:tr2bl w:val="nil"/>
            </w:tcBorders>
            <w:shd w:val="clear" w:color="auto" w:fill="auto"/>
            <w:vAlign w:val="center"/>
          </w:tcPr>
          <w:p w14:paraId="39F8A0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0.00476</w:t>
            </w:r>
          </w:p>
        </w:tc>
        <w:tc>
          <w:tcPr>
            <w:tcW w:w="1158" w:type="pct"/>
            <w:vMerge w:val="continue"/>
            <w:tcBorders>
              <w:tl2br w:val="nil"/>
              <w:tr2bl w:val="nil"/>
            </w:tcBorders>
            <w:vAlign w:val="center"/>
          </w:tcPr>
          <w:p w14:paraId="05A8032F">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B7A8AC1">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4AE409FD">
            <w:pPr>
              <w:pStyle w:val="31"/>
              <w:wordWrap/>
              <w:jc w:val="center"/>
              <w:rPr>
                <w:rFonts w:hint="default" w:ascii="Times New Roman" w:hAnsi="Times New Roman" w:eastAsia="仿宋" w:cs="Times New Roman"/>
                <w:color w:val="auto"/>
                <w:kern w:val="0"/>
                <w:sz w:val="21"/>
                <w:szCs w:val="21"/>
                <w:highlight w:val="none"/>
              </w:rPr>
            </w:pPr>
          </w:p>
        </w:tc>
      </w:tr>
      <w:tr w14:paraId="02B92B6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A8244AA">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6A88458">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50A64979">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87332C7">
            <w:pPr>
              <w:pStyle w:val="31"/>
              <w:wordWrap/>
              <w:jc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920" w:type="pct"/>
            <w:gridSpan w:val="2"/>
            <w:vMerge w:val="restart"/>
            <w:tcBorders>
              <w:tl2br w:val="nil"/>
              <w:tr2bl w:val="nil"/>
            </w:tcBorders>
            <w:shd w:val="clear" w:color="auto" w:fill="auto"/>
            <w:vAlign w:val="center"/>
          </w:tcPr>
          <w:p w14:paraId="65E04D73">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浓度较小，仅定性分析</w:t>
            </w:r>
          </w:p>
        </w:tc>
        <w:tc>
          <w:tcPr>
            <w:tcW w:w="1158" w:type="pct"/>
            <w:vMerge w:val="continue"/>
            <w:tcBorders>
              <w:tl2br w:val="nil"/>
              <w:tr2bl w:val="nil"/>
            </w:tcBorders>
            <w:vAlign w:val="center"/>
          </w:tcPr>
          <w:p w14:paraId="26D08F5F">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FFB79A4">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F458AAD">
            <w:pPr>
              <w:pStyle w:val="31"/>
              <w:wordWrap/>
              <w:jc w:val="center"/>
              <w:rPr>
                <w:rFonts w:hint="default" w:ascii="Times New Roman" w:hAnsi="Times New Roman" w:eastAsia="仿宋" w:cs="Times New Roman"/>
                <w:color w:val="auto"/>
                <w:kern w:val="0"/>
                <w:sz w:val="21"/>
                <w:szCs w:val="21"/>
                <w:highlight w:val="none"/>
              </w:rPr>
            </w:pPr>
          </w:p>
        </w:tc>
      </w:tr>
      <w:tr w14:paraId="612CE08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2D7B00F9">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3AE59740">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0985C21">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437973DA">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TP</w:t>
            </w:r>
          </w:p>
        </w:tc>
        <w:tc>
          <w:tcPr>
            <w:tcW w:w="920" w:type="pct"/>
            <w:gridSpan w:val="2"/>
            <w:vMerge w:val="continue"/>
            <w:tcBorders>
              <w:tl2br w:val="nil"/>
              <w:tr2bl w:val="nil"/>
            </w:tcBorders>
            <w:shd w:val="clear" w:color="auto" w:fill="auto"/>
            <w:vAlign w:val="center"/>
          </w:tcPr>
          <w:p w14:paraId="724E9733">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p>
        </w:tc>
        <w:tc>
          <w:tcPr>
            <w:tcW w:w="1158" w:type="pct"/>
            <w:vMerge w:val="continue"/>
            <w:tcBorders>
              <w:tl2br w:val="nil"/>
              <w:tr2bl w:val="nil"/>
            </w:tcBorders>
            <w:vAlign w:val="center"/>
          </w:tcPr>
          <w:p w14:paraId="18A817E6">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C1B2A3A">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7AB386E">
            <w:pPr>
              <w:pStyle w:val="31"/>
              <w:wordWrap/>
              <w:jc w:val="center"/>
              <w:rPr>
                <w:rFonts w:hint="default" w:ascii="Times New Roman" w:hAnsi="Times New Roman" w:eastAsia="仿宋" w:cs="Times New Roman"/>
                <w:color w:val="auto"/>
                <w:kern w:val="0"/>
                <w:sz w:val="21"/>
                <w:szCs w:val="21"/>
                <w:highlight w:val="none"/>
              </w:rPr>
            </w:pPr>
          </w:p>
        </w:tc>
      </w:tr>
      <w:tr w14:paraId="18CD41A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restart"/>
            <w:tcBorders>
              <w:tl2br w:val="nil"/>
              <w:tr2bl w:val="nil"/>
            </w:tcBorders>
            <w:vAlign w:val="center"/>
          </w:tcPr>
          <w:p w14:paraId="69330599">
            <w:pPr>
              <w:pStyle w:val="31"/>
              <w:wordWrap/>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喷粉前处理线</w:t>
            </w:r>
          </w:p>
        </w:tc>
        <w:tc>
          <w:tcPr>
            <w:tcW w:w="336" w:type="pct"/>
            <w:vMerge w:val="restart"/>
            <w:tcBorders>
              <w:tl2br w:val="nil"/>
              <w:tr2bl w:val="nil"/>
            </w:tcBorders>
            <w:vAlign w:val="center"/>
          </w:tcPr>
          <w:p w14:paraId="2C95DF30">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表调槽</w:t>
            </w:r>
          </w:p>
        </w:tc>
        <w:tc>
          <w:tcPr>
            <w:tcW w:w="410" w:type="pct"/>
            <w:vMerge w:val="restart"/>
            <w:tcBorders>
              <w:tl2br w:val="nil"/>
              <w:tr2bl w:val="nil"/>
            </w:tcBorders>
            <w:vAlign w:val="center"/>
          </w:tcPr>
          <w:p w14:paraId="4485CBD2">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5.59</w:t>
            </w:r>
          </w:p>
        </w:tc>
        <w:tc>
          <w:tcPr>
            <w:tcW w:w="512" w:type="pct"/>
            <w:tcBorders>
              <w:tl2br w:val="nil"/>
              <w:tr2bl w:val="nil"/>
            </w:tcBorders>
            <w:shd w:val="clear" w:color="auto" w:fill="auto"/>
            <w:vAlign w:val="center"/>
          </w:tcPr>
          <w:p w14:paraId="20BD09C7">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35FB9407">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5-8</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vAlign w:val="center"/>
          </w:tcPr>
          <w:p w14:paraId="73E53194">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高浓度废水定期添加（TW001）+电泳废水前处理设施（TW002）+综合废水处理设施（TW003）</w:t>
            </w:r>
          </w:p>
        </w:tc>
        <w:tc>
          <w:tcPr>
            <w:tcW w:w="655" w:type="pct"/>
            <w:vMerge w:val="restart"/>
            <w:tcBorders>
              <w:tl2br w:val="nil"/>
              <w:tr2bl w:val="nil"/>
            </w:tcBorders>
            <w:vAlign w:val="center"/>
          </w:tcPr>
          <w:p w14:paraId="2FA10B39">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/d+30m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1C2E5581">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5372CFD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74AA13D4">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7459B5D7">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66FC4D93">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3B83C93">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6DAE64C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600</w:t>
            </w:r>
          </w:p>
        </w:tc>
        <w:tc>
          <w:tcPr>
            <w:tcW w:w="1224" w:type="dxa"/>
            <w:tcBorders>
              <w:tl2br w:val="nil"/>
              <w:tr2bl w:val="nil"/>
            </w:tcBorders>
            <w:vAlign w:val="center"/>
          </w:tcPr>
          <w:p w14:paraId="64264C9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1158" w:type="pct"/>
            <w:vMerge w:val="continue"/>
            <w:tcBorders>
              <w:tl2br w:val="nil"/>
              <w:tr2bl w:val="nil"/>
            </w:tcBorders>
            <w:vAlign w:val="center"/>
          </w:tcPr>
          <w:p w14:paraId="64721D6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4B62EC30">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60F68E7">
            <w:pPr>
              <w:pStyle w:val="31"/>
              <w:wordWrap/>
              <w:jc w:val="center"/>
              <w:rPr>
                <w:rFonts w:hint="default" w:ascii="Times New Roman" w:hAnsi="Times New Roman" w:eastAsia="仿宋" w:cs="Times New Roman"/>
                <w:color w:val="auto"/>
                <w:kern w:val="0"/>
                <w:sz w:val="21"/>
                <w:szCs w:val="21"/>
                <w:highlight w:val="none"/>
              </w:rPr>
            </w:pPr>
          </w:p>
        </w:tc>
      </w:tr>
      <w:tr w14:paraId="4C4ED34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59637638">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01D3BBA4">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7278636">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489D7D1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5B17CA92">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1224" w:type="dxa"/>
            <w:tcBorders>
              <w:tl2br w:val="nil"/>
              <w:tr2bl w:val="nil"/>
            </w:tcBorders>
            <w:vAlign w:val="center"/>
          </w:tcPr>
          <w:p w14:paraId="4690B46B">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0.0022</w:t>
            </w:r>
          </w:p>
        </w:tc>
        <w:tc>
          <w:tcPr>
            <w:tcW w:w="1158" w:type="pct"/>
            <w:vMerge w:val="continue"/>
            <w:tcBorders>
              <w:tl2br w:val="nil"/>
              <w:tr2bl w:val="nil"/>
            </w:tcBorders>
            <w:vAlign w:val="center"/>
          </w:tcPr>
          <w:p w14:paraId="61C6C190">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5CAFE86B">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AE4DAF5">
            <w:pPr>
              <w:pStyle w:val="31"/>
              <w:wordWrap/>
              <w:jc w:val="center"/>
              <w:rPr>
                <w:rFonts w:hint="default" w:ascii="Times New Roman" w:hAnsi="Times New Roman" w:eastAsia="仿宋" w:cs="Times New Roman"/>
                <w:color w:val="auto"/>
                <w:kern w:val="0"/>
                <w:sz w:val="21"/>
                <w:szCs w:val="21"/>
                <w:highlight w:val="none"/>
              </w:rPr>
            </w:pPr>
          </w:p>
        </w:tc>
      </w:tr>
      <w:tr w14:paraId="6C2364D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8EDA80B">
            <w:pPr>
              <w:pStyle w:val="31"/>
              <w:wordWrap/>
              <w:jc w:val="center"/>
              <w:rPr>
                <w:rFonts w:hint="default" w:ascii="Times New Roman" w:hAnsi="Times New Roman" w:eastAsia="仿宋" w:cs="Times New Roman"/>
                <w:color w:val="auto"/>
                <w:sz w:val="21"/>
                <w:szCs w:val="21"/>
                <w:highlight w:val="none"/>
              </w:rPr>
            </w:pPr>
          </w:p>
        </w:tc>
        <w:tc>
          <w:tcPr>
            <w:tcW w:w="336" w:type="pct"/>
            <w:vMerge w:val="restart"/>
            <w:tcBorders>
              <w:tl2br w:val="nil"/>
              <w:tr2bl w:val="nil"/>
            </w:tcBorders>
            <w:vAlign w:val="center"/>
          </w:tcPr>
          <w:p w14:paraId="7D3608C6">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表调后水洗</w:t>
            </w:r>
          </w:p>
        </w:tc>
        <w:tc>
          <w:tcPr>
            <w:tcW w:w="410" w:type="pct"/>
            <w:vMerge w:val="restart"/>
            <w:tcBorders>
              <w:tl2br w:val="nil"/>
              <w:tr2bl w:val="nil"/>
            </w:tcBorders>
            <w:vAlign w:val="center"/>
          </w:tcPr>
          <w:p w14:paraId="3CF0F5B4">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838.08</w:t>
            </w:r>
          </w:p>
        </w:tc>
        <w:tc>
          <w:tcPr>
            <w:tcW w:w="512" w:type="pct"/>
            <w:tcBorders>
              <w:tl2br w:val="nil"/>
              <w:tr2bl w:val="nil"/>
            </w:tcBorders>
            <w:shd w:val="clear" w:color="auto" w:fill="auto"/>
            <w:vAlign w:val="center"/>
          </w:tcPr>
          <w:p w14:paraId="64D37BAB">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465D9BC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6-8</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vAlign w:val="center"/>
          </w:tcPr>
          <w:p w14:paraId="7E8FB90F">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vAlign w:val="center"/>
          </w:tcPr>
          <w:p w14:paraId="16E9DFBC">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745DAF04">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5F55644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76B66D2B">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619AEA29">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3275CF25">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49727AA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1324EAB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c>
          <w:tcPr>
            <w:tcW w:w="1224" w:type="dxa"/>
            <w:tcBorders>
              <w:tl2br w:val="nil"/>
              <w:tr2bl w:val="nil"/>
            </w:tcBorders>
            <w:vAlign w:val="center"/>
          </w:tcPr>
          <w:p w14:paraId="33FF035D">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0.3352</w:t>
            </w:r>
          </w:p>
        </w:tc>
        <w:tc>
          <w:tcPr>
            <w:tcW w:w="1158" w:type="pct"/>
            <w:vMerge w:val="continue"/>
            <w:tcBorders>
              <w:tl2br w:val="nil"/>
              <w:tr2bl w:val="nil"/>
            </w:tcBorders>
            <w:vAlign w:val="center"/>
          </w:tcPr>
          <w:p w14:paraId="0E0E8942">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4D285FE6">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13E1A9E9">
            <w:pPr>
              <w:pStyle w:val="31"/>
              <w:wordWrap/>
              <w:jc w:val="center"/>
              <w:rPr>
                <w:rFonts w:hint="default" w:ascii="Times New Roman" w:hAnsi="Times New Roman" w:eastAsia="仿宋" w:cs="Times New Roman"/>
                <w:color w:val="auto"/>
                <w:kern w:val="0"/>
                <w:sz w:val="21"/>
                <w:szCs w:val="21"/>
                <w:highlight w:val="none"/>
              </w:rPr>
            </w:pPr>
          </w:p>
        </w:tc>
      </w:tr>
      <w:tr w14:paraId="4658D1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500" w:type="pct"/>
            <w:vMerge w:val="continue"/>
            <w:tcBorders>
              <w:tl2br w:val="nil"/>
              <w:tr2bl w:val="nil"/>
            </w:tcBorders>
            <w:vAlign w:val="center"/>
          </w:tcPr>
          <w:p w14:paraId="0AA95788">
            <w:pPr>
              <w:pStyle w:val="31"/>
              <w:wordWrap/>
              <w:jc w:val="center"/>
              <w:rPr>
                <w:rFonts w:hint="default" w:ascii="Times New Roman" w:hAnsi="Times New Roman" w:eastAsia="仿宋" w:cs="Times New Roman"/>
                <w:color w:val="auto"/>
                <w:sz w:val="21"/>
                <w:szCs w:val="21"/>
                <w:highlight w:val="none"/>
              </w:rPr>
            </w:pPr>
          </w:p>
        </w:tc>
        <w:tc>
          <w:tcPr>
            <w:tcW w:w="336" w:type="pct"/>
            <w:vMerge w:val="continue"/>
            <w:tcBorders>
              <w:tl2br w:val="nil"/>
              <w:tr2bl w:val="nil"/>
            </w:tcBorders>
            <w:vAlign w:val="center"/>
          </w:tcPr>
          <w:p w14:paraId="37105343">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C5CEF71">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A23E9A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3C4B9954">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300</w:t>
            </w:r>
          </w:p>
        </w:tc>
        <w:tc>
          <w:tcPr>
            <w:tcW w:w="1224" w:type="dxa"/>
            <w:tcBorders>
              <w:tl2br w:val="nil"/>
              <w:tr2bl w:val="nil"/>
            </w:tcBorders>
            <w:vAlign w:val="center"/>
          </w:tcPr>
          <w:p w14:paraId="7E35B1F0">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0.2514</w:t>
            </w:r>
          </w:p>
        </w:tc>
        <w:tc>
          <w:tcPr>
            <w:tcW w:w="1158" w:type="pct"/>
            <w:vMerge w:val="continue"/>
            <w:tcBorders>
              <w:tl2br w:val="nil"/>
              <w:tr2bl w:val="nil"/>
            </w:tcBorders>
            <w:vAlign w:val="center"/>
          </w:tcPr>
          <w:p w14:paraId="25C44BB2">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4588565A">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19FE179F">
            <w:pPr>
              <w:pStyle w:val="31"/>
              <w:wordWrap/>
              <w:jc w:val="center"/>
              <w:rPr>
                <w:rFonts w:hint="default" w:ascii="Times New Roman" w:hAnsi="Times New Roman" w:eastAsia="仿宋" w:cs="Times New Roman"/>
                <w:color w:val="auto"/>
                <w:kern w:val="0"/>
                <w:sz w:val="21"/>
                <w:szCs w:val="21"/>
                <w:highlight w:val="none"/>
              </w:rPr>
            </w:pPr>
          </w:p>
        </w:tc>
      </w:tr>
      <w:tr w14:paraId="04034A7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restart"/>
            <w:tcBorders>
              <w:tl2br w:val="nil"/>
              <w:tr2bl w:val="nil"/>
            </w:tcBorders>
            <w:vAlign w:val="center"/>
          </w:tcPr>
          <w:p w14:paraId="2E733CC0">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超滤系统反冲洗水</w:t>
            </w:r>
          </w:p>
        </w:tc>
        <w:tc>
          <w:tcPr>
            <w:tcW w:w="410" w:type="pct"/>
            <w:vMerge w:val="restart"/>
            <w:tcBorders>
              <w:tl2br w:val="nil"/>
              <w:tr2bl w:val="nil"/>
            </w:tcBorders>
            <w:vAlign w:val="center"/>
          </w:tcPr>
          <w:p w14:paraId="4D9390D1">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4.32</w:t>
            </w:r>
          </w:p>
        </w:tc>
        <w:tc>
          <w:tcPr>
            <w:tcW w:w="512" w:type="pct"/>
            <w:tcBorders>
              <w:tl2br w:val="nil"/>
              <w:tr2bl w:val="nil"/>
            </w:tcBorders>
            <w:shd w:val="clear" w:color="auto" w:fill="auto"/>
            <w:vAlign w:val="center"/>
          </w:tcPr>
          <w:p w14:paraId="4455F284">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1947CF76">
            <w:pPr>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5-6（无量纲）</w:t>
            </w:r>
          </w:p>
        </w:tc>
        <w:tc>
          <w:tcPr>
            <w:tcW w:w="1158" w:type="pct"/>
            <w:vMerge w:val="restart"/>
            <w:tcBorders>
              <w:tl2br w:val="nil"/>
              <w:tr2bl w:val="nil"/>
            </w:tcBorders>
            <w:vAlign w:val="center"/>
          </w:tcPr>
          <w:p w14:paraId="6FDEA7F1">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vAlign w:val="center"/>
          </w:tcPr>
          <w:p w14:paraId="0F6A7973">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77691743">
            <w:pPr>
              <w:pStyle w:val="31"/>
              <w:wordWrap/>
              <w:jc w:val="center"/>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是</w:t>
            </w:r>
          </w:p>
        </w:tc>
      </w:tr>
      <w:tr w14:paraId="0E24D3D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34E6C7A4">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5854442">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538872C">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7BEE5935">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100</w:t>
            </w:r>
          </w:p>
        </w:tc>
        <w:tc>
          <w:tcPr>
            <w:tcW w:w="396" w:type="pct"/>
            <w:tcBorders>
              <w:tl2br w:val="nil"/>
              <w:tr2bl w:val="nil"/>
            </w:tcBorders>
            <w:vAlign w:val="center"/>
          </w:tcPr>
          <w:p w14:paraId="63AABD1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w:t>
            </w:r>
          </w:p>
        </w:tc>
        <w:tc>
          <w:tcPr>
            <w:tcW w:w="1158" w:type="pct"/>
            <w:vMerge w:val="continue"/>
            <w:tcBorders>
              <w:tl2br w:val="nil"/>
              <w:tr2bl w:val="nil"/>
            </w:tcBorders>
            <w:vAlign w:val="center"/>
          </w:tcPr>
          <w:p w14:paraId="763E1593">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7C0B78F">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5395A16D">
            <w:pPr>
              <w:pStyle w:val="31"/>
              <w:wordWrap/>
              <w:jc w:val="center"/>
              <w:rPr>
                <w:rFonts w:hint="default" w:ascii="Times New Roman" w:hAnsi="Times New Roman" w:eastAsia="仿宋" w:cs="Times New Roman"/>
                <w:color w:val="auto"/>
                <w:kern w:val="0"/>
                <w:sz w:val="21"/>
                <w:szCs w:val="21"/>
                <w:highlight w:val="none"/>
              </w:rPr>
            </w:pPr>
          </w:p>
        </w:tc>
      </w:tr>
      <w:tr w14:paraId="36EAE91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4A6C74FB">
            <w:pPr>
              <w:pStyle w:val="31"/>
              <w:wordWrap/>
              <w:jc w:val="center"/>
              <w:rPr>
                <w:rFonts w:hint="eastAsia" w:ascii="Times New Roman" w:hAnsi="Times New Roman" w:eastAsia="仿宋" w:cs="Times New Roman"/>
                <w:color w:val="auto"/>
                <w:kern w:val="0"/>
                <w:sz w:val="21"/>
                <w:szCs w:val="21"/>
                <w:highlight w:val="none"/>
                <w:lang w:val="en-US" w:eastAsia="zh-CN" w:bidi="ar-SA"/>
              </w:rPr>
            </w:pPr>
          </w:p>
        </w:tc>
        <w:tc>
          <w:tcPr>
            <w:tcW w:w="410" w:type="pct"/>
            <w:vMerge w:val="continue"/>
            <w:tcBorders>
              <w:tl2br w:val="nil"/>
              <w:tr2bl w:val="nil"/>
            </w:tcBorders>
            <w:vAlign w:val="center"/>
          </w:tcPr>
          <w:p w14:paraId="4140F158">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454A600">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07FB93F4">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w:t>
            </w:r>
          </w:p>
        </w:tc>
        <w:tc>
          <w:tcPr>
            <w:tcW w:w="396" w:type="pct"/>
            <w:tcBorders>
              <w:tl2br w:val="nil"/>
              <w:tr2bl w:val="nil"/>
            </w:tcBorders>
            <w:vAlign w:val="center"/>
          </w:tcPr>
          <w:p w14:paraId="2693F6C2">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158" w:type="pct"/>
            <w:vMerge w:val="continue"/>
            <w:tcBorders>
              <w:tl2br w:val="nil"/>
              <w:tr2bl w:val="nil"/>
            </w:tcBorders>
            <w:vAlign w:val="center"/>
          </w:tcPr>
          <w:p w14:paraId="3B253466">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DD17083">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73177CB4">
            <w:pPr>
              <w:pStyle w:val="31"/>
              <w:wordWrap/>
              <w:jc w:val="center"/>
              <w:rPr>
                <w:rFonts w:hint="default" w:ascii="Times New Roman" w:hAnsi="Times New Roman" w:eastAsia="仿宋" w:cs="Times New Roman"/>
                <w:color w:val="auto"/>
                <w:kern w:val="0"/>
                <w:sz w:val="21"/>
                <w:szCs w:val="21"/>
                <w:highlight w:val="none"/>
              </w:rPr>
            </w:pPr>
          </w:p>
        </w:tc>
      </w:tr>
      <w:tr w14:paraId="576A06B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restart"/>
            <w:tcBorders>
              <w:tl2br w:val="nil"/>
              <w:tr2bl w:val="nil"/>
            </w:tcBorders>
            <w:vAlign w:val="center"/>
          </w:tcPr>
          <w:p w14:paraId="5794D603">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纯水制备浓水</w:t>
            </w:r>
          </w:p>
        </w:tc>
        <w:tc>
          <w:tcPr>
            <w:tcW w:w="410" w:type="pct"/>
            <w:vMerge w:val="restart"/>
            <w:tcBorders>
              <w:tl2br w:val="nil"/>
              <w:tr2bl w:val="nil"/>
            </w:tcBorders>
            <w:vAlign w:val="center"/>
          </w:tcPr>
          <w:p w14:paraId="25477C47">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5532.45</w:t>
            </w:r>
          </w:p>
        </w:tc>
        <w:tc>
          <w:tcPr>
            <w:tcW w:w="512" w:type="pct"/>
            <w:tcBorders>
              <w:tl2br w:val="nil"/>
              <w:tr2bl w:val="nil"/>
            </w:tcBorders>
            <w:shd w:val="clear" w:color="auto" w:fill="auto"/>
            <w:vAlign w:val="center"/>
          </w:tcPr>
          <w:p w14:paraId="16A574C3">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920" w:type="pct"/>
            <w:gridSpan w:val="2"/>
            <w:tcBorders>
              <w:tl2br w:val="nil"/>
              <w:tr2bl w:val="nil"/>
            </w:tcBorders>
            <w:shd w:val="clear" w:color="auto" w:fill="auto"/>
            <w:vAlign w:val="center"/>
          </w:tcPr>
          <w:p w14:paraId="3C042E44">
            <w:pPr>
              <w:pStyle w:val="31"/>
              <w:wordWrap/>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1158" w:type="pct"/>
            <w:vMerge w:val="restart"/>
            <w:tcBorders>
              <w:tl2br w:val="nil"/>
              <w:tr2bl w:val="nil"/>
            </w:tcBorders>
            <w:vAlign w:val="center"/>
          </w:tcPr>
          <w:p w14:paraId="73554B85">
            <w:pPr>
              <w:pStyle w:val="31"/>
              <w:wordWrap/>
              <w:jc w:val="center"/>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655" w:type="pct"/>
            <w:vMerge w:val="restart"/>
            <w:tcBorders>
              <w:tl2br w:val="nil"/>
              <w:tr2bl w:val="nil"/>
            </w:tcBorders>
            <w:vAlign w:val="center"/>
          </w:tcPr>
          <w:p w14:paraId="1125FBBE">
            <w:pPr>
              <w:pStyle w:val="31"/>
              <w:wordWrap/>
              <w:jc w:val="center"/>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c>
          <w:tcPr>
            <w:tcW w:w="507" w:type="pct"/>
            <w:vMerge w:val="restart"/>
            <w:tcBorders>
              <w:tl2br w:val="nil"/>
              <w:tr2bl w:val="nil"/>
            </w:tcBorders>
            <w:vAlign w:val="center"/>
          </w:tcPr>
          <w:p w14:paraId="1FEE651F">
            <w:pPr>
              <w:pStyle w:val="31"/>
              <w:wordWrap/>
              <w:jc w:val="center"/>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w:t>
            </w:r>
          </w:p>
        </w:tc>
      </w:tr>
      <w:tr w14:paraId="006410A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7D6F6A3F">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357C2E04">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2061D608">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10739937">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80</w:t>
            </w:r>
          </w:p>
        </w:tc>
        <w:tc>
          <w:tcPr>
            <w:tcW w:w="396" w:type="pct"/>
            <w:tcBorders>
              <w:tl2br w:val="nil"/>
              <w:tr2bl w:val="nil"/>
            </w:tcBorders>
            <w:vAlign w:val="center"/>
          </w:tcPr>
          <w:p w14:paraId="087A2FDF">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4426</w:t>
            </w:r>
          </w:p>
        </w:tc>
        <w:tc>
          <w:tcPr>
            <w:tcW w:w="1158" w:type="pct"/>
            <w:vMerge w:val="continue"/>
            <w:tcBorders>
              <w:tl2br w:val="nil"/>
              <w:tr2bl w:val="nil"/>
            </w:tcBorders>
            <w:vAlign w:val="center"/>
          </w:tcPr>
          <w:p w14:paraId="4FA6F45A">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24966600">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2889BE00">
            <w:pPr>
              <w:pStyle w:val="31"/>
              <w:wordWrap/>
              <w:jc w:val="center"/>
              <w:rPr>
                <w:rFonts w:hint="default" w:ascii="Times New Roman" w:hAnsi="Times New Roman" w:eastAsia="仿宋" w:cs="Times New Roman"/>
                <w:color w:val="auto"/>
                <w:kern w:val="0"/>
                <w:sz w:val="21"/>
                <w:szCs w:val="21"/>
                <w:highlight w:val="none"/>
              </w:rPr>
            </w:pPr>
          </w:p>
        </w:tc>
      </w:tr>
      <w:tr w14:paraId="003926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36" w:type="pct"/>
            <w:gridSpan w:val="2"/>
            <w:vMerge w:val="continue"/>
            <w:tcBorders>
              <w:tl2br w:val="nil"/>
              <w:tr2bl w:val="nil"/>
            </w:tcBorders>
            <w:vAlign w:val="center"/>
          </w:tcPr>
          <w:p w14:paraId="00E431F2">
            <w:pPr>
              <w:pStyle w:val="31"/>
              <w:wordWrap/>
              <w:jc w:val="center"/>
              <w:rPr>
                <w:rFonts w:hint="default" w:ascii="Times New Roman" w:hAnsi="Times New Roman" w:eastAsia="仿宋" w:cs="Times New Roman"/>
                <w:color w:val="auto"/>
                <w:sz w:val="21"/>
                <w:szCs w:val="21"/>
                <w:highlight w:val="none"/>
              </w:rPr>
            </w:pPr>
          </w:p>
        </w:tc>
        <w:tc>
          <w:tcPr>
            <w:tcW w:w="410" w:type="pct"/>
            <w:vMerge w:val="continue"/>
            <w:tcBorders>
              <w:tl2br w:val="nil"/>
              <w:tr2bl w:val="nil"/>
            </w:tcBorders>
            <w:vAlign w:val="center"/>
          </w:tcPr>
          <w:p w14:paraId="0827B430">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0721D6AE">
            <w:pPr>
              <w:pStyle w:val="31"/>
              <w:wordWrap/>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2D7B059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396" w:type="pct"/>
            <w:tcBorders>
              <w:tl2br w:val="nil"/>
              <w:tr2bl w:val="nil"/>
            </w:tcBorders>
            <w:vAlign w:val="center"/>
          </w:tcPr>
          <w:p w14:paraId="1C6153FB">
            <w:pPr>
              <w:keepNext w:val="0"/>
              <w:keepLines w:val="0"/>
              <w:widowControl/>
              <w:suppressLineNumbers w:val="0"/>
              <w:jc w:val="center"/>
              <w:textAlignment w:val="center"/>
              <w:rPr>
                <w:rFonts w:hint="default"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2766</w:t>
            </w:r>
          </w:p>
        </w:tc>
        <w:tc>
          <w:tcPr>
            <w:tcW w:w="1158" w:type="pct"/>
            <w:vMerge w:val="continue"/>
            <w:tcBorders>
              <w:tl2br w:val="nil"/>
              <w:tr2bl w:val="nil"/>
            </w:tcBorders>
            <w:vAlign w:val="center"/>
          </w:tcPr>
          <w:p w14:paraId="01561DBD">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3CCF7FB">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60A739E0">
            <w:pPr>
              <w:pStyle w:val="31"/>
              <w:wordWrap/>
              <w:jc w:val="center"/>
              <w:rPr>
                <w:rFonts w:hint="default" w:ascii="Times New Roman" w:hAnsi="Times New Roman" w:eastAsia="仿宋" w:cs="Times New Roman"/>
                <w:color w:val="auto"/>
                <w:kern w:val="0"/>
                <w:sz w:val="21"/>
                <w:szCs w:val="21"/>
                <w:highlight w:val="none"/>
              </w:rPr>
            </w:pPr>
          </w:p>
        </w:tc>
      </w:tr>
      <w:tr w14:paraId="188869C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836" w:type="pct"/>
            <w:gridSpan w:val="2"/>
            <w:vMerge w:val="restart"/>
            <w:tcBorders>
              <w:tl2br w:val="nil"/>
              <w:tr2bl w:val="nil"/>
            </w:tcBorders>
            <w:vAlign w:val="center"/>
          </w:tcPr>
          <w:p w14:paraId="21AD14C4">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地面清洗废水</w:t>
            </w:r>
          </w:p>
        </w:tc>
        <w:tc>
          <w:tcPr>
            <w:tcW w:w="410" w:type="pct"/>
            <w:vMerge w:val="restart"/>
            <w:tcBorders>
              <w:tl2br w:val="nil"/>
              <w:tr2bl w:val="nil"/>
            </w:tcBorders>
            <w:vAlign w:val="center"/>
          </w:tcPr>
          <w:p w14:paraId="7FFB3F9F">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40.5</w:t>
            </w:r>
          </w:p>
        </w:tc>
        <w:tc>
          <w:tcPr>
            <w:tcW w:w="512" w:type="pct"/>
            <w:tcBorders>
              <w:tl2br w:val="nil"/>
              <w:tr2bl w:val="nil"/>
            </w:tcBorders>
            <w:shd w:val="clear" w:color="auto" w:fill="auto"/>
            <w:vAlign w:val="center"/>
          </w:tcPr>
          <w:p w14:paraId="3016D7BF">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kern w:val="0"/>
                <w:sz w:val="21"/>
                <w:szCs w:val="21"/>
                <w:highlight w:val="none"/>
                <w:lang w:val="en-US" w:eastAsia="zh-CN" w:bidi="ar-SA"/>
              </w:rPr>
              <w:t>pH</w:t>
            </w:r>
          </w:p>
        </w:tc>
        <w:tc>
          <w:tcPr>
            <w:tcW w:w="920" w:type="pct"/>
            <w:gridSpan w:val="2"/>
            <w:tcBorders>
              <w:tl2br w:val="nil"/>
              <w:tr2bl w:val="nil"/>
            </w:tcBorders>
            <w:shd w:val="clear" w:color="auto" w:fill="auto"/>
            <w:vAlign w:val="center"/>
          </w:tcPr>
          <w:p w14:paraId="220D8C18">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6-9</w:t>
            </w:r>
            <w:r>
              <w:rPr>
                <w:rFonts w:hint="eastAsia" w:eastAsia="仿宋" w:cs="Times New Roman"/>
                <w:color w:val="auto"/>
                <w:sz w:val="21"/>
                <w:szCs w:val="21"/>
                <w:highlight w:val="none"/>
                <w:lang w:val="en-US" w:eastAsia="zh-CN"/>
              </w:rPr>
              <w:t>（无量纲）</w:t>
            </w:r>
          </w:p>
        </w:tc>
        <w:tc>
          <w:tcPr>
            <w:tcW w:w="1158" w:type="pct"/>
            <w:vMerge w:val="restart"/>
            <w:tcBorders>
              <w:tl2br w:val="nil"/>
              <w:tr2bl w:val="nil"/>
            </w:tcBorders>
            <w:vAlign w:val="center"/>
          </w:tcPr>
          <w:p w14:paraId="6FCB5BE5">
            <w:pPr>
              <w:pStyle w:val="31"/>
              <w:wordWrap/>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综合废水处理设施（TW003）</w:t>
            </w:r>
          </w:p>
        </w:tc>
        <w:tc>
          <w:tcPr>
            <w:tcW w:w="655" w:type="pct"/>
            <w:vMerge w:val="restart"/>
            <w:tcBorders>
              <w:tl2br w:val="nil"/>
              <w:tr2bl w:val="nil"/>
            </w:tcBorders>
            <w:vAlign w:val="center"/>
          </w:tcPr>
          <w:p w14:paraId="18C42264">
            <w:pPr>
              <w:pStyle w:val="31"/>
              <w:wordWrap/>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60m</w:t>
            </w:r>
            <w:r>
              <w:rPr>
                <w:rFonts w:hint="eastAsia" w:eastAsia="仿宋" w:cs="Times New Roman"/>
                <w:color w:val="auto"/>
                <w:kern w:val="0"/>
                <w:sz w:val="21"/>
                <w:szCs w:val="21"/>
                <w:highlight w:val="none"/>
                <w:vertAlign w:val="superscript"/>
                <w:lang w:val="en-US" w:eastAsia="zh-CN"/>
              </w:rPr>
              <w:t>3</w:t>
            </w:r>
            <w:r>
              <w:rPr>
                <w:rFonts w:hint="eastAsia" w:eastAsia="仿宋" w:cs="Times New Roman"/>
                <w:color w:val="auto"/>
                <w:kern w:val="0"/>
                <w:sz w:val="21"/>
                <w:szCs w:val="21"/>
                <w:highlight w:val="none"/>
                <w:lang w:val="en-US" w:eastAsia="zh-CN"/>
              </w:rPr>
              <w:t>/d</w:t>
            </w:r>
          </w:p>
        </w:tc>
        <w:tc>
          <w:tcPr>
            <w:tcW w:w="507" w:type="pct"/>
            <w:vMerge w:val="restart"/>
            <w:tcBorders>
              <w:tl2br w:val="nil"/>
              <w:tr2bl w:val="nil"/>
            </w:tcBorders>
            <w:vAlign w:val="center"/>
          </w:tcPr>
          <w:p w14:paraId="6F2CC049">
            <w:pPr>
              <w:pStyle w:val="31"/>
              <w:wordWrap/>
              <w:jc w:val="center"/>
              <w:rPr>
                <w:rFonts w:hint="eastAsia"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是</w:t>
            </w:r>
          </w:p>
        </w:tc>
      </w:tr>
      <w:tr w14:paraId="43216AE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72E22352">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12C752FD">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AB43BB1">
            <w:pPr>
              <w:pStyle w:val="31"/>
              <w:wordWrap/>
              <w:jc w:val="center"/>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COD</w:t>
            </w:r>
          </w:p>
        </w:tc>
        <w:tc>
          <w:tcPr>
            <w:tcW w:w="524" w:type="pct"/>
            <w:tcBorders>
              <w:tl2br w:val="nil"/>
              <w:tr2bl w:val="nil"/>
            </w:tcBorders>
            <w:shd w:val="clear" w:color="auto" w:fill="auto"/>
            <w:vAlign w:val="center"/>
          </w:tcPr>
          <w:p w14:paraId="0AC15AAB">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500</w:t>
            </w:r>
          </w:p>
        </w:tc>
        <w:tc>
          <w:tcPr>
            <w:tcW w:w="396" w:type="pct"/>
            <w:tcBorders>
              <w:tl2br w:val="nil"/>
              <w:tr2bl w:val="nil"/>
            </w:tcBorders>
            <w:vAlign w:val="center"/>
          </w:tcPr>
          <w:p w14:paraId="1489C0C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0.0203</w:t>
            </w:r>
          </w:p>
        </w:tc>
        <w:tc>
          <w:tcPr>
            <w:tcW w:w="1158" w:type="pct"/>
            <w:vMerge w:val="continue"/>
            <w:tcBorders>
              <w:tl2br w:val="nil"/>
              <w:tr2bl w:val="nil"/>
            </w:tcBorders>
            <w:vAlign w:val="center"/>
          </w:tcPr>
          <w:p w14:paraId="1DF0B169">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1781B95">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FB6B1BC">
            <w:pPr>
              <w:pStyle w:val="31"/>
              <w:wordWrap/>
              <w:jc w:val="center"/>
              <w:rPr>
                <w:rFonts w:hint="default" w:ascii="Times New Roman" w:hAnsi="Times New Roman" w:eastAsia="仿宋" w:cs="Times New Roman"/>
                <w:color w:val="auto"/>
                <w:kern w:val="0"/>
                <w:sz w:val="21"/>
                <w:szCs w:val="21"/>
                <w:highlight w:val="none"/>
              </w:rPr>
            </w:pPr>
          </w:p>
        </w:tc>
      </w:tr>
      <w:tr w14:paraId="2500B6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54DC4B59">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5728F59B">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762518E9">
            <w:pPr>
              <w:pStyle w:val="31"/>
              <w:wordWrap/>
              <w:jc w:val="center"/>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SS</w:t>
            </w:r>
          </w:p>
        </w:tc>
        <w:tc>
          <w:tcPr>
            <w:tcW w:w="524" w:type="pct"/>
            <w:tcBorders>
              <w:tl2br w:val="nil"/>
              <w:tr2bl w:val="nil"/>
            </w:tcBorders>
            <w:shd w:val="clear" w:color="auto" w:fill="auto"/>
            <w:vAlign w:val="center"/>
          </w:tcPr>
          <w:p w14:paraId="07596AB1">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w:t>
            </w:r>
          </w:p>
        </w:tc>
        <w:tc>
          <w:tcPr>
            <w:tcW w:w="396" w:type="pct"/>
            <w:tcBorders>
              <w:tl2br w:val="nil"/>
              <w:tr2bl w:val="nil"/>
            </w:tcBorders>
            <w:vAlign w:val="center"/>
          </w:tcPr>
          <w:p w14:paraId="03778407">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1158" w:type="pct"/>
            <w:vMerge w:val="continue"/>
            <w:tcBorders>
              <w:tl2br w:val="nil"/>
              <w:tr2bl w:val="nil"/>
            </w:tcBorders>
            <w:vAlign w:val="center"/>
          </w:tcPr>
          <w:p w14:paraId="06082607">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0FDB473D">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A7B4908">
            <w:pPr>
              <w:pStyle w:val="31"/>
              <w:wordWrap/>
              <w:jc w:val="center"/>
              <w:rPr>
                <w:rFonts w:hint="default" w:ascii="Times New Roman" w:hAnsi="Times New Roman" w:eastAsia="仿宋" w:cs="Times New Roman"/>
                <w:color w:val="auto"/>
                <w:kern w:val="0"/>
                <w:sz w:val="21"/>
                <w:szCs w:val="21"/>
                <w:highlight w:val="none"/>
              </w:rPr>
            </w:pPr>
          </w:p>
        </w:tc>
      </w:tr>
      <w:tr w14:paraId="09DE09B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1E3724ED">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59FBBD08">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89BAA63">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氨氮</w:t>
            </w:r>
          </w:p>
        </w:tc>
        <w:tc>
          <w:tcPr>
            <w:tcW w:w="524" w:type="pct"/>
            <w:tcBorders>
              <w:tl2br w:val="nil"/>
              <w:tr2bl w:val="nil"/>
            </w:tcBorders>
            <w:shd w:val="clear" w:color="auto" w:fill="auto"/>
            <w:vAlign w:val="center"/>
          </w:tcPr>
          <w:p w14:paraId="16A6B9F7">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w:t>
            </w:r>
          </w:p>
        </w:tc>
        <w:tc>
          <w:tcPr>
            <w:tcW w:w="396" w:type="pct"/>
            <w:tcBorders>
              <w:tl2br w:val="nil"/>
              <w:tr2bl w:val="nil"/>
            </w:tcBorders>
            <w:vAlign w:val="center"/>
          </w:tcPr>
          <w:p w14:paraId="0ACB994C">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158" w:type="pct"/>
            <w:vMerge w:val="continue"/>
            <w:tcBorders>
              <w:tl2br w:val="nil"/>
              <w:tr2bl w:val="nil"/>
            </w:tcBorders>
            <w:vAlign w:val="center"/>
          </w:tcPr>
          <w:p w14:paraId="159BFB1A">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3EB67263">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01712F44">
            <w:pPr>
              <w:pStyle w:val="31"/>
              <w:wordWrap/>
              <w:jc w:val="center"/>
              <w:rPr>
                <w:rFonts w:hint="default" w:ascii="Times New Roman" w:hAnsi="Times New Roman" w:eastAsia="仿宋" w:cs="Times New Roman"/>
                <w:color w:val="auto"/>
                <w:kern w:val="0"/>
                <w:sz w:val="21"/>
                <w:szCs w:val="21"/>
                <w:highlight w:val="none"/>
              </w:rPr>
            </w:pPr>
          </w:p>
        </w:tc>
      </w:tr>
      <w:tr w14:paraId="330C33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2367FADA">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35BDC3AB">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3E9C844A">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TN</w:t>
            </w:r>
          </w:p>
        </w:tc>
        <w:tc>
          <w:tcPr>
            <w:tcW w:w="524" w:type="pct"/>
            <w:tcBorders>
              <w:tl2br w:val="nil"/>
              <w:tr2bl w:val="nil"/>
            </w:tcBorders>
            <w:shd w:val="clear" w:color="auto" w:fill="auto"/>
            <w:vAlign w:val="center"/>
          </w:tcPr>
          <w:p w14:paraId="5704D9A9">
            <w:pPr>
              <w:pStyle w:val="31"/>
              <w:wordWrap/>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w:t>
            </w:r>
          </w:p>
        </w:tc>
        <w:tc>
          <w:tcPr>
            <w:tcW w:w="396" w:type="pct"/>
            <w:tcBorders>
              <w:tl2br w:val="nil"/>
              <w:tr2bl w:val="nil"/>
            </w:tcBorders>
            <w:vAlign w:val="center"/>
          </w:tcPr>
          <w:p w14:paraId="40008323">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158" w:type="pct"/>
            <w:vMerge w:val="continue"/>
            <w:tcBorders>
              <w:tl2br w:val="nil"/>
              <w:tr2bl w:val="nil"/>
            </w:tcBorders>
            <w:vAlign w:val="center"/>
          </w:tcPr>
          <w:p w14:paraId="521FAB0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386BD64">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55689230">
            <w:pPr>
              <w:pStyle w:val="31"/>
              <w:wordWrap/>
              <w:jc w:val="center"/>
              <w:rPr>
                <w:rFonts w:hint="default" w:ascii="Times New Roman" w:hAnsi="Times New Roman" w:eastAsia="仿宋" w:cs="Times New Roman"/>
                <w:color w:val="auto"/>
                <w:kern w:val="0"/>
                <w:sz w:val="21"/>
                <w:szCs w:val="21"/>
                <w:highlight w:val="none"/>
              </w:rPr>
            </w:pPr>
          </w:p>
        </w:tc>
      </w:tr>
      <w:tr w14:paraId="7E0D2B3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723DDA1F">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3BDAC011">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243C8FC6">
            <w:pPr>
              <w:pStyle w:val="31"/>
              <w:wordWrap/>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TP</w:t>
            </w:r>
          </w:p>
        </w:tc>
        <w:tc>
          <w:tcPr>
            <w:tcW w:w="524" w:type="pct"/>
            <w:tcBorders>
              <w:tl2br w:val="nil"/>
              <w:tr2bl w:val="nil"/>
            </w:tcBorders>
            <w:shd w:val="clear" w:color="auto" w:fill="auto"/>
            <w:vAlign w:val="center"/>
          </w:tcPr>
          <w:p w14:paraId="2DFE9E72">
            <w:pPr>
              <w:pStyle w:val="31"/>
              <w:wordWrap/>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w:t>
            </w:r>
          </w:p>
        </w:tc>
        <w:tc>
          <w:tcPr>
            <w:tcW w:w="396" w:type="pct"/>
            <w:tcBorders>
              <w:tl2br w:val="nil"/>
              <w:tr2bl w:val="nil"/>
            </w:tcBorders>
            <w:vAlign w:val="center"/>
          </w:tcPr>
          <w:p w14:paraId="598C9A29">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158" w:type="pct"/>
            <w:vMerge w:val="continue"/>
            <w:tcBorders>
              <w:tl2br w:val="nil"/>
              <w:tr2bl w:val="nil"/>
            </w:tcBorders>
            <w:vAlign w:val="center"/>
          </w:tcPr>
          <w:p w14:paraId="5455EBBD">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13777940">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13634B31">
            <w:pPr>
              <w:pStyle w:val="31"/>
              <w:wordWrap/>
              <w:jc w:val="center"/>
              <w:rPr>
                <w:rFonts w:hint="default" w:ascii="Times New Roman" w:hAnsi="Times New Roman" w:eastAsia="仿宋" w:cs="Times New Roman"/>
                <w:color w:val="auto"/>
                <w:kern w:val="0"/>
                <w:sz w:val="21"/>
                <w:szCs w:val="21"/>
                <w:highlight w:val="none"/>
              </w:rPr>
            </w:pPr>
          </w:p>
        </w:tc>
      </w:tr>
      <w:tr w14:paraId="7BDE152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76FEA6F9">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77B8CD60">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1D22C29E">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LAS</w:t>
            </w:r>
          </w:p>
        </w:tc>
        <w:tc>
          <w:tcPr>
            <w:tcW w:w="524" w:type="pct"/>
            <w:tcBorders>
              <w:tl2br w:val="nil"/>
              <w:tr2bl w:val="nil"/>
            </w:tcBorders>
            <w:shd w:val="clear" w:color="auto" w:fill="auto"/>
            <w:vAlign w:val="center"/>
          </w:tcPr>
          <w:p w14:paraId="4AD374C8">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c>
          <w:tcPr>
            <w:tcW w:w="396" w:type="pct"/>
            <w:tcBorders>
              <w:tl2br w:val="nil"/>
              <w:tr2bl w:val="nil"/>
            </w:tcBorders>
            <w:vAlign w:val="center"/>
          </w:tcPr>
          <w:p w14:paraId="7C99B48D">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158" w:type="pct"/>
            <w:vMerge w:val="continue"/>
            <w:tcBorders>
              <w:tl2br w:val="nil"/>
              <w:tr2bl w:val="nil"/>
            </w:tcBorders>
            <w:vAlign w:val="center"/>
          </w:tcPr>
          <w:p w14:paraId="129D9A64">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7794DE22">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48305EE6">
            <w:pPr>
              <w:pStyle w:val="31"/>
              <w:wordWrap/>
              <w:jc w:val="center"/>
              <w:rPr>
                <w:rFonts w:hint="default" w:ascii="Times New Roman" w:hAnsi="Times New Roman" w:eastAsia="仿宋" w:cs="Times New Roman"/>
                <w:color w:val="auto"/>
                <w:kern w:val="0"/>
                <w:sz w:val="21"/>
                <w:szCs w:val="21"/>
                <w:highlight w:val="none"/>
              </w:rPr>
            </w:pPr>
          </w:p>
        </w:tc>
      </w:tr>
      <w:tr w14:paraId="47F51A6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28" w:type="dxa"/>
            <w:bottom w:w="0" w:type="dxa"/>
            <w:right w:w="28" w:type="dxa"/>
          </w:tblCellMar>
        </w:tblPrEx>
        <w:tc>
          <w:tcPr>
            <w:tcW w:w="836" w:type="pct"/>
            <w:gridSpan w:val="2"/>
            <w:vMerge w:val="continue"/>
            <w:tcBorders>
              <w:tl2br w:val="nil"/>
              <w:tr2bl w:val="nil"/>
            </w:tcBorders>
            <w:vAlign w:val="center"/>
          </w:tcPr>
          <w:p w14:paraId="7A2A30F6">
            <w:pPr>
              <w:pStyle w:val="31"/>
              <w:wordWrap/>
              <w:jc w:val="center"/>
              <w:rPr>
                <w:rFonts w:hint="eastAsia" w:eastAsia="仿宋" w:cs="Times New Roman"/>
                <w:color w:val="auto"/>
                <w:sz w:val="21"/>
                <w:szCs w:val="21"/>
                <w:highlight w:val="none"/>
                <w:lang w:val="en-US" w:eastAsia="zh-CN"/>
              </w:rPr>
            </w:pPr>
          </w:p>
        </w:tc>
        <w:tc>
          <w:tcPr>
            <w:tcW w:w="410" w:type="pct"/>
            <w:vMerge w:val="continue"/>
            <w:tcBorders>
              <w:tl2br w:val="nil"/>
              <w:tr2bl w:val="nil"/>
            </w:tcBorders>
            <w:vAlign w:val="center"/>
          </w:tcPr>
          <w:p w14:paraId="4F50F47E">
            <w:pPr>
              <w:pStyle w:val="31"/>
              <w:wordWrap/>
              <w:jc w:val="center"/>
              <w:rPr>
                <w:rFonts w:hint="eastAsia" w:eastAsia="仿宋" w:cs="Times New Roman"/>
                <w:color w:val="auto"/>
                <w:sz w:val="21"/>
                <w:szCs w:val="21"/>
                <w:highlight w:val="none"/>
                <w:lang w:val="en-US" w:eastAsia="zh-CN"/>
              </w:rPr>
            </w:pPr>
          </w:p>
        </w:tc>
        <w:tc>
          <w:tcPr>
            <w:tcW w:w="512" w:type="pct"/>
            <w:tcBorders>
              <w:tl2br w:val="nil"/>
              <w:tr2bl w:val="nil"/>
            </w:tcBorders>
            <w:shd w:val="clear" w:color="auto" w:fill="auto"/>
            <w:vAlign w:val="center"/>
          </w:tcPr>
          <w:p w14:paraId="6B501A50">
            <w:pPr>
              <w:pStyle w:val="31"/>
              <w:wordWrap/>
              <w:jc w:val="center"/>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石油类</w:t>
            </w:r>
          </w:p>
        </w:tc>
        <w:tc>
          <w:tcPr>
            <w:tcW w:w="524" w:type="pct"/>
            <w:tcBorders>
              <w:tl2br w:val="nil"/>
              <w:tr2bl w:val="nil"/>
            </w:tcBorders>
            <w:shd w:val="clear" w:color="auto" w:fill="auto"/>
            <w:vAlign w:val="center"/>
          </w:tcPr>
          <w:p w14:paraId="243135A8">
            <w:pPr>
              <w:pStyle w:val="31"/>
              <w:wordWrap/>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w:t>
            </w:r>
          </w:p>
        </w:tc>
        <w:tc>
          <w:tcPr>
            <w:tcW w:w="396" w:type="pct"/>
            <w:tcBorders>
              <w:tl2br w:val="nil"/>
              <w:tr2bl w:val="nil"/>
            </w:tcBorders>
            <w:vAlign w:val="center"/>
          </w:tcPr>
          <w:p w14:paraId="34A381EF">
            <w:pPr>
              <w:keepNext w:val="0"/>
              <w:keepLines w:val="0"/>
              <w:widowControl/>
              <w:suppressLineNumbers w:val="0"/>
              <w:jc w:val="center"/>
              <w:textAlignment w:val="center"/>
              <w:rPr>
                <w:rFonts w:hint="eastAsia"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0.0012</w:t>
            </w:r>
          </w:p>
        </w:tc>
        <w:tc>
          <w:tcPr>
            <w:tcW w:w="1158" w:type="pct"/>
            <w:vMerge w:val="continue"/>
            <w:tcBorders>
              <w:tl2br w:val="nil"/>
              <w:tr2bl w:val="nil"/>
            </w:tcBorders>
            <w:vAlign w:val="center"/>
          </w:tcPr>
          <w:p w14:paraId="02B55223">
            <w:pPr>
              <w:pStyle w:val="31"/>
              <w:wordWrap/>
              <w:jc w:val="center"/>
              <w:rPr>
                <w:rFonts w:hint="default" w:ascii="Times New Roman" w:hAnsi="Times New Roman" w:eastAsia="仿宋" w:cs="Times New Roman"/>
                <w:color w:val="auto"/>
                <w:kern w:val="0"/>
                <w:sz w:val="21"/>
                <w:szCs w:val="21"/>
                <w:highlight w:val="none"/>
              </w:rPr>
            </w:pPr>
          </w:p>
        </w:tc>
        <w:tc>
          <w:tcPr>
            <w:tcW w:w="655" w:type="pct"/>
            <w:vMerge w:val="continue"/>
            <w:tcBorders>
              <w:tl2br w:val="nil"/>
              <w:tr2bl w:val="nil"/>
            </w:tcBorders>
            <w:vAlign w:val="center"/>
          </w:tcPr>
          <w:p w14:paraId="61EF21D9">
            <w:pPr>
              <w:pStyle w:val="31"/>
              <w:wordWrap/>
              <w:jc w:val="center"/>
              <w:rPr>
                <w:rFonts w:hint="default" w:ascii="Times New Roman" w:hAnsi="Times New Roman" w:eastAsia="仿宋" w:cs="Times New Roman"/>
                <w:color w:val="auto"/>
                <w:kern w:val="0"/>
                <w:sz w:val="21"/>
                <w:szCs w:val="21"/>
                <w:highlight w:val="none"/>
              </w:rPr>
            </w:pPr>
          </w:p>
        </w:tc>
        <w:tc>
          <w:tcPr>
            <w:tcW w:w="507" w:type="pct"/>
            <w:vMerge w:val="continue"/>
            <w:tcBorders>
              <w:tl2br w:val="nil"/>
              <w:tr2bl w:val="nil"/>
            </w:tcBorders>
            <w:vAlign w:val="center"/>
          </w:tcPr>
          <w:p w14:paraId="36DABB7D">
            <w:pPr>
              <w:pStyle w:val="31"/>
              <w:wordWrap/>
              <w:jc w:val="center"/>
              <w:rPr>
                <w:rFonts w:hint="default" w:ascii="Times New Roman" w:hAnsi="Times New Roman" w:eastAsia="仿宋" w:cs="Times New Roman"/>
                <w:color w:val="auto"/>
                <w:kern w:val="0"/>
                <w:sz w:val="21"/>
                <w:szCs w:val="21"/>
                <w:highlight w:val="none"/>
              </w:rPr>
            </w:pPr>
          </w:p>
        </w:tc>
      </w:tr>
    </w:tbl>
    <w:p w14:paraId="1A97DB84">
      <w:pPr>
        <w:adjustRightInd w:val="0"/>
        <w:snapToGrid w:val="0"/>
        <w:spacing w:line="360" w:lineRule="auto"/>
        <w:rPr>
          <w:b/>
          <w:bCs/>
          <w:color w:val="auto"/>
          <w:sz w:val="24"/>
          <w:szCs w:val="24"/>
          <w:highlight w:val="none"/>
        </w:rPr>
      </w:pPr>
      <w:r>
        <w:rPr>
          <w:rFonts w:hint="eastAsia"/>
          <w:b/>
          <w:bCs/>
          <w:color w:val="auto"/>
          <w:sz w:val="24"/>
          <w:szCs w:val="24"/>
          <w:highlight w:val="none"/>
          <w:lang w:val="en-US" w:eastAsia="zh-CN"/>
        </w:rPr>
        <w:t xml:space="preserve">2.1  </w:t>
      </w:r>
      <w:r>
        <w:rPr>
          <w:rFonts w:hint="eastAsia"/>
          <w:b/>
          <w:bCs/>
          <w:color w:val="auto"/>
          <w:sz w:val="24"/>
          <w:szCs w:val="24"/>
          <w:highlight w:val="none"/>
        </w:rPr>
        <w:t>废水污染物排放情况</w:t>
      </w:r>
    </w:p>
    <w:p w14:paraId="412C488C">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本项目废水产生与排放情况一览表</w:t>
      </w:r>
    </w:p>
    <w:tbl>
      <w:tblPr>
        <w:tblStyle w:val="20"/>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12"/>
        <w:gridCol w:w="1419"/>
        <w:gridCol w:w="1503"/>
        <w:gridCol w:w="1894"/>
        <w:gridCol w:w="1422"/>
        <w:gridCol w:w="1350"/>
        <w:gridCol w:w="1781"/>
        <w:gridCol w:w="2116"/>
        <w:gridCol w:w="1747"/>
        <w:gridCol w:w="1172"/>
      </w:tblGrid>
      <w:tr w14:paraId="4F5E08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restart"/>
            <w:tcBorders>
              <w:tl2br w:val="nil"/>
              <w:tr2bl w:val="nil"/>
            </w:tcBorders>
            <w:vAlign w:val="center"/>
          </w:tcPr>
          <w:p w14:paraId="6B569504">
            <w:pPr>
              <w:pStyle w:val="31"/>
              <w:rPr>
                <w:rFonts w:hint="eastAsia"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废水</w:t>
            </w:r>
            <w:r>
              <w:rPr>
                <w:rFonts w:hint="eastAsia" w:eastAsia="仿宋" w:cs="Times New Roman"/>
                <w:b/>
                <w:color w:val="auto"/>
                <w:sz w:val="21"/>
                <w:szCs w:val="21"/>
                <w:highlight w:val="none"/>
                <w:lang w:val="en-US" w:eastAsia="zh-CN"/>
              </w:rPr>
              <w:t>类型</w:t>
            </w:r>
          </w:p>
        </w:tc>
        <w:tc>
          <w:tcPr>
            <w:tcW w:w="454" w:type="pct"/>
            <w:vMerge w:val="restart"/>
            <w:tcBorders>
              <w:tl2br w:val="nil"/>
              <w:tr2bl w:val="nil"/>
            </w:tcBorders>
            <w:vAlign w:val="center"/>
          </w:tcPr>
          <w:p w14:paraId="69FBF78F">
            <w:pPr>
              <w:pStyle w:val="31"/>
              <w:rPr>
                <w:rFonts w:hint="eastAsia" w:ascii="Times New Roman" w:hAnsi="Times New Roman" w:eastAsia="仿宋" w:cs="Times New Roman"/>
                <w:b/>
                <w:color w:val="auto"/>
                <w:sz w:val="21"/>
                <w:szCs w:val="21"/>
                <w:highlight w:val="none"/>
                <w:lang w:eastAsia="zh-CN"/>
              </w:rPr>
            </w:pPr>
            <w:r>
              <w:rPr>
                <w:rFonts w:hint="eastAsia" w:eastAsia="仿宋" w:cs="Times New Roman"/>
                <w:b/>
                <w:color w:val="auto"/>
                <w:sz w:val="21"/>
                <w:szCs w:val="21"/>
                <w:highlight w:val="none"/>
                <w:lang w:val="en-US" w:eastAsia="zh-CN"/>
              </w:rPr>
              <w:t>废水产生量（t/a）</w:t>
            </w:r>
          </w:p>
        </w:tc>
        <w:tc>
          <w:tcPr>
            <w:tcW w:w="481" w:type="pct"/>
            <w:vMerge w:val="restart"/>
            <w:tcBorders>
              <w:tl2br w:val="nil"/>
              <w:tr2bl w:val="nil"/>
            </w:tcBorders>
            <w:vAlign w:val="center"/>
          </w:tcPr>
          <w:p w14:paraId="4236C42B">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污染因子</w:t>
            </w:r>
          </w:p>
        </w:tc>
        <w:tc>
          <w:tcPr>
            <w:tcW w:w="1061" w:type="pct"/>
            <w:gridSpan w:val="2"/>
            <w:tcBorders>
              <w:tl2br w:val="nil"/>
              <w:tr2bl w:val="nil"/>
            </w:tcBorders>
            <w:vAlign w:val="center"/>
          </w:tcPr>
          <w:p w14:paraId="6FF00506">
            <w:pPr>
              <w:pStyle w:val="31"/>
              <w:rPr>
                <w:rFonts w:hint="eastAsia"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污染物产生情况</w:t>
            </w:r>
          </w:p>
        </w:tc>
        <w:tc>
          <w:tcPr>
            <w:tcW w:w="432" w:type="pct"/>
            <w:vMerge w:val="restart"/>
            <w:tcBorders>
              <w:tl2br w:val="nil"/>
              <w:tr2bl w:val="nil"/>
            </w:tcBorders>
            <w:vAlign w:val="center"/>
          </w:tcPr>
          <w:p w14:paraId="38B1572C">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处理措施</w:t>
            </w:r>
          </w:p>
        </w:tc>
        <w:tc>
          <w:tcPr>
            <w:tcW w:w="570" w:type="pct"/>
            <w:vMerge w:val="restart"/>
            <w:tcBorders>
              <w:tl2br w:val="nil"/>
              <w:tr2bl w:val="nil"/>
            </w:tcBorders>
            <w:vAlign w:val="center"/>
          </w:tcPr>
          <w:p w14:paraId="2784EC13">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废水排放量（t/a）</w:t>
            </w:r>
          </w:p>
        </w:tc>
        <w:tc>
          <w:tcPr>
            <w:tcW w:w="1236" w:type="pct"/>
            <w:gridSpan w:val="2"/>
            <w:tcBorders>
              <w:tl2br w:val="nil"/>
              <w:tr2bl w:val="nil"/>
            </w:tcBorders>
            <w:vAlign w:val="center"/>
          </w:tcPr>
          <w:p w14:paraId="4361BE19">
            <w:pPr>
              <w:pStyle w:val="31"/>
              <w:rPr>
                <w:rFonts w:hint="default"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污染物排放情况</w:t>
            </w:r>
          </w:p>
        </w:tc>
        <w:tc>
          <w:tcPr>
            <w:tcW w:w="375" w:type="pct"/>
            <w:vMerge w:val="restart"/>
            <w:tcBorders>
              <w:tl2br w:val="nil"/>
              <w:tr2bl w:val="nil"/>
            </w:tcBorders>
            <w:vAlign w:val="center"/>
          </w:tcPr>
          <w:p w14:paraId="78410F62">
            <w:pPr>
              <w:pStyle w:val="31"/>
              <w:rPr>
                <w:rFonts w:hint="eastAsia"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排放</w:t>
            </w:r>
            <w:r>
              <w:rPr>
                <w:rFonts w:hint="eastAsia" w:eastAsia="仿宋" w:cs="Times New Roman"/>
                <w:b/>
                <w:color w:val="auto"/>
                <w:sz w:val="21"/>
                <w:szCs w:val="21"/>
                <w:highlight w:val="none"/>
                <w:lang w:val="en-US" w:eastAsia="zh-CN"/>
              </w:rPr>
              <w:t>去向</w:t>
            </w:r>
          </w:p>
        </w:tc>
      </w:tr>
      <w:tr w14:paraId="1B910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4944DC76">
            <w:pPr>
              <w:pStyle w:val="31"/>
              <w:rPr>
                <w:rFonts w:hint="default" w:ascii="Times New Roman" w:hAnsi="Times New Roman" w:eastAsia="仿宋" w:cs="Times New Roman"/>
                <w:color w:val="auto"/>
                <w:sz w:val="21"/>
                <w:szCs w:val="21"/>
                <w:highlight w:val="none"/>
              </w:rPr>
            </w:pPr>
          </w:p>
        </w:tc>
        <w:tc>
          <w:tcPr>
            <w:tcW w:w="454" w:type="pct"/>
            <w:vMerge w:val="continue"/>
            <w:tcBorders>
              <w:tl2br w:val="nil"/>
              <w:tr2bl w:val="nil"/>
            </w:tcBorders>
            <w:vAlign w:val="center"/>
          </w:tcPr>
          <w:p w14:paraId="2663CFAE">
            <w:pPr>
              <w:pStyle w:val="31"/>
              <w:rPr>
                <w:rFonts w:hint="default" w:ascii="Times New Roman" w:hAnsi="Times New Roman" w:eastAsia="仿宋" w:cs="Times New Roman"/>
                <w:color w:val="auto"/>
                <w:sz w:val="21"/>
                <w:szCs w:val="21"/>
                <w:highlight w:val="none"/>
              </w:rPr>
            </w:pPr>
          </w:p>
        </w:tc>
        <w:tc>
          <w:tcPr>
            <w:tcW w:w="481" w:type="pct"/>
            <w:vMerge w:val="continue"/>
            <w:tcBorders>
              <w:tl2br w:val="nil"/>
              <w:tr2bl w:val="nil"/>
            </w:tcBorders>
            <w:vAlign w:val="center"/>
          </w:tcPr>
          <w:p w14:paraId="349D735A">
            <w:pPr>
              <w:pStyle w:val="31"/>
              <w:rPr>
                <w:rFonts w:hint="default" w:ascii="Times New Roman" w:hAnsi="Times New Roman" w:eastAsia="仿宋" w:cs="Times New Roman"/>
                <w:color w:val="auto"/>
                <w:sz w:val="21"/>
                <w:szCs w:val="21"/>
                <w:highlight w:val="none"/>
              </w:rPr>
            </w:pPr>
          </w:p>
        </w:tc>
        <w:tc>
          <w:tcPr>
            <w:tcW w:w="606" w:type="pct"/>
            <w:tcBorders>
              <w:tl2br w:val="nil"/>
              <w:tr2bl w:val="nil"/>
            </w:tcBorders>
            <w:vAlign w:val="center"/>
          </w:tcPr>
          <w:p w14:paraId="278C6E99">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产生浓度（mg/L）</w:t>
            </w:r>
          </w:p>
        </w:tc>
        <w:tc>
          <w:tcPr>
            <w:tcW w:w="455" w:type="pct"/>
            <w:tcBorders>
              <w:tl2br w:val="nil"/>
              <w:tr2bl w:val="nil"/>
            </w:tcBorders>
            <w:vAlign w:val="center"/>
          </w:tcPr>
          <w:p w14:paraId="3B3C3717">
            <w:pPr>
              <w:pStyle w:val="31"/>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产生量（t/a）</w:t>
            </w:r>
          </w:p>
        </w:tc>
        <w:tc>
          <w:tcPr>
            <w:tcW w:w="432" w:type="pct"/>
            <w:vMerge w:val="continue"/>
            <w:tcBorders>
              <w:tl2br w:val="nil"/>
              <w:tr2bl w:val="nil"/>
            </w:tcBorders>
            <w:vAlign w:val="center"/>
          </w:tcPr>
          <w:p w14:paraId="113F11F3">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426149A1">
            <w:pPr>
              <w:pStyle w:val="31"/>
              <w:rPr>
                <w:rFonts w:hint="default" w:ascii="Times New Roman" w:hAnsi="Times New Roman" w:eastAsia="仿宋" w:cs="Times New Roman"/>
                <w:color w:val="auto"/>
                <w:sz w:val="21"/>
                <w:szCs w:val="21"/>
                <w:highlight w:val="none"/>
              </w:rPr>
            </w:pPr>
          </w:p>
        </w:tc>
        <w:tc>
          <w:tcPr>
            <w:tcW w:w="677" w:type="pct"/>
            <w:tcBorders>
              <w:tl2br w:val="nil"/>
              <w:tr2bl w:val="nil"/>
            </w:tcBorders>
            <w:vAlign w:val="center"/>
          </w:tcPr>
          <w:p w14:paraId="596B1908">
            <w:pPr>
              <w:pStyle w:val="31"/>
              <w:rPr>
                <w:rFonts w:hint="default" w:ascii="Times New Roman" w:hAnsi="Times New Roman" w:eastAsia="仿宋" w:cs="Times New Roman"/>
                <w:color w:val="auto"/>
                <w:sz w:val="21"/>
                <w:szCs w:val="21"/>
                <w:highlight w:val="none"/>
              </w:rPr>
            </w:pPr>
            <w:r>
              <w:rPr>
                <w:rFonts w:hint="eastAsia" w:eastAsia="仿宋" w:cs="Times New Roman"/>
                <w:b/>
                <w:color w:val="auto"/>
                <w:sz w:val="21"/>
                <w:szCs w:val="21"/>
                <w:highlight w:val="none"/>
                <w:lang w:val="en-US" w:eastAsia="zh-CN"/>
              </w:rPr>
              <w:t>排放浓度（mg/L）</w:t>
            </w:r>
          </w:p>
        </w:tc>
        <w:tc>
          <w:tcPr>
            <w:tcW w:w="559" w:type="pct"/>
            <w:tcBorders>
              <w:tl2br w:val="nil"/>
              <w:tr2bl w:val="nil"/>
            </w:tcBorders>
            <w:vAlign w:val="center"/>
          </w:tcPr>
          <w:p w14:paraId="4F8F00B6">
            <w:pPr>
              <w:pStyle w:val="31"/>
              <w:rPr>
                <w:rFonts w:hint="default" w:ascii="Times New Roman" w:hAnsi="Times New Roman" w:eastAsia="仿宋" w:cs="Times New Roman"/>
                <w:color w:val="auto"/>
                <w:sz w:val="21"/>
                <w:szCs w:val="21"/>
                <w:highlight w:val="none"/>
              </w:rPr>
            </w:pPr>
            <w:r>
              <w:rPr>
                <w:rFonts w:hint="eastAsia" w:eastAsia="仿宋" w:cs="Times New Roman"/>
                <w:b/>
                <w:color w:val="auto"/>
                <w:sz w:val="21"/>
                <w:szCs w:val="21"/>
                <w:highlight w:val="none"/>
                <w:lang w:val="en-US" w:eastAsia="zh-CN"/>
              </w:rPr>
              <w:t>排放量（t/a）</w:t>
            </w:r>
          </w:p>
        </w:tc>
        <w:tc>
          <w:tcPr>
            <w:tcW w:w="375" w:type="pct"/>
            <w:vMerge w:val="continue"/>
            <w:tcBorders>
              <w:tl2br w:val="nil"/>
              <w:tr2bl w:val="nil"/>
            </w:tcBorders>
            <w:vAlign w:val="center"/>
          </w:tcPr>
          <w:p w14:paraId="7583D7D1">
            <w:pPr>
              <w:pStyle w:val="31"/>
              <w:rPr>
                <w:rFonts w:hint="default" w:ascii="Times New Roman" w:hAnsi="Times New Roman" w:eastAsia="仿宋" w:cs="Times New Roman"/>
                <w:color w:val="auto"/>
                <w:sz w:val="21"/>
                <w:szCs w:val="21"/>
                <w:highlight w:val="none"/>
              </w:rPr>
            </w:pPr>
          </w:p>
        </w:tc>
      </w:tr>
      <w:tr w14:paraId="62056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8" w:type="pct"/>
            <w:vMerge w:val="restart"/>
            <w:tcBorders>
              <w:tl2br w:val="nil"/>
              <w:tr2bl w:val="nil"/>
            </w:tcBorders>
            <w:vAlign w:val="center"/>
          </w:tcPr>
          <w:p w14:paraId="18E6C439">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生产废水</w:t>
            </w:r>
          </w:p>
        </w:tc>
        <w:tc>
          <w:tcPr>
            <w:tcW w:w="454" w:type="pct"/>
            <w:vMerge w:val="restart"/>
            <w:tcBorders>
              <w:tl2br w:val="nil"/>
              <w:tr2bl w:val="nil"/>
            </w:tcBorders>
            <w:vAlign w:val="center"/>
          </w:tcPr>
          <w:p w14:paraId="2A040729">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11255.736</w:t>
            </w:r>
          </w:p>
        </w:tc>
        <w:tc>
          <w:tcPr>
            <w:tcW w:w="481" w:type="pct"/>
            <w:tcBorders>
              <w:tl2br w:val="nil"/>
              <w:tr2bl w:val="nil"/>
            </w:tcBorders>
            <w:vAlign w:val="center"/>
          </w:tcPr>
          <w:p w14:paraId="644A3294">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w:t>
            </w:r>
          </w:p>
        </w:tc>
        <w:tc>
          <w:tcPr>
            <w:tcW w:w="1061" w:type="pct"/>
            <w:gridSpan w:val="2"/>
            <w:tcBorders>
              <w:tl2br w:val="nil"/>
              <w:tr2bl w:val="nil"/>
            </w:tcBorders>
            <w:vAlign w:val="center"/>
          </w:tcPr>
          <w:p w14:paraId="085D7D42">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3-10</w:t>
            </w:r>
          </w:p>
        </w:tc>
        <w:tc>
          <w:tcPr>
            <w:tcW w:w="432" w:type="pct"/>
            <w:vMerge w:val="restart"/>
            <w:tcBorders>
              <w:tl2br w:val="nil"/>
              <w:tr2bl w:val="nil"/>
            </w:tcBorders>
            <w:vAlign w:val="center"/>
          </w:tcPr>
          <w:p w14:paraId="34125342">
            <w:pPr>
              <w:pStyle w:val="31"/>
              <w:rPr>
                <w:rFonts w:hint="default" w:ascii="Times New Roman" w:hAnsi="Times New Roman" w:eastAsia="仿宋" w:cs="Times New Roman"/>
                <w:color w:val="auto"/>
                <w:sz w:val="21"/>
                <w:szCs w:val="21"/>
                <w:highlight w:val="none"/>
              </w:rPr>
            </w:pPr>
            <w:r>
              <w:rPr>
                <w:rFonts w:hint="eastAsia" w:eastAsia="仿宋" w:cs="Times New Roman"/>
                <w:color w:val="auto"/>
                <w:kern w:val="0"/>
                <w:sz w:val="21"/>
                <w:szCs w:val="21"/>
                <w:highlight w:val="none"/>
                <w:lang w:val="en-US" w:eastAsia="zh-CN"/>
              </w:rPr>
              <w:t>（TW001）+（TW002）+（TW003）</w:t>
            </w:r>
          </w:p>
        </w:tc>
        <w:tc>
          <w:tcPr>
            <w:tcW w:w="570" w:type="pct"/>
            <w:vMerge w:val="restart"/>
            <w:tcBorders>
              <w:tl2br w:val="nil"/>
              <w:tr2bl w:val="nil"/>
            </w:tcBorders>
            <w:shd w:val="clear" w:color="auto" w:fill="auto"/>
            <w:vAlign w:val="center"/>
          </w:tcPr>
          <w:p w14:paraId="68597B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11232.786</w:t>
            </w:r>
          </w:p>
        </w:tc>
        <w:tc>
          <w:tcPr>
            <w:tcW w:w="1236" w:type="pct"/>
            <w:gridSpan w:val="2"/>
            <w:tcBorders>
              <w:tl2br w:val="nil"/>
              <w:tr2bl w:val="nil"/>
            </w:tcBorders>
            <w:vAlign w:val="center"/>
          </w:tcPr>
          <w:p w14:paraId="78BBECB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6-9</w:t>
            </w:r>
          </w:p>
        </w:tc>
        <w:tc>
          <w:tcPr>
            <w:tcW w:w="375" w:type="pct"/>
            <w:vMerge w:val="continue"/>
            <w:tcBorders>
              <w:tl2br w:val="nil"/>
              <w:tr2bl w:val="nil"/>
            </w:tcBorders>
            <w:vAlign w:val="center"/>
          </w:tcPr>
          <w:p w14:paraId="0AE9675A">
            <w:pPr>
              <w:pStyle w:val="31"/>
              <w:jc w:val="left"/>
              <w:rPr>
                <w:rFonts w:hint="default" w:ascii="Times New Roman" w:hAnsi="Times New Roman" w:eastAsia="仿宋" w:cs="Times New Roman"/>
                <w:color w:val="auto"/>
                <w:sz w:val="21"/>
                <w:szCs w:val="21"/>
                <w:highlight w:val="none"/>
              </w:rPr>
            </w:pPr>
          </w:p>
        </w:tc>
      </w:tr>
      <w:tr w14:paraId="37333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1ADFFF98">
            <w:pPr>
              <w:pStyle w:val="31"/>
              <w:rPr>
                <w:rFonts w:hint="eastAsia" w:eastAsia="仿宋" w:cs="Times New Roman"/>
                <w:color w:val="auto"/>
                <w:sz w:val="21"/>
                <w:szCs w:val="21"/>
                <w:highlight w:val="none"/>
                <w:lang w:val="en-US" w:eastAsia="zh-CN"/>
              </w:rPr>
            </w:pPr>
          </w:p>
        </w:tc>
        <w:tc>
          <w:tcPr>
            <w:tcW w:w="454" w:type="pct"/>
            <w:vMerge w:val="continue"/>
            <w:tcBorders>
              <w:tl2br w:val="nil"/>
              <w:tr2bl w:val="nil"/>
            </w:tcBorders>
            <w:vAlign w:val="center"/>
          </w:tcPr>
          <w:p w14:paraId="74929A82">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7CA177D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894" w:type="dxa"/>
            <w:tcBorders>
              <w:tl2br w:val="nil"/>
              <w:tr2bl w:val="nil"/>
            </w:tcBorders>
            <w:vAlign w:val="center"/>
          </w:tcPr>
          <w:p w14:paraId="4D8F8D4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475.3</w:t>
            </w:r>
          </w:p>
        </w:tc>
        <w:tc>
          <w:tcPr>
            <w:tcW w:w="1422" w:type="dxa"/>
            <w:tcBorders>
              <w:tl2br w:val="nil"/>
              <w:tr2bl w:val="nil"/>
            </w:tcBorders>
            <w:vAlign w:val="center"/>
          </w:tcPr>
          <w:p w14:paraId="7BAA8F9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5.3499</w:t>
            </w:r>
          </w:p>
        </w:tc>
        <w:tc>
          <w:tcPr>
            <w:tcW w:w="432" w:type="pct"/>
            <w:vMerge w:val="continue"/>
            <w:tcBorders>
              <w:tl2br w:val="nil"/>
              <w:tr2bl w:val="nil"/>
            </w:tcBorders>
            <w:vAlign w:val="center"/>
          </w:tcPr>
          <w:p w14:paraId="7A6B73B4">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09213AC4">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137A8F4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95.39</w:t>
            </w:r>
          </w:p>
        </w:tc>
        <w:tc>
          <w:tcPr>
            <w:tcW w:w="1747" w:type="dxa"/>
            <w:tcBorders>
              <w:tl2br w:val="nil"/>
              <w:tr2bl w:val="nil"/>
            </w:tcBorders>
            <w:vAlign w:val="center"/>
          </w:tcPr>
          <w:p w14:paraId="6E790E1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1.0715</w:t>
            </w:r>
          </w:p>
        </w:tc>
        <w:tc>
          <w:tcPr>
            <w:tcW w:w="375" w:type="pct"/>
            <w:vMerge w:val="continue"/>
            <w:tcBorders>
              <w:tl2br w:val="nil"/>
              <w:tr2bl w:val="nil"/>
            </w:tcBorders>
            <w:vAlign w:val="center"/>
          </w:tcPr>
          <w:p w14:paraId="1DF3B99E">
            <w:pPr>
              <w:pStyle w:val="31"/>
              <w:jc w:val="left"/>
              <w:rPr>
                <w:rFonts w:hint="default" w:ascii="Times New Roman" w:hAnsi="Times New Roman" w:eastAsia="仿宋" w:cs="Times New Roman"/>
                <w:color w:val="auto"/>
                <w:sz w:val="21"/>
                <w:szCs w:val="21"/>
                <w:highlight w:val="none"/>
              </w:rPr>
            </w:pPr>
          </w:p>
        </w:tc>
      </w:tr>
      <w:tr w14:paraId="74C5C4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21DEEAC0">
            <w:pPr>
              <w:pStyle w:val="31"/>
              <w:rPr>
                <w:rFonts w:hint="eastAsia" w:eastAsia="仿宋" w:cs="Times New Roman"/>
                <w:color w:val="auto"/>
                <w:sz w:val="21"/>
                <w:szCs w:val="21"/>
                <w:highlight w:val="none"/>
                <w:lang w:val="en-US" w:eastAsia="zh-CN"/>
              </w:rPr>
            </w:pPr>
          </w:p>
        </w:tc>
        <w:tc>
          <w:tcPr>
            <w:tcW w:w="454" w:type="pct"/>
            <w:vMerge w:val="continue"/>
            <w:tcBorders>
              <w:tl2br w:val="nil"/>
              <w:tr2bl w:val="nil"/>
            </w:tcBorders>
            <w:vAlign w:val="center"/>
          </w:tcPr>
          <w:p w14:paraId="74CE0F04">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2D5FF34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894" w:type="dxa"/>
            <w:tcBorders>
              <w:tl2br w:val="nil"/>
              <w:tr2bl w:val="nil"/>
            </w:tcBorders>
            <w:vAlign w:val="center"/>
          </w:tcPr>
          <w:p w14:paraId="1638434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317.82</w:t>
            </w:r>
          </w:p>
        </w:tc>
        <w:tc>
          <w:tcPr>
            <w:tcW w:w="1422" w:type="dxa"/>
            <w:tcBorders>
              <w:tl2br w:val="nil"/>
              <w:tr2bl w:val="nil"/>
            </w:tcBorders>
            <w:vAlign w:val="center"/>
          </w:tcPr>
          <w:p w14:paraId="3EE3E7E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3.5773</w:t>
            </w:r>
          </w:p>
        </w:tc>
        <w:tc>
          <w:tcPr>
            <w:tcW w:w="432" w:type="pct"/>
            <w:vMerge w:val="continue"/>
            <w:tcBorders>
              <w:tl2br w:val="nil"/>
              <w:tr2bl w:val="nil"/>
            </w:tcBorders>
            <w:vAlign w:val="center"/>
          </w:tcPr>
          <w:p w14:paraId="3D3A3AA3">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07A21A9C">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3A4B3E8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100.27</w:t>
            </w:r>
          </w:p>
        </w:tc>
        <w:tc>
          <w:tcPr>
            <w:tcW w:w="1747" w:type="dxa"/>
            <w:tcBorders>
              <w:tl2br w:val="nil"/>
              <w:tr2bl w:val="nil"/>
            </w:tcBorders>
            <w:vAlign w:val="center"/>
          </w:tcPr>
          <w:p w14:paraId="34E3A84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1.1263</w:t>
            </w:r>
          </w:p>
        </w:tc>
        <w:tc>
          <w:tcPr>
            <w:tcW w:w="375" w:type="pct"/>
            <w:vMerge w:val="continue"/>
            <w:tcBorders>
              <w:tl2br w:val="nil"/>
              <w:tr2bl w:val="nil"/>
            </w:tcBorders>
            <w:vAlign w:val="center"/>
          </w:tcPr>
          <w:p w14:paraId="10C09662">
            <w:pPr>
              <w:pStyle w:val="31"/>
              <w:jc w:val="left"/>
              <w:rPr>
                <w:rFonts w:hint="default" w:ascii="Times New Roman" w:hAnsi="Times New Roman" w:eastAsia="仿宋" w:cs="Times New Roman"/>
                <w:color w:val="auto"/>
                <w:sz w:val="21"/>
                <w:szCs w:val="21"/>
                <w:highlight w:val="none"/>
              </w:rPr>
            </w:pPr>
          </w:p>
        </w:tc>
      </w:tr>
      <w:tr w14:paraId="34DC06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38B50EC1">
            <w:pPr>
              <w:pStyle w:val="31"/>
              <w:rPr>
                <w:rFonts w:hint="eastAsia" w:eastAsia="仿宋" w:cs="Times New Roman"/>
                <w:color w:val="auto"/>
                <w:sz w:val="21"/>
                <w:szCs w:val="21"/>
                <w:highlight w:val="none"/>
                <w:lang w:val="en-US" w:eastAsia="zh-CN"/>
              </w:rPr>
            </w:pPr>
          </w:p>
        </w:tc>
        <w:tc>
          <w:tcPr>
            <w:tcW w:w="454" w:type="pct"/>
            <w:vMerge w:val="continue"/>
            <w:tcBorders>
              <w:tl2br w:val="nil"/>
              <w:tr2bl w:val="nil"/>
            </w:tcBorders>
            <w:vAlign w:val="center"/>
          </w:tcPr>
          <w:p w14:paraId="589FD419">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2A3B736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ascii="仿宋" w:hAnsi="仿宋" w:eastAsia="仿宋" w:cs="仿宋"/>
                <w:i w:val="0"/>
                <w:iCs w:val="0"/>
                <w:color w:val="auto"/>
                <w:kern w:val="0"/>
                <w:sz w:val="21"/>
                <w:szCs w:val="21"/>
                <w:u w:val="none"/>
                <w:lang w:val="en-US" w:eastAsia="zh-CN" w:bidi="ar"/>
              </w:rPr>
              <w:t>氨氮</w:t>
            </w:r>
          </w:p>
        </w:tc>
        <w:tc>
          <w:tcPr>
            <w:tcW w:w="1894" w:type="dxa"/>
            <w:tcBorders>
              <w:tl2br w:val="nil"/>
              <w:tr2bl w:val="nil"/>
            </w:tcBorders>
            <w:vAlign w:val="center"/>
          </w:tcPr>
          <w:p w14:paraId="41CDCD6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1422" w:type="dxa"/>
            <w:tcBorders>
              <w:tl2br w:val="nil"/>
              <w:tr2bl w:val="nil"/>
            </w:tcBorders>
            <w:vAlign w:val="center"/>
          </w:tcPr>
          <w:p w14:paraId="67E7E53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432" w:type="pct"/>
            <w:vMerge w:val="continue"/>
            <w:tcBorders>
              <w:tl2br w:val="nil"/>
              <w:tr2bl w:val="nil"/>
            </w:tcBorders>
            <w:vAlign w:val="center"/>
          </w:tcPr>
          <w:p w14:paraId="16563FDF">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46CADCF3">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6CFE185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1747" w:type="dxa"/>
            <w:tcBorders>
              <w:tl2br w:val="nil"/>
              <w:tr2bl w:val="nil"/>
            </w:tcBorders>
            <w:vAlign w:val="center"/>
          </w:tcPr>
          <w:p w14:paraId="6205624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375" w:type="pct"/>
            <w:vMerge w:val="continue"/>
            <w:tcBorders>
              <w:tl2br w:val="nil"/>
              <w:tr2bl w:val="nil"/>
            </w:tcBorders>
            <w:vAlign w:val="center"/>
          </w:tcPr>
          <w:p w14:paraId="37A79248">
            <w:pPr>
              <w:pStyle w:val="31"/>
              <w:jc w:val="left"/>
              <w:rPr>
                <w:rFonts w:hint="default" w:ascii="Times New Roman" w:hAnsi="Times New Roman" w:eastAsia="仿宋" w:cs="Times New Roman"/>
                <w:color w:val="auto"/>
                <w:sz w:val="21"/>
                <w:szCs w:val="21"/>
                <w:highlight w:val="none"/>
              </w:rPr>
            </w:pPr>
          </w:p>
        </w:tc>
      </w:tr>
      <w:tr w14:paraId="2F78ED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53915BD7">
            <w:pPr>
              <w:pStyle w:val="31"/>
              <w:rPr>
                <w:rFonts w:hint="default" w:ascii="Times New Roman" w:hAnsi="Times New Roman" w:eastAsia="仿宋" w:cs="Times New Roman"/>
                <w:color w:val="auto"/>
                <w:sz w:val="21"/>
                <w:szCs w:val="21"/>
                <w:highlight w:val="none"/>
              </w:rPr>
            </w:pPr>
          </w:p>
        </w:tc>
        <w:tc>
          <w:tcPr>
            <w:tcW w:w="454" w:type="pct"/>
            <w:vMerge w:val="continue"/>
            <w:tcBorders>
              <w:tl2br w:val="nil"/>
              <w:tr2bl w:val="nil"/>
            </w:tcBorders>
            <w:vAlign w:val="center"/>
          </w:tcPr>
          <w:p w14:paraId="796BF0E2">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090FF49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894" w:type="dxa"/>
            <w:tcBorders>
              <w:tl2br w:val="nil"/>
              <w:tr2bl w:val="nil"/>
            </w:tcBorders>
            <w:vAlign w:val="center"/>
          </w:tcPr>
          <w:p w14:paraId="1750664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w:t>
            </w:r>
          </w:p>
        </w:tc>
        <w:tc>
          <w:tcPr>
            <w:tcW w:w="1422" w:type="dxa"/>
            <w:tcBorders>
              <w:tl2br w:val="nil"/>
              <w:tr2bl w:val="nil"/>
            </w:tcBorders>
            <w:vAlign w:val="center"/>
          </w:tcPr>
          <w:p w14:paraId="07C629F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0.01016</w:t>
            </w:r>
          </w:p>
        </w:tc>
        <w:tc>
          <w:tcPr>
            <w:tcW w:w="432" w:type="pct"/>
            <w:vMerge w:val="continue"/>
            <w:tcBorders>
              <w:tl2br w:val="nil"/>
              <w:tr2bl w:val="nil"/>
            </w:tcBorders>
            <w:vAlign w:val="center"/>
          </w:tcPr>
          <w:p w14:paraId="40776E31">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69CCE82C">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7E2EC44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1747" w:type="dxa"/>
            <w:tcBorders>
              <w:tl2br w:val="nil"/>
              <w:tr2bl w:val="nil"/>
            </w:tcBorders>
            <w:vAlign w:val="center"/>
          </w:tcPr>
          <w:p w14:paraId="33DB9A2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375" w:type="pct"/>
            <w:vMerge w:val="continue"/>
            <w:tcBorders>
              <w:tl2br w:val="nil"/>
              <w:tr2bl w:val="nil"/>
            </w:tcBorders>
            <w:vAlign w:val="center"/>
          </w:tcPr>
          <w:p w14:paraId="04FFB604">
            <w:pPr>
              <w:pStyle w:val="31"/>
              <w:jc w:val="left"/>
              <w:rPr>
                <w:rFonts w:hint="default" w:ascii="Times New Roman" w:hAnsi="Times New Roman" w:eastAsia="仿宋" w:cs="Times New Roman"/>
                <w:color w:val="auto"/>
                <w:sz w:val="21"/>
                <w:szCs w:val="21"/>
                <w:highlight w:val="none"/>
              </w:rPr>
            </w:pPr>
          </w:p>
        </w:tc>
      </w:tr>
      <w:tr w14:paraId="7A314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22D1AAA0">
            <w:pPr>
              <w:pStyle w:val="31"/>
              <w:rPr>
                <w:rFonts w:hint="default" w:ascii="Times New Roman" w:hAnsi="Times New Roman" w:eastAsia="仿宋" w:cs="Times New Roman"/>
                <w:color w:val="auto"/>
                <w:sz w:val="21"/>
                <w:szCs w:val="21"/>
                <w:highlight w:val="none"/>
              </w:rPr>
            </w:pPr>
          </w:p>
        </w:tc>
        <w:tc>
          <w:tcPr>
            <w:tcW w:w="454" w:type="pct"/>
            <w:vMerge w:val="continue"/>
            <w:tcBorders>
              <w:tl2br w:val="nil"/>
              <w:tr2bl w:val="nil"/>
            </w:tcBorders>
            <w:vAlign w:val="center"/>
          </w:tcPr>
          <w:p w14:paraId="15000792">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521DF00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894" w:type="dxa"/>
            <w:tcBorders>
              <w:tl2br w:val="nil"/>
              <w:tr2bl w:val="nil"/>
            </w:tcBorders>
            <w:vAlign w:val="center"/>
          </w:tcPr>
          <w:p w14:paraId="390DC14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422" w:type="dxa"/>
            <w:tcBorders>
              <w:tl2br w:val="nil"/>
              <w:tr2bl w:val="nil"/>
            </w:tcBorders>
            <w:vAlign w:val="center"/>
          </w:tcPr>
          <w:p w14:paraId="76DD7A9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0.000475</w:t>
            </w:r>
          </w:p>
        </w:tc>
        <w:tc>
          <w:tcPr>
            <w:tcW w:w="432" w:type="pct"/>
            <w:vMerge w:val="continue"/>
            <w:tcBorders>
              <w:tl2br w:val="nil"/>
              <w:tr2bl w:val="nil"/>
            </w:tcBorders>
            <w:vAlign w:val="center"/>
          </w:tcPr>
          <w:p w14:paraId="42069A4F">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1BC66F1F">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11421D1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747" w:type="dxa"/>
            <w:tcBorders>
              <w:tl2br w:val="nil"/>
              <w:tr2bl w:val="nil"/>
            </w:tcBorders>
            <w:vAlign w:val="center"/>
          </w:tcPr>
          <w:p w14:paraId="024DEA2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0.00021</w:t>
            </w:r>
          </w:p>
        </w:tc>
        <w:tc>
          <w:tcPr>
            <w:tcW w:w="375" w:type="pct"/>
            <w:vMerge w:val="continue"/>
            <w:tcBorders>
              <w:tl2br w:val="nil"/>
              <w:tr2bl w:val="nil"/>
            </w:tcBorders>
            <w:vAlign w:val="center"/>
          </w:tcPr>
          <w:p w14:paraId="638E5F91">
            <w:pPr>
              <w:pStyle w:val="31"/>
              <w:jc w:val="left"/>
              <w:rPr>
                <w:rFonts w:hint="default" w:ascii="Times New Roman" w:hAnsi="Times New Roman" w:eastAsia="仿宋" w:cs="Times New Roman"/>
                <w:color w:val="auto"/>
                <w:sz w:val="21"/>
                <w:szCs w:val="21"/>
                <w:highlight w:val="none"/>
              </w:rPr>
            </w:pPr>
          </w:p>
        </w:tc>
      </w:tr>
      <w:tr w14:paraId="10B1CD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69088049">
            <w:pPr>
              <w:pStyle w:val="31"/>
              <w:rPr>
                <w:rFonts w:hint="default" w:ascii="Times New Roman" w:hAnsi="Times New Roman" w:eastAsia="仿宋" w:cs="Times New Roman"/>
                <w:color w:val="auto"/>
                <w:sz w:val="21"/>
                <w:szCs w:val="21"/>
                <w:highlight w:val="none"/>
              </w:rPr>
            </w:pPr>
          </w:p>
        </w:tc>
        <w:tc>
          <w:tcPr>
            <w:tcW w:w="454" w:type="pct"/>
            <w:vMerge w:val="continue"/>
            <w:tcBorders>
              <w:tl2br w:val="nil"/>
              <w:tr2bl w:val="nil"/>
            </w:tcBorders>
            <w:vAlign w:val="center"/>
          </w:tcPr>
          <w:p w14:paraId="18DB9253">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38C9EDF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894" w:type="dxa"/>
            <w:tcBorders>
              <w:tl2br w:val="nil"/>
              <w:tr2bl w:val="nil"/>
            </w:tcBorders>
            <w:vAlign w:val="center"/>
          </w:tcPr>
          <w:p w14:paraId="389260B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422" w:type="dxa"/>
            <w:tcBorders>
              <w:tl2br w:val="nil"/>
              <w:tr2bl w:val="nil"/>
            </w:tcBorders>
            <w:vAlign w:val="center"/>
          </w:tcPr>
          <w:p w14:paraId="6E17DF8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0.1407</w:t>
            </w:r>
          </w:p>
        </w:tc>
        <w:tc>
          <w:tcPr>
            <w:tcW w:w="432" w:type="pct"/>
            <w:vMerge w:val="continue"/>
            <w:tcBorders>
              <w:tl2br w:val="nil"/>
              <w:tr2bl w:val="nil"/>
            </w:tcBorders>
            <w:vAlign w:val="center"/>
          </w:tcPr>
          <w:p w14:paraId="25BC8C67">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7D557B30">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01143BF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7.66</w:t>
            </w:r>
          </w:p>
        </w:tc>
        <w:tc>
          <w:tcPr>
            <w:tcW w:w="1747" w:type="dxa"/>
            <w:tcBorders>
              <w:tl2br w:val="nil"/>
              <w:tr2bl w:val="nil"/>
            </w:tcBorders>
            <w:vAlign w:val="center"/>
          </w:tcPr>
          <w:p w14:paraId="1DCD0E1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0.086</w:t>
            </w:r>
          </w:p>
        </w:tc>
        <w:tc>
          <w:tcPr>
            <w:tcW w:w="375" w:type="pct"/>
            <w:vMerge w:val="continue"/>
            <w:tcBorders>
              <w:tl2br w:val="nil"/>
              <w:tr2bl w:val="nil"/>
            </w:tcBorders>
            <w:vAlign w:val="center"/>
          </w:tcPr>
          <w:p w14:paraId="69D20967">
            <w:pPr>
              <w:pStyle w:val="31"/>
              <w:jc w:val="left"/>
              <w:rPr>
                <w:rFonts w:hint="default" w:ascii="Times New Roman" w:hAnsi="Times New Roman" w:eastAsia="仿宋" w:cs="Times New Roman"/>
                <w:color w:val="auto"/>
                <w:sz w:val="21"/>
                <w:szCs w:val="21"/>
                <w:highlight w:val="none"/>
              </w:rPr>
            </w:pPr>
          </w:p>
        </w:tc>
      </w:tr>
      <w:tr w14:paraId="3876ED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6AC3F7B8">
            <w:pPr>
              <w:pStyle w:val="31"/>
              <w:rPr>
                <w:rFonts w:hint="default" w:ascii="Times New Roman" w:hAnsi="Times New Roman" w:eastAsia="仿宋" w:cs="Times New Roman"/>
                <w:color w:val="auto"/>
                <w:sz w:val="21"/>
                <w:szCs w:val="21"/>
                <w:highlight w:val="none"/>
              </w:rPr>
            </w:pPr>
          </w:p>
        </w:tc>
        <w:tc>
          <w:tcPr>
            <w:tcW w:w="454" w:type="pct"/>
            <w:vMerge w:val="continue"/>
            <w:tcBorders>
              <w:tl2br w:val="nil"/>
              <w:tr2bl w:val="nil"/>
            </w:tcBorders>
            <w:vAlign w:val="center"/>
          </w:tcPr>
          <w:p w14:paraId="26330184">
            <w:pPr>
              <w:pStyle w:val="31"/>
              <w:rPr>
                <w:rFonts w:hint="default" w:ascii="Times New Roman" w:hAnsi="Times New Roman" w:eastAsia="仿宋" w:cs="Times New Roman"/>
                <w:color w:val="auto"/>
                <w:sz w:val="21"/>
                <w:szCs w:val="21"/>
                <w:highlight w:val="none"/>
              </w:rPr>
            </w:pPr>
          </w:p>
        </w:tc>
        <w:tc>
          <w:tcPr>
            <w:tcW w:w="481" w:type="pct"/>
            <w:tcBorders>
              <w:tl2br w:val="nil"/>
              <w:tr2bl w:val="nil"/>
            </w:tcBorders>
            <w:vAlign w:val="center"/>
          </w:tcPr>
          <w:p w14:paraId="7D5558B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ascii="仿宋" w:hAnsi="仿宋" w:eastAsia="仿宋" w:cs="仿宋"/>
                <w:i w:val="0"/>
                <w:iCs w:val="0"/>
                <w:color w:val="auto"/>
                <w:kern w:val="0"/>
                <w:sz w:val="21"/>
                <w:szCs w:val="21"/>
                <w:u w:val="none"/>
                <w:lang w:val="en-US" w:eastAsia="zh-CN" w:bidi="ar"/>
              </w:rPr>
              <w:t>石油类</w:t>
            </w:r>
          </w:p>
        </w:tc>
        <w:tc>
          <w:tcPr>
            <w:tcW w:w="1894" w:type="dxa"/>
            <w:tcBorders>
              <w:tl2br w:val="nil"/>
              <w:tr2bl w:val="nil"/>
            </w:tcBorders>
            <w:vAlign w:val="center"/>
          </w:tcPr>
          <w:p w14:paraId="3E17985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24.97</w:t>
            </w:r>
          </w:p>
        </w:tc>
        <w:tc>
          <w:tcPr>
            <w:tcW w:w="1422" w:type="dxa"/>
            <w:tcBorders>
              <w:tl2br w:val="nil"/>
              <w:tr2bl w:val="nil"/>
            </w:tcBorders>
            <w:vAlign w:val="center"/>
          </w:tcPr>
          <w:p w14:paraId="2F20097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0.281</w:t>
            </w:r>
          </w:p>
        </w:tc>
        <w:tc>
          <w:tcPr>
            <w:tcW w:w="432" w:type="pct"/>
            <w:vMerge w:val="continue"/>
            <w:tcBorders>
              <w:tl2br w:val="nil"/>
              <w:tr2bl w:val="nil"/>
            </w:tcBorders>
            <w:vAlign w:val="center"/>
          </w:tcPr>
          <w:p w14:paraId="2385229F">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313A1B4B">
            <w:pPr>
              <w:pStyle w:val="31"/>
              <w:rPr>
                <w:rFonts w:hint="default" w:ascii="Times New Roman" w:hAnsi="Times New Roman" w:eastAsia="仿宋" w:cs="Times New Roman"/>
                <w:color w:val="auto"/>
                <w:sz w:val="21"/>
                <w:szCs w:val="21"/>
                <w:highlight w:val="none"/>
              </w:rPr>
            </w:pPr>
          </w:p>
        </w:tc>
        <w:tc>
          <w:tcPr>
            <w:tcW w:w="2116" w:type="dxa"/>
            <w:tcBorders>
              <w:tl2br w:val="nil"/>
              <w:tr2bl w:val="nil"/>
            </w:tcBorders>
            <w:vAlign w:val="center"/>
          </w:tcPr>
          <w:p w14:paraId="546102B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8.89</w:t>
            </w:r>
          </w:p>
        </w:tc>
        <w:tc>
          <w:tcPr>
            <w:tcW w:w="1747" w:type="dxa"/>
            <w:tcBorders>
              <w:tl2br w:val="nil"/>
              <w:tr2bl w:val="nil"/>
            </w:tcBorders>
            <w:vAlign w:val="center"/>
          </w:tcPr>
          <w:p w14:paraId="38DA8C8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0.0999</w:t>
            </w:r>
          </w:p>
        </w:tc>
        <w:tc>
          <w:tcPr>
            <w:tcW w:w="375" w:type="pct"/>
            <w:vMerge w:val="continue"/>
            <w:tcBorders>
              <w:tl2br w:val="nil"/>
              <w:tr2bl w:val="nil"/>
            </w:tcBorders>
            <w:vAlign w:val="center"/>
          </w:tcPr>
          <w:p w14:paraId="1B1855BC">
            <w:pPr>
              <w:pStyle w:val="31"/>
              <w:jc w:val="left"/>
              <w:rPr>
                <w:rFonts w:hint="default" w:ascii="Times New Roman" w:hAnsi="Times New Roman" w:eastAsia="仿宋" w:cs="Times New Roman"/>
                <w:color w:val="auto"/>
                <w:sz w:val="21"/>
                <w:szCs w:val="21"/>
                <w:highlight w:val="none"/>
              </w:rPr>
            </w:pPr>
          </w:p>
        </w:tc>
      </w:tr>
      <w:tr w14:paraId="1F5D95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restart"/>
            <w:tcBorders>
              <w:tl2br w:val="nil"/>
              <w:tr2bl w:val="nil"/>
            </w:tcBorders>
            <w:vAlign w:val="center"/>
          </w:tcPr>
          <w:p w14:paraId="5BBF9127">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纯水制备浓水</w:t>
            </w:r>
          </w:p>
        </w:tc>
        <w:tc>
          <w:tcPr>
            <w:tcW w:w="454" w:type="pct"/>
            <w:vMerge w:val="restart"/>
            <w:tcBorders>
              <w:tl2br w:val="nil"/>
              <w:tr2bl w:val="nil"/>
            </w:tcBorders>
            <w:vAlign w:val="center"/>
          </w:tcPr>
          <w:p w14:paraId="1A036DA6">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5532.45</w:t>
            </w:r>
          </w:p>
        </w:tc>
        <w:tc>
          <w:tcPr>
            <w:tcW w:w="481" w:type="pct"/>
            <w:tcBorders>
              <w:tl2br w:val="nil"/>
              <w:tr2bl w:val="nil"/>
            </w:tcBorders>
            <w:shd w:val="clear" w:color="auto" w:fill="auto"/>
            <w:vAlign w:val="center"/>
          </w:tcPr>
          <w:p w14:paraId="221B5D68">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w:t>
            </w:r>
          </w:p>
        </w:tc>
        <w:tc>
          <w:tcPr>
            <w:tcW w:w="1061" w:type="pct"/>
            <w:gridSpan w:val="2"/>
            <w:tcBorders>
              <w:tl2br w:val="nil"/>
              <w:tr2bl w:val="nil"/>
            </w:tcBorders>
            <w:vAlign w:val="center"/>
          </w:tcPr>
          <w:p w14:paraId="04CCEB2A">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6-9</w:t>
            </w:r>
          </w:p>
        </w:tc>
        <w:tc>
          <w:tcPr>
            <w:tcW w:w="432" w:type="pct"/>
            <w:vMerge w:val="restart"/>
            <w:tcBorders>
              <w:tl2br w:val="nil"/>
              <w:tr2bl w:val="nil"/>
            </w:tcBorders>
            <w:vAlign w:val="center"/>
          </w:tcPr>
          <w:p w14:paraId="088FC951">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570" w:type="pct"/>
            <w:vMerge w:val="restart"/>
            <w:tcBorders>
              <w:tl2br w:val="nil"/>
              <w:tr2bl w:val="nil"/>
            </w:tcBorders>
            <w:vAlign w:val="center"/>
          </w:tcPr>
          <w:p w14:paraId="307BFAF9">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5532.45</w:t>
            </w:r>
          </w:p>
        </w:tc>
        <w:tc>
          <w:tcPr>
            <w:tcW w:w="1236" w:type="pct"/>
            <w:gridSpan w:val="2"/>
            <w:tcBorders>
              <w:tl2br w:val="nil"/>
              <w:tr2bl w:val="nil"/>
            </w:tcBorders>
            <w:vAlign w:val="center"/>
          </w:tcPr>
          <w:p w14:paraId="569DC2B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6-9</w:t>
            </w:r>
          </w:p>
        </w:tc>
        <w:tc>
          <w:tcPr>
            <w:tcW w:w="375" w:type="pct"/>
            <w:vMerge w:val="continue"/>
            <w:tcBorders>
              <w:tl2br w:val="nil"/>
              <w:tr2bl w:val="nil"/>
            </w:tcBorders>
            <w:vAlign w:val="center"/>
          </w:tcPr>
          <w:p w14:paraId="38FDA4FD">
            <w:pPr>
              <w:pStyle w:val="31"/>
              <w:jc w:val="left"/>
              <w:rPr>
                <w:rFonts w:hint="default" w:ascii="Times New Roman" w:hAnsi="Times New Roman" w:eastAsia="仿宋" w:cs="Times New Roman"/>
                <w:color w:val="auto"/>
                <w:sz w:val="21"/>
                <w:szCs w:val="21"/>
                <w:highlight w:val="none"/>
              </w:rPr>
            </w:pPr>
          </w:p>
        </w:tc>
      </w:tr>
      <w:tr w14:paraId="29519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70D8C617">
            <w:pPr>
              <w:pStyle w:val="31"/>
              <w:rPr>
                <w:rFonts w:hint="eastAsia" w:eastAsia="仿宋" w:cs="Times New Roman"/>
                <w:color w:val="auto"/>
                <w:sz w:val="21"/>
                <w:szCs w:val="21"/>
                <w:highlight w:val="none"/>
                <w:lang w:val="en-US" w:eastAsia="zh-CN"/>
              </w:rPr>
            </w:pPr>
          </w:p>
        </w:tc>
        <w:tc>
          <w:tcPr>
            <w:tcW w:w="454" w:type="pct"/>
            <w:vMerge w:val="continue"/>
            <w:tcBorders>
              <w:tl2br w:val="nil"/>
              <w:tr2bl w:val="nil"/>
            </w:tcBorders>
            <w:vAlign w:val="center"/>
          </w:tcPr>
          <w:p w14:paraId="7C9F733B">
            <w:pPr>
              <w:pStyle w:val="31"/>
              <w:rPr>
                <w:rFonts w:hint="default" w:ascii="Times New Roman" w:hAnsi="Times New Roman" w:eastAsia="仿宋" w:cs="Times New Roman"/>
                <w:color w:val="auto"/>
                <w:sz w:val="21"/>
                <w:szCs w:val="21"/>
                <w:highlight w:val="none"/>
                <w:lang w:val="en-US" w:eastAsia="zh-CN"/>
              </w:rPr>
            </w:pPr>
          </w:p>
        </w:tc>
        <w:tc>
          <w:tcPr>
            <w:tcW w:w="481" w:type="pct"/>
            <w:tcBorders>
              <w:tl2br w:val="nil"/>
              <w:tr2bl w:val="nil"/>
            </w:tcBorders>
            <w:shd w:val="clear" w:color="auto" w:fill="auto"/>
            <w:vAlign w:val="center"/>
          </w:tcPr>
          <w:p w14:paraId="28223E9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606" w:type="pct"/>
            <w:tcBorders>
              <w:tl2br w:val="nil"/>
              <w:tr2bl w:val="nil"/>
            </w:tcBorders>
            <w:vAlign w:val="center"/>
          </w:tcPr>
          <w:p w14:paraId="49FBDD0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422" w:type="dxa"/>
            <w:tcBorders>
              <w:tl2br w:val="nil"/>
              <w:tr2bl w:val="nil"/>
            </w:tcBorders>
            <w:vAlign w:val="center"/>
          </w:tcPr>
          <w:p w14:paraId="4357B60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4426</w:t>
            </w:r>
          </w:p>
        </w:tc>
        <w:tc>
          <w:tcPr>
            <w:tcW w:w="432" w:type="pct"/>
            <w:vMerge w:val="continue"/>
            <w:tcBorders>
              <w:tl2br w:val="nil"/>
              <w:tr2bl w:val="nil"/>
            </w:tcBorders>
            <w:vAlign w:val="center"/>
          </w:tcPr>
          <w:p w14:paraId="143C3DCD">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4724C603">
            <w:pPr>
              <w:pStyle w:val="31"/>
              <w:rPr>
                <w:rFonts w:hint="default" w:ascii="Times New Roman" w:hAnsi="Times New Roman" w:eastAsia="仿宋" w:cs="Times New Roman"/>
                <w:color w:val="auto"/>
                <w:sz w:val="21"/>
                <w:szCs w:val="21"/>
                <w:highlight w:val="none"/>
              </w:rPr>
            </w:pPr>
          </w:p>
        </w:tc>
        <w:tc>
          <w:tcPr>
            <w:tcW w:w="677" w:type="pct"/>
            <w:tcBorders>
              <w:tl2br w:val="nil"/>
              <w:tr2bl w:val="nil"/>
            </w:tcBorders>
            <w:vAlign w:val="center"/>
          </w:tcPr>
          <w:p w14:paraId="23DDB87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747" w:type="dxa"/>
            <w:tcBorders>
              <w:tl2br w:val="nil"/>
              <w:tr2bl w:val="nil"/>
            </w:tcBorders>
            <w:vAlign w:val="center"/>
          </w:tcPr>
          <w:p w14:paraId="058CB57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4426</w:t>
            </w:r>
          </w:p>
        </w:tc>
        <w:tc>
          <w:tcPr>
            <w:tcW w:w="375" w:type="pct"/>
            <w:vMerge w:val="continue"/>
            <w:tcBorders>
              <w:tl2br w:val="nil"/>
              <w:tr2bl w:val="nil"/>
            </w:tcBorders>
            <w:vAlign w:val="center"/>
          </w:tcPr>
          <w:p w14:paraId="0E5498D8">
            <w:pPr>
              <w:pStyle w:val="31"/>
              <w:jc w:val="left"/>
              <w:rPr>
                <w:rFonts w:hint="default" w:ascii="Times New Roman" w:hAnsi="Times New Roman" w:eastAsia="仿宋" w:cs="Times New Roman"/>
                <w:color w:val="auto"/>
                <w:sz w:val="21"/>
                <w:szCs w:val="21"/>
                <w:highlight w:val="none"/>
              </w:rPr>
            </w:pPr>
          </w:p>
        </w:tc>
      </w:tr>
      <w:tr w14:paraId="15142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88" w:type="pct"/>
            <w:vMerge w:val="continue"/>
            <w:tcBorders>
              <w:tl2br w:val="nil"/>
              <w:tr2bl w:val="nil"/>
            </w:tcBorders>
            <w:vAlign w:val="center"/>
          </w:tcPr>
          <w:p w14:paraId="58EC1428">
            <w:pPr>
              <w:pStyle w:val="31"/>
              <w:rPr>
                <w:rFonts w:hint="default" w:ascii="Times New Roman" w:hAnsi="Times New Roman" w:eastAsia="仿宋" w:cs="Times New Roman"/>
                <w:color w:val="auto"/>
                <w:sz w:val="21"/>
                <w:szCs w:val="21"/>
                <w:highlight w:val="none"/>
                <w:lang w:val="en-US" w:eastAsia="zh-CN"/>
              </w:rPr>
            </w:pPr>
          </w:p>
        </w:tc>
        <w:tc>
          <w:tcPr>
            <w:tcW w:w="454" w:type="pct"/>
            <w:vMerge w:val="continue"/>
            <w:tcBorders>
              <w:tl2br w:val="nil"/>
              <w:tr2bl w:val="nil"/>
            </w:tcBorders>
            <w:vAlign w:val="center"/>
          </w:tcPr>
          <w:p w14:paraId="270364AA">
            <w:pPr>
              <w:pStyle w:val="31"/>
              <w:rPr>
                <w:rFonts w:hint="default" w:ascii="Times New Roman" w:hAnsi="Times New Roman" w:eastAsia="仿宋" w:cs="Times New Roman"/>
                <w:color w:val="auto"/>
                <w:sz w:val="21"/>
                <w:szCs w:val="21"/>
                <w:highlight w:val="none"/>
                <w:lang w:val="en-US" w:eastAsia="zh-CN"/>
              </w:rPr>
            </w:pPr>
          </w:p>
        </w:tc>
        <w:tc>
          <w:tcPr>
            <w:tcW w:w="481" w:type="pct"/>
            <w:tcBorders>
              <w:tl2br w:val="nil"/>
              <w:tr2bl w:val="nil"/>
            </w:tcBorders>
            <w:shd w:val="clear" w:color="auto" w:fill="auto"/>
            <w:vAlign w:val="center"/>
          </w:tcPr>
          <w:p w14:paraId="10B1A1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606" w:type="pct"/>
            <w:tcBorders>
              <w:tl2br w:val="nil"/>
              <w:tr2bl w:val="nil"/>
            </w:tcBorders>
            <w:vAlign w:val="center"/>
          </w:tcPr>
          <w:p w14:paraId="6D4C328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422" w:type="dxa"/>
            <w:tcBorders>
              <w:tl2br w:val="nil"/>
              <w:tr2bl w:val="nil"/>
            </w:tcBorders>
            <w:vAlign w:val="center"/>
          </w:tcPr>
          <w:p w14:paraId="3BB660F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2766</w:t>
            </w:r>
          </w:p>
        </w:tc>
        <w:tc>
          <w:tcPr>
            <w:tcW w:w="432" w:type="pct"/>
            <w:vMerge w:val="continue"/>
            <w:tcBorders>
              <w:tl2br w:val="nil"/>
              <w:tr2bl w:val="nil"/>
            </w:tcBorders>
            <w:vAlign w:val="center"/>
          </w:tcPr>
          <w:p w14:paraId="6098FC0A">
            <w:pPr>
              <w:pStyle w:val="31"/>
              <w:rPr>
                <w:rFonts w:hint="default" w:ascii="Times New Roman" w:hAnsi="Times New Roman" w:eastAsia="仿宋" w:cs="Times New Roman"/>
                <w:color w:val="auto"/>
                <w:sz w:val="21"/>
                <w:szCs w:val="21"/>
                <w:highlight w:val="none"/>
              </w:rPr>
            </w:pPr>
          </w:p>
        </w:tc>
        <w:tc>
          <w:tcPr>
            <w:tcW w:w="570" w:type="pct"/>
            <w:vMerge w:val="continue"/>
            <w:tcBorders>
              <w:tl2br w:val="nil"/>
              <w:tr2bl w:val="nil"/>
            </w:tcBorders>
            <w:vAlign w:val="center"/>
          </w:tcPr>
          <w:p w14:paraId="27E2F4AC">
            <w:pPr>
              <w:pStyle w:val="31"/>
              <w:rPr>
                <w:rFonts w:hint="default" w:ascii="Times New Roman" w:hAnsi="Times New Roman" w:eastAsia="仿宋" w:cs="Times New Roman"/>
                <w:color w:val="auto"/>
                <w:sz w:val="21"/>
                <w:szCs w:val="21"/>
                <w:highlight w:val="none"/>
              </w:rPr>
            </w:pPr>
          </w:p>
        </w:tc>
        <w:tc>
          <w:tcPr>
            <w:tcW w:w="677" w:type="pct"/>
            <w:tcBorders>
              <w:tl2br w:val="nil"/>
              <w:tr2bl w:val="nil"/>
            </w:tcBorders>
            <w:vAlign w:val="center"/>
          </w:tcPr>
          <w:p w14:paraId="1640BDB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747" w:type="dxa"/>
            <w:tcBorders>
              <w:tl2br w:val="nil"/>
              <w:tr2bl w:val="nil"/>
            </w:tcBorders>
            <w:vAlign w:val="center"/>
          </w:tcPr>
          <w:p w14:paraId="52723D5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2766</w:t>
            </w:r>
          </w:p>
        </w:tc>
        <w:tc>
          <w:tcPr>
            <w:tcW w:w="375" w:type="pct"/>
            <w:vMerge w:val="continue"/>
            <w:tcBorders>
              <w:tl2br w:val="nil"/>
              <w:tr2bl w:val="nil"/>
            </w:tcBorders>
            <w:vAlign w:val="center"/>
          </w:tcPr>
          <w:p w14:paraId="759CC125">
            <w:pPr>
              <w:pStyle w:val="31"/>
              <w:jc w:val="left"/>
              <w:rPr>
                <w:rFonts w:hint="default" w:ascii="Times New Roman" w:hAnsi="Times New Roman" w:eastAsia="仿宋" w:cs="Times New Roman"/>
                <w:color w:val="auto"/>
                <w:sz w:val="21"/>
                <w:szCs w:val="21"/>
                <w:highlight w:val="none"/>
              </w:rPr>
            </w:pPr>
          </w:p>
        </w:tc>
      </w:tr>
    </w:tbl>
    <w:p w14:paraId="5D618E79">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废水类别、污染物及污染治理设施信息表</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193"/>
        <w:gridCol w:w="2752"/>
        <w:gridCol w:w="1275"/>
        <w:gridCol w:w="1462"/>
        <w:gridCol w:w="1374"/>
        <w:gridCol w:w="1215"/>
        <w:gridCol w:w="806"/>
        <w:gridCol w:w="600"/>
        <w:gridCol w:w="1196"/>
        <w:gridCol w:w="1737"/>
      </w:tblGrid>
      <w:tr w14:paraId="1776B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022" w:type="pct"/>
            <w:vMerge w:val="restart"/>
            <w:tcBorders>
              <w:tl2br w:val="nil"/>
              <w:tr2bl w:val="nil"/>
            </w:tcBorders>
            <w:vAlign w:val="center"/>
          </w:tcPr>
          <w:p w14:paraId="301D69BF">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废水类别</w:t>
            </w:r>
          </w:p>
        </w:tc>
        <w:tc>
          <w:tcPr>
            <w:tcW w:w="881" w:type="pct"/>
            <w:vMerge w:val="restart"/>
            <w:tcBorders>
              <w:tl2br w:val="nil"/>
              <w:tr2bl w:val="nil"/>
            </w:tcBorders>
            <w:vAlign w:val="center"/>
          </w:tcPr>
          <w:p w14:paraId="0BBCF765">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污染物种类</w:t>
            </w:r>
          </w:p>
        </w:tc>
        <w:tc>
          <w:tcPr>
            <w:tcW w:w="1316" w:type="pct"/>
            <w:gridSpan w:val="3"/>
            <w:tcBorders>
              <w:tl2br w:val="nil"/>
              <w:tr2bl w:val="nil"/>
            </w:tcBorders>
            <w:vAlign w:val="center"/>
          </w:tcPr>
          <w:p w14:paraId="7690359B">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w:t>
            </w:r>
          </w:p>
        </w:tc>
        <w:tc>
          <w:tcPr>
            <w:tcW w:w="389" w:type="pct"/>
            <w:vMerge w:val="restart"/>
            <w:tcBorders>
              <w:tl2br w:val="nil"/>
              <w:tr2bl w:val="nil"/>
            </w:tcBorders>
            <w:vAlign w:val="center"/>
          </w:tcPr>
          <w:p w14:paraId="55116D97">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排放去向</w:t>
            </w:r>
          </w:p>
        </w:tc>
        <w:tc>
          <w:tcPr>
            <w:tcW w:w="258" w:type="pct"/>
            <w:vMerge w:val="restart"/>
            <w:tcBorders>
              <w:tl2br w:val="nil"/>
              <w:tr2bl w:val="nil"/>
            </w:tcBorders>
            <w:vAlign w:val="center"/>
          </w:tcPr>
          <w:p w14:paraId="455500F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排放规律</w:t>
            </w:r>
          </w:p>
        </w:tc>
        <w:tc>
          <w:tcPr>
            <w:tcW w:w="192" w:type="pct"/>
            <w:vMerge w:val="restart"/>
            <w:tcBorders>
              <w:tl2br w:val="nil"/>
              <w:tr2bl w:val="nil"/>
            </w:tcBorders>
            <w:vAlign w:val="center"/>
          </w:tcPr>
          <w:p w14:paraId="46300E6D">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w:t>
            </w:r>
          </w:p>
        </w:tc>
        <w:tc>
          <w:tcPr>
            <w:tcW w:w="383" w:type="pct"/>
            <w:vMerge w:val="restart"/>
            <w:tcBorders>
              <w:tl2br w:val="nil"/>
              <w:tr2bl w:val="nil"/>
            </w:tcBorders>
            <w:vAlign w:val="center"/>
          </w:tcPr>
          <w:p w14:paraId="7F8182AD">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排放口设置是否符合要求</w:t>
            </w:r>
          </w:p>
        </w:tc>
        <w:tc>
          <w:tcPr>
            <w:tcW w:w="556" w:type="pct"/>
            <w:vMerge w:val="restart"/>
            <w:tcBorders>
              <w:tl2br w:val="nil"/>
              <w:tr2bl w:val="nil"/>
            </w:tcBorders>
            <w:vAlign w:val="center"/>
          </w:tcPr>
          <w:p w14:paraId="44D730B5">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排放口类型</w:t>
            </w:r>
          </w:p>
        </w:tc>
      </w:tr>
      <w:tr w14:paraId="015E7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vMerge w:val="continue"/>
            <w:tcBorders>
              <w:tl2br w:val="nil"/>
              <w:tr2bl w:val="nil"/>
            </w:tcBorders>
            <w:vAlign w:val="center"/>
          </w:tcPr>
          <w:p w14:paraId="0C5B3ED4">
            <w:pPr>
              <w:pStyle w:val="31"/>
              <w:rPr>
                <w:rFonts w:hint="default" w:ascii="Times New Roman" w:hAnsi="Times New Roman" w:eastAsia="仿宋" w:cs="Times New Roman"/>
                <w:color w:val="auto"/>
                <w:sz w:val="21"/>
                <w:szCs w:val="21"/>
                <w:highlight w:val="none"/>
              </w:rPr>
            </w:pPr>
          </w:p>
        </w:tc>
        <w:tc>
          <w:tcPr>
            <w:tcW w:w="881" w:type="pct"/>
            <w:vMerge w:val="continue"/>
            <w:tcBorders>
              <w:tl2br w:val="nil"/>
              <w:tr2bl w:val="nil"/>
            </w:tcBorders>
            <w:vAlign w:val="center"/>
          </w:tcPr>
          <w:p w14:paraId="71B3B2E3">
            <w:pPr>
              <w:pStyle w:val="31"/>
              <w:rPr>
                <w:rFonts w:hint="default" w:ascii="Times New Roman" w:hAnsi="Times New Roman" w:eastAsia="仿宋" w:cs="Times New Roman"/>
                <w:color w:val="auto"/>
                <w:sz w:val="21"/>
                <w:szCs w:val="21"/>
                <w:highlight w:val="none"/>
              </w:rPr>
            </w:pPr>
          </w:p>
        </w:tc>
        <w:tc>
          <w:tcPr>
            <w:tcW w:w="408" w:type="pct"/>
            <w:tcBorders>
              <w:tl2br w:val="nil"/>
              <w:tr2bl w:val="nil"/>
            </w:tcBorders>
            <w:vAlign w:val="center"/>
          </w:tcPr>
          <w:p w14:paraId="01341101">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eastAsia="zh-CN"/>
              </w:rPr>
              <w:t>污染治理</w:t>
            </w:r>
            <w:r>
              <w:rPr>
                <w:rFonts w:hint="default" w:ascii="Times New Roman" w:hAnsi="Times New Roman" w:eastAsia="仿宋" w:cs="Times New Roman"/>
                <w:b/>
                <w:color w:val="auto"/>
                <w:sz w:val="21"/>
                <w:szCs w:val="21"/>
                <w:highlight w:val="none"/>
              </w:rPr>
              <w:t>设施编号</w:t>
            </w:r>
          </w:p>
        </w:tc>
        <w:tc>
          <w:tcPr>
            <w:tcW w:w="468" w:type="pct"/>
            <w:tcBorders>
              <w:tl2br w:val="nil"/>
              <w:tr2bl w:val="nil"/>
            </w:tcBorders>
            <w:vAlign w:val="center"/>
          </w:tcPr>
          <w:p w14:paraId="7C8485EE">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污染治理设施名称</w:t>
            </w:r>
          </w:p>
        </w:tc>
        <w:tc>
          <w:tcPr>
            <w:tcW w:w="440" w:type="pct"/>
            <w:tcBorders>
              <w:tl2br w:val="nil"/>
              <w:tr2bl w:val="nil"/>
            </w:tcBorders>
            <w:vAlign w:val="center"/>
          </w:tcPr>
          <w:p w14:paraId="3CFAB88C">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污染治理设施工艺</w:t>
            </w:r>
          </w:p>
        </w:tc>
        <w:tc>
          <w:tcPr>
            <w:tcW w:w="389" w:type="pct"/>
            <w:vMerge w:val="continue"/>
            <w:tcBorders>
              <w:tl2br w:val="nil"/>
              <w:tr2bl w:val="nil"/>
            </w:tcBorders>
            <w:vAlign w:val="center"/>
          </w:tcPr>
          <w:p w14:paraId="794CAAF9">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21D75639">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7D300A21">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35653D08">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3EEB8920">
            <w:pPr>
              <w:pStyle w:val="31"/>
              <w:rPr>
                <w:rFonts w:hint="default" w:ascii="Times New Roman" w:hAnsi="Times New Roman" w:eastAsia="仿宋" w:cs="Times New Roman"/>
                <w:color w:val="auto"/>
                <w:sz w:val="21"/>
                <w:szCs w:val="21"/>
                <w:highlight w:val="none"/>
              </w:rPr>
            </w:pPr>
          </w:p>
        </w:tc>
      </w:tr>
      <w:tr w14:paraId="17A486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3C79F62B">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电泳处理线、喷粉前处理线脱脂槽废水</w:t>
            </w:r>
          </w:p>
        </w:tc>
        <w:tc>
          <w:tcPr>
            <w:tcW w:w="881" w:type="pct"/>
            <w:tcBorders>
              <w:tl2br w:val="nil"/>
              <w:tr2bl w:val="nil"/>
            </w:tcBorders>
            <w:vAlign w:val="center"/>
          </w:tcPr>
          <w:p w14:paraId="1C738AD3">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pH、COD、SS、氨氮、TN、石油类、LAS</w:t>
            </w:r>
          </w:p>
        </w:tc>
        <w:tc>
          <w:tcPr>
            <w:tcW w:w="408" w:type="pct"/>
            <w:vMerge w:val="restart"/>
            <w:tcBorders>
              <w:tl2br w:val="nil"/>
              <w:tr2bl w:val="nil"/>
            </w:tcBorders>
            <w:vAlign w:val="center"/>
          </w:tcPr>
          <w:p w14:paraId="35A49487">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TW001</w:t>
            </w:r>
          </w:p>
        </w:tc>
        <w:tc>
          <w:tcPr>
            <w:tcW w:w="468" w:type="pct"/>
            <w:vMerge w:val="restart"/>
            <w:tcBorders>
              <w:tl2br w:val="nil"/>
              <w:tr2bl w:val="nil"/>
            </w:tcBorders>
            <w:vAlign w:val="center"/>
          </w:tcPr>
          <w:p w14:paraId="77E6E18E">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高浓度废水预处理设施</w:t>
            </w:r>
          </w:p>
        </w:tc>
        <w:tc>
          <w:tcPr>
            <w:tcW w:w="440" w:type="pct"/>
            <w:vMerge w:val="restart"/>
            <w:tcBorders>
              <w:tl2br w:val="nil"/>
              <w:tr2bl w:val="nil"/>
            </w:tcBorders>
            <w:vAlign w:val="center"/>
          </w:tcPr>
          <w:p w14:paraId="0551C3FD">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kern w:val="0"/>
                <w:sz w:val="21"/>
                <w:szCs w:val="21"/>
                <w:highlight w:val="none"/>
                <w:lang w:val="en-US" w:eastAsia="zh-CN"/>
              </w:rPr>
              <w:t>高浓度废水定期添加</w:t>
            </w:r>
          </w:p>
        </w:tc>
        <w:tc>
          <w:tcPr>
            <w:tcW w:w="389" w:type="pct"/>
            <w:vMerge w:val="restart"/>
            <w:tcBorders>
              <w:tl2br w:val="nil"/>
              <w:tr2bl w:val="nil"/>
            </w:tcBorders>
            <w:vAlign w:val="center"/>
          </w:tcPr>
          <w:p w14:paraId="601824A3">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电泳废水预处理设施</w:t>
            </w:r>
          </w:p>
        </w:tc>
        <w:tc>
          <w:tcPr>
            <w:tcW w:w="258" w:type="pct"/>
            <w:vMerge w:val="restart"/>
            <w:tcBorders>
              <w:tl2br w:val="nil"/>
              <w:tr2bl w:val="nil"/>
            </w:tcBorders>
            <w:vAlign w:val="center"/>
          </w:tcPr>
          <w:p w14:paraId="0A48412B">
            <w:pPr>
              <w:pStyle w:val="31"/>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间歇排放</w:t>
            </w:r>
          </w:p>
        </w:tc>
        <w:tc>
          <w:tcPr>
            <w:tcW w:w="192" w:type="pct"/>
            <w:vMerge w:val="restart"/>
            <w:tcBorders>
              <w:tl2br w:val="nil"/>
              <w:tr2bl w:val="nil"/>
            </w:tcBorders>
            <w:vAlign w:val="center"/>
          </w:tcPr>
          <w:p w14:paraId="3A59617A">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83" w:type="pct"/>
            <w:vMerge w:val="restart"/>
            <w:tcBorders>
              <w:tl2br w:val="nil"/>
              <w:tr2bl w:val="nil"/>
            </w:tcBorders>
            <w:vAlign w:val="center"/>
          </w:tcPr>
          <w:p w14:paraId="18AADF6F">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556" w:type="pct"/>
            <w:vMerge w:val="restart"/>
            <w:tcBorders>
              <w:tl2br w:val="nil"/>
              <w:tr2bl w:val="nil"/>
            </w:tcBorders>
            <w:vAlign w:val="center"/>
          </w:tcPr>
          <w:p w14:paraId="48F06AC4">
            <w:pPr>
              <w:pStyle w:val="31"/>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2121EF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2C2078FE">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电泳处理线、喷粉前处理线酸洗槽废水</w:t>
            </w:r>
          </w:p>
        </w:tc>
        <w:tc>
          <w:tcPr>
            <w:tcW w:w="881" w:type="pct"/>
            <w:tcBorders>
              <w:tl2br w:val="nil"/>
              <w:tr2bl w:val="nil"/>
            </w:tcBorders>
            <w:vAlign w:val="center"/>
          </w:tcPr>
          <w:p w14:paraId="7B143D67">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70B57401">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2A802FE5">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69B67B50">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77EFB615">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565F11B1">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5486D508">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4B6DE8A1">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7975FC10">
            <w:pPr>
              <w:pStyle w:val="31"/>
              <w:jc w:val="center"/>
              <w:rPr>
                <w:rFonts w:hint="default" w:ascii="Times New Roman" w:hAnsi="Times New Roman" w:eastAsia="仿宋" w:cs="Times New Roman"/>
                <w:color w:val="auto"/>
                <w:sz w:val="21"/>
                <w:szCs w:val="21"/>
                <w:highlight w:val="none"/>
              </w:rPr>
            </w:pPr>
          </w:p>
        </w:tc>
      </w:tr>
      <w:tr w14:paraId="0321C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022" w:type="pct"/>
            <w:tcBorders>
              <w:tl2br w:val="nil"/>
              <w:tr2bl w:val="nil"/>
            </w:tcBorders>
            <w:vAlign w:val="center"/>
          </w:tcPr>
          <w:p w14:paraId="691630D3">
            <w:pPr>
              <w:pStyle w:val="31"/>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电泳处理线、喷粉前处理线硅烷槽废水</w:t>
            </w:r>
          </w:p>
        </w:tc>
        <w:tc>
          <w:tcPr>
            <w:tcW w:w="881" w:type="pct"/>
            <w:tcBorders>
              <w:tl2br w:val="nil"/>
              <w:tr2bl w:val="nil"/>
            </w:tcBorders>
            <w:vAlign w:val="center"/>
          </w:tcPr>
          <w:p w14:paraId="269AA39D">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64CC9B45">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054C9074">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26037C5A">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6FA5D1CF">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22C72308">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75DF30AA">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378C61B3">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6DB5646C">
            <w:pPr>
              <w:pStyle w:val="31"/>
              <w:jc w:val="center"/>
              <w:rPr>
                <w:rFonts w:hint="default" w:ascii="Times New Roman" w:hAnsi="Times New Roman" w:eastAsia="仿宋" w:cs="Times New Roman"/>
                <w:color w:val="auto"/>
                <w:sz w:val="21"/>
                <w:szCs w:val="21"/>
                <w:highlight w:val="none"/>
              </w:rPr>
            </w:pPr>
          </w:p>
        </w:tc>
      </w:tr>
      <w:tr w14:paraId="608F5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022" w:type="pct"/>
            <w:tcBorders>
              <w:tl2br w:val="nil"/>
              <w:tr2bl w:val="nil"/>
            </w:tcBorders>
            <w:vAlign w:val="center"/>
          </w:tcPr>
          <w:p w14:paraId="5D84FA0A">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电泳处理线中和槽废水</w:t>
            </w:r>
          </w:p>
        </w:tc>
        <w:tc>
          <w:tcPr>
            <w:tcW w:w="881" w:type="pct"/>
            <w:tcBorders>
              <w:tl2br w:val="nil"/>
              <w:tr2bl w:val="nil"/>
            </w:tcBorders>
            <w:vAlign w:val="center"/>
          </w:tcPr>
          <w:p w14:paraId="1B160A34">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09016295">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64E8B00D">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4C0F448B">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3338E67D">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20B9B348">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3431509E">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20ED5CCE">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615F358C">
            <w:pPr>
              <w:pStyle w:val="31"/>
              <w:jc w:val="center"/>
              <w:rPr>
                <w:rFonts w:hint="default" w:ascii="Times New Roman" w:hAnsi="Times New Roman" w:eastAsia="仿宋" w:cs="Times New Roman"/>
                <w:color w:val="auto"/>
                <w:sz w:val="21"/>
                <w:szCs w:val="21"/>
                <w:highlight w:val="none"/>
              </w:rPr>
            </w:pPr>
          </w:p>
        </w:tc>
      </w:tr>
      <w:tr w14:paraId="45D68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63C89C55">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喷粉前处理表调槽废水</w:t>
            </w:r>
          </w:p>
        </w:tc>
        <w:tc>
          <w:tcPr>
            <w:tcW w:w="881" w:type="pct"/>
            <w:tcBorders>
              <w:tl2br w:val="nil"/>
              <w:tr2bl w:val="nil"/>
            </w:tcBorders>
            <w:vAlign w:val="center"/>
          </w:tcPr>
          <w:p w14:paraId="707E8125">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2E10DBD0">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616170FA">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72567A4D">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7386DDD6">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297F48CE">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22611DF2">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3F13EC9A">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6C8AD0CC">
            <w:pPr>
              <w:pStyle w:val="31"/>
              <w:jc w:val="center"/>
              <w:rPr>
                <w:rFonts w:hint="default" w:ascii="Times New Roman" w:hAnsi="Times New Roman" w:eastAsia="仿宋" w:cs="Times New Roman"/>
                <w:color w:val="auto"/>
                <w:sz w:val="21"/>
                <w:szCs w:val="21"/>
                <w:highlight w:val="none"/>
              </w:rPr>
            </w:pPr>
          </w:p>
        </w:tc>
      </w:tr>
      <w:tr w14:paraId="730FF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022" w:type="pct"/>
            <w:tcBorders>
              <w:tl2br w:val="nil"/>
              <w:tr2bl w:val="nil"/>
            </w:tcBorders>
            <w:shd w:val="clear" w:color="auto" w:fill="auto"/>
            <w:vAlign w:val="center"/>
          </w:tcPr>
          <w:p w14:paraId="296557F3">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电泳处理线电泳槽废水</w:t>
            </w:r>
          </w:p>
        </w:tc>
        <w:tc>
          <w:tcPr>
            <w:tcW w:w="881" w:type="pct"/>
            <w:tcBorders>
              <w:tl2br w:val="nil"/>
              <w:tr2bl w:val="nil"/>
            </w:tcBorders>
            <w:shd w:val="clear" w:color="auto" w:fill="auto"/>
            <w:vAlign w:val="center"/>
          </w:tcPr>
          <w:p w14:paraId="1783FFDE">
            <w:pPr>
              <w:pStyle w:val="31"/>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pH、COD、SS、TP、TN、氨氮</w:t>
            </w:r>
          </w:p>
        </w:tc>
        <w:tc>
          <w:tcPr>
            <w:tcW w:w="408" w:type="pct"/>
            <w:vMerge w:val="restart"/>
            <w:tcBorders>
              <w:tl2br w:val="nil"/>
              <w:tr2bl w:val="nil"/>
            </w:tcBorders>
            <w:vAlign w:val="center"/>
          </w:tcPr>
          <w:p w14:paraId="05FA4807">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TW002</w:t>
            </w:r>
          </w:p>
        </w:tc>
        <w:tc>
          <w:tcPr>
            <w:tcW w:w="468" w:type="pct"/>
            <w:vMerge w:val="restart"/>
            <w:tcBorders>
              <w:tl2br w:val="nil"/>
              <w:tr2bl w:val="nil"/>
            </w:tcBorders>
            <w:vAlign w:val="center"/>
          </w:tcPr>
          <w:p w14:paraId="321E16D1">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电泳废水预处理设施</w:t>
            </w:r>
          </w:p>
        </w:tc>
        <w:tc>
          <w:tcPr>
            <w:tcW w:w="440" w:type="pct"/>
            <w:vMerge w:val="restart"/>
            <w:tcBorders>
              <w:tl2br w:val="nil"/>
              <w:tr2bl w:val="nil"/>
            </w:tcBorders>
            <w:vAlign w:val="center"/>
          </w:tcPr>
          <w:p w14:paraId="64986750">
            <w:pPr>
              <w:pStyle w:val="31"/>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气浮+物化</w:t>
            </w:r>
          </w:p>
        </w:tc>
        <w:tc>
          <w:tcPr>
            <w:tcW w:w="389" w:type="pct"/>
            <w:vMerge w:val="restart"/>
            <w:tcBorders>
              <w:tl2br w:val="nil"/>
              <w:tr2bl w:val="nil"/>
            </w:tcBorders>
            <w:vAlign w:val="center"/>
          </w:tcPr>
          <w:p w14:paraId="6E9D42E5">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综合废水处理设施</w:t>
            </w:r>
          </w:p>
        </w:tc>
        <w:tc>
          <w:tcPr>
            <w:tcW w:w="258" w:type="pct"/>
            <w:vMerge w:val="restart"/>
            <w:tcBorders>
              <w:tl2br w:val="nil"/>
              <w:tr2bl w:val="nil"/>
            </w:tcBorders>
            <w:vAlign w:val="center"/>
          </w:tcPr>
          <w:p w14:paraId="363D1147">
            <w:pPr>
              <w:pStyle w:val="31"/>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间歇排放</w:t>
            </w:r>
          </w:p>
        </w:tc>
        <w:tc>
          <w:tcPr>
            <w:tcW w:w="192" w:type="pct"/>
            <w:vMerge w:val="restart"/>
            <w:tcBorders>
              <w:tl2br w:val="nil"/>
              <w:tr2bl w:val="nil"/>
            </w:tcBorders>
            <w:vAlign w:val="center"/>
          </w:tcPr>
          <w:p w14:paraId="738F4C01">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83" w:type="pct"/>
            <w:vMerge w:val="restart"/>
            <w:tcBorders>
              <w:tl2br w:val="nil"/>
              <w:tr2bl w:val="nil"/>
            </w:tcBorders>
            <w:vAlign w:val="center"/>
          </w:tcPr>
          <w:p w14:paraId="241D11D5">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556" w:type="pct"/>
            <w:vMerge w:val="continue"/>
            <w:tcBorders>
              <w:tl2br w:val="nil"/>
              <w:tr2bl w:val="nil"/>
            </w:tcBorders>
            <w:vAlign w:val="center"/>
          </w:tcPr>
          <w:p w14:paraId="1788CAA8">
            <w:pPr>
              <w:pStyle w:val="31"/>
              <w:jc w:val="center"/>
              <w:rPr>
                <w:rFonts w:hint="default" w:ascii="Times New Roman" w:hAnsi="Times New Roman" w:eastAsia="仿宋" w:cs="Times New Roman"/>
                <w:color w:val="auto"/>
                <w:sz w:val="21"/>
                <w:szCs w:val="21"/>
                <w:highlight w:val="none"/>
              </w:rPr>
            </w:pPr>
          </w:p>
        </w:tc>
      </w:tr>
      <w:tr w14:paraId="1C73A7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shd w:val="clear" w:color="auto" w:fill="auto"/>
            <w:vAlign w:val="center"/>
          </w:tcPr>
          <w:p w14:paraId="7448448C">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电泳处理线回收槽废水</w:t>
            </w:r>
          </w:p>
        </w:tc>
        <w:tc>
          <w:tcPr>
            <w:tcW w:w="881" w:type="pct"/>
            <w:tcBorders>
              <w:tl2br w:val="nil"/>
              <w:tr2bl w:val="nil"/>
            </w:tcBorders>
            <w:shd w:val="clear" w:color="auto" w:fill="auto"/>
            <w:vAlign w:val="center"/>
          </w:tcPr>
          <w:p w14:paraId="1AB33D11">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pH、COD、SS、TP、TN、氨氮</w:t>
            </w:r>
          </w:p>
        </w:tc>
        <w:tc>
          <w:tcPr>
            <w:tcW w:w="408" w:type="pct"/>
            <w:vMerge w:val="continue"/>
            <w:tcBorders>
              <w:tl2br w:val="nil"/>
              <w:tr2bl w:val="nil"/>
            </w:tcBorders>
            <w:vAlign w:val="center"/>
          </w:tcPr>
          <w:p w14:paraId="7C0AFC58">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3BBE00B0">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43220299">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0D5C2497">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11CF402E">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6330B836">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0A5B14DD">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1B989BC6">
            <w:pPr>
              <w:pStyle w:val="31"/>
              <w:jc w:val="center"/>
              <w:rPr>
                <w:rFonts w:hint="default" w:ascii="Times New Roman" w:hAnsi="Times New Roman" w:eastAsia="仿宋" w:cs="Times New Roman"/>
                <w:color w:val="auto"/>
                <w:sz w:val="21"/>
                <w:szCs w:val="21"/>
                <w:highlight w:val="none"/>
              </w:rPr>
            </w:pPr>
          </w:p>
        </w:tc>
      </w:tr>
      <w:tr w14:paraId="2BA1B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04643049">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电泳处理线、喷粉前处理线脱脂后水洗废水</w:t>
            </w:r>
          </w:p>
        </w:tc>
        <w:tc>
          <w:tcPr>
            <w:tcW w:w="881" w:type="pct"/>
            <w:tcBorders>
              <w:tl2br w:val="nil"/>
              <w:tr2bl w:val="nil"/>
            </w:tcBorders>
            <w:vAlign w:val="center"/>
          </w:tcPr>
          <w:p w14:paraId="2909962B">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pH、COD、SS、氨氮、TN、石油类、LAS</w:t>
            </w:r>
          </w:p>
        </w:tc>
        <w:tc>
          <w:tcPr>
            <w:tcW w:w="408" w:type="pct"/>
            <w:vMerge w:val="restart"/>
            <w:tcBorders>
              <w:tl2br w:val="nil"/>
              <w:tr2bl w:val="nil"/>
            </w:tcBorders>
            <w:vAlign w:val="center"/>
          </w:tcPr>
          <w:p w14:paraId="714C2FE1">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TW003</w:t>
            </w:r>
          </w:p>
        </w:tc>
        <w:tc>
          <w:tcPr>
            <w:tcW w:w="468" w:type="pct"/>
            <w:vMerge w:val="restart"/>
            <w:tcBorders>
              <w:tl2br w:val="nil"/>
              <w:tr2bl w:val="nil"/>
            </w:tcBorders>
            <w:vAlign w:val="center"/>
          </w:tcPr>
          <w:p w14:paraId="115D9BE8">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综合废水处理设施</w:t>
            </w:r>
          </w:p>
        </w:tc>
        <w:tc>
          <w:tcPr>
            <w:tcW w:w="440" w:type="pct"/>
            <w:vMerge w:val="restart"/>
            <w:tcBorders>
              <w:tl2br w:val="nil"/>
              <w:tr2bl w:val="nil"/>
            </w:tcBorders>
            <w:vAlign w:val="center"/>
          </w:tcPr>
          <w:p w14:paraId="75142710">
            <w:pPr>
              <w:pStyle w:val="31"/>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pH调节+反应+沉淀+厌氧+好氧+MBR+RO</w:t>
            </w:r>
          </w:p>
        </w:tc>
        <w:tc>
          <w:tcPr>
            <w:tcW w:w="389" w:type="pct"/>
            <w:vMerge w:val="restart"/>
            <w:tcBorders>
              <w:tl2br w:val="nil"/>
              <w:tr2bl w:val="nil"/>
            </w:tcBorders>
            <w:vAlign w:val="center"/>
          </w:tcPr>
          <w:p w14:paraId="1303A1E6">
            <w:pPr>
              <w:pStyle w:val="31"/>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苏州高铁苏水水务有限公司（苏州高铁新城污水厂）</w:t>
            </w:r>
          </w:p>
        </w:tc>
        <w:tc>
          <w:tcPr>
            <w:tcW w:w="258" w:type="pct"/>
            <w:vMerge w:val="restart"/>
            <w:tcBorders>
              <w:tl2br w:val="nil"/>
              <w:tr2bl w:val="nil"/>
            </w:tcBorders>
            <w:vAlign w:val="center"/>
          </w:tcPr>
          <w:p w14:paraId="33C9CC82">
            <w:pPr>
              <w:pStyle w:val="31"/>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间歇排放</w:t>
            </w:r>
          </w:p>
        </w:tc>
        <w:tc>
          <w:tcPr>
            <w:tcW w:w="192" w:type="pct"/>
            <w:vMerge w:val="restart"/>
            <w:tcBorders>
              <w:tl2br w:val="nil"/>
              <w:tr2bl w:val="nil"/>
            </w:tcBorders>
            <w:vAlign w:val="center"/>
          </w:tcPr>
          <w:p w14:paraId="794584B9">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DW002</w:t>
            </w:r>
          </w:p>
        </w:tc>
        <w:tc>
          <w:tcPr>
            <w:tcW w:w="383" w:type="pct"/>
            <w:vMerge w:val="restart"/>
            <w:tcBorders>
              <w:tl2br w:val="nil"/>
              <w:tr2bl w:val="nil"/>
            </w:tcBorders>
            <w:vAlign w:val="center"/>
          </w:tcPr>
          <w:p w14:paraId="6220B761">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是</w:t>
            </w:r>
          </w:p>
        </w:tc>
        <w:tc>
          <w:tcPr>
            <w:tcW w:w="556" w:type="pct"/>
            <w:vMerge w:val="restart"/>
            <w:tcBorders>
              <w:tl2br w:val="nil"/>
              <w:tr2bl w:val="nil"/>
            </w:tcBorders>
            <w:vAlign w:val="center"/>
          </w:tcPr>
          <w:p w14:paraId="120A593B">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企业总排</w:t>
            </w:r>
          </w:p>
          <w:p w14:paraId="12BF025B">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雨水排放</w:t>
            </w:r>
          </w:p>
          <w:p w14:paraId="5ABFA12C">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清净下水排放</w:t>
            </w:r>
          </w:p>
          <w:p w14:paraId="7DBA5407">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温排水排放</w:t>
            </w:r>
          </w:p>
          <w:p w14:paraId="62FF7F21">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sym w:font="Wingdings 2" w:char="0052"/>
            </w:r>
            <w:r>
              <w:rPr>
                <w:rFonts w:hint="default" w:ascii="Times New Roman" w:hAnsi="Times New Roman" w:eastAsia="仿宋" w:cs="Times New Roman"/>
                <w:color w:val="auto"/>
                <w:sz w:val="21"/>
                <w:szCs w:val="21"/>
                <w:highlight w:val="none"/>
              </w:rPr>
              <w:t>车间或车间处理设施排放口</w:t>
            </w:r>
          </w:p>
        </w:tc>
      </w:tr>
      <w:tr w14:paraId="5DEC58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170B79C5">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电泳处理线、喷粉前处理线酸洗后水洗废水</w:t>
            </w:r>
          </w:p>
        </w:tc>
        <w:tc>
          <w:tcPr>
            <w:tcW w:w="881" w:type="pct"/>
            <w:tcBorders>
              <w:tl2br w:val="nil"/>
              <w:tr2bl w:val="nil"/>
            </w:tcBorders>
            <w:vAlign w:val="center"/>
          </w:tcPr>
          <w:p w14:paraId="34102FDD">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0CE842F2">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29302C82">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634E1447">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0C7CC7B5">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76938B05">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7A884631">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25302840">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52AD0277">
            <w:pPr>
              <w:pStyle w:val="31"/>
              <w:jc w:val="center"/>
              <w:rPr>
                <w:rFonts w:hint="default" w:ascii="Times New Roman" w:hAnsi="Times New Roman" w:eastAsia="仿宋" w:cs="Times New Roman"/>
                <w:color w:val="auto"/>
                <w:sz w:val="21"/>
                <w:szCs w:val="21"/>
                <w:highlight w:val="none"/>
              </w:rPr>
            </w:pPr>
          </w:p>
        </w:tc>
      </w:tr>
      <w:tr w14:paraId="336F2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0F955C13">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电泳处理线、喷粉前处理线硅烷后水洗废水</w:t>
            </w:r>
          </w:p>
        </w:tc>
        <w:tc>
          <w:tcPr>
            <w:tcW w:w="881" w:type="pct"/>
            <w:tcBorders>
              <w:tl2br w:val="nil"/>
              <w:tr2bl w:val="nil"/>
            </w:tcBorders>
            <w:vAlign w:val="center"/>
          </w:tcPr>
          <w:p w14:paraId="054C3948">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1B5CE31C">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47E77154">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4B27F459">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56BCAFC4">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6E305465">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4CEF9B48">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14F189C1">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54B5E012">
            <w:pPr>
              <w:pStyle w:val="31"/>
              <w:jc w:val="center"/>
              <w:rPr>
                <w:rFonts w:hint="default" w:ascii="Times New Roman" w:hAnsi="Times New Roman" w:eastAsia="仿宋" w:cs="Times New Roman"/>
                <w:color w:val="auto"/>
                <w:sz w:val="21"/>
                <w:szCs w:val="21"/>
                <w:highlight w:val="none"/>
              </w:rPr>
            </w:pPr>
          </w:p>
        </w:tc>
      </w:tr>
      <w:tr w14:paraId="7A06B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232849E0">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电泳处理线中和后水洗废水</w:t>
            </w:r>
          </w:p>
        </w:tc>
        <w:tc>
          <w:tcPr>
            <w:tcW w:w="881" w:type="pct"/>
            <w:tcBorders>
              <w:tl2br w:val="nil"/>
              <w:tr2bl w:val="nil"/>
            </w:tcBorders>
            <w:vAlign w:val="center"/>
          </w:tcPr>
          <w:p w14:paraId="2A8750EA">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13446322">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5C5C53E7">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11AA212A">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7669CBDC">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5286384E">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11AA4C7D">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2B6F8344">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0BACC0CC">
            <w:pPr>
              <w:pStyle w:val="31"/>
              <w:jc w:val="center"/>
              <w:rPr>
                <w:rFonts w:hint="default" w:ascii="Times New Roman" w:hAnsi="Times New Roman" w:eastAsia="仿宋" w:cs="Times New Roman"/>
                <w:color w:val="auto"/>
                <w:sz w:val="21"/>
                <w:szCs w:val="21"/>
                <w:highlight w:val="none"/>
              </w:rPr>
            </w:pPr>
          </w:p>
        </w:tc>
      </w:tr>
      <w:tr w14:paraId="20762B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shd w:val="clear" w:color="auto" w:fill="auto"/>
            <w:vAlign w:val="center"/>
          </w:tcPr>
          <w:p w14:paraId="21298C5C">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电泳处理线回收后水洗废水</w:t>
            </w:r>
          </w:p>
        </w:tc>
        <w:tc>
          <w:tcPr>
            <w:tcW w:w="881" w:type="pct"/>
            <w:tcBorders>
              <w:tl2br w:val="nil"/>
              <w:tr2bl w:val="nil"/>
            </w:tcBorders>
            <w:shd w:val="clear" w:color="auto" w:fill="auto"/>
            <w:vAlign w:val="center"/>
          </w:tcPr>
          <w:p w14:paraId="42C8BB6C">
            <w:pPr>
              <w:pStyle w:val="31"/>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pH、COD、SS、TP、TN、氨氮</w:t>
            </w:r>
          </w:p>
        </w:tc>
        <w:tc>
          <w:tcPr>
            <w:tcW w:w="408" w:type="pct"/>
            <w:vMerge w:val="continue"/>
            <w:tcBorders>
              <w:tl2br w:val="nil"/>
              <w:tr2bl w:val="nil"/>
            </w:tcBorders>
            <w:vAlign w:val="center"/>
          </w:tcPr>
          <w:p w14:paraId="314614EE">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4F661040">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216F4C8D">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11E03DA5">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4704C54F">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5448E37A">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585D9BE5">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10621994">
            <w:pPr>
              <w:pStyle w:val="31"/>
              <w:jc w:val="center"/>
              <w:rPr>
                <w:rFonts w:hint="default" w:ascii="Times New Roman" w:hAnsi="Times New Roman" w:eastAsia="仿宋" w:cs="Times New Roman"/>
                <w:color w:val="auto"/>
                <w:sz w:val="21"/>
                <w:szCs w:val="21"/>
                <w:highlight w:val="none"/>
              </w:rPr>
            </w:pPr>
          </w:p>
        </w:tc>
      </w:tr>
      <w:tr w14:paraId="72B68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63BBFADF">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喷粉前处理线表调后水洗废水</w:t>
            </w:r>
          </w:p>
        </w:tc>
        <w:tc>
          <w:tcPr>
            <w:tcW w:w="881" w:type="pct"/>
            <w:tcBorders>
              <w:tl2br w:val="nil"/>
              <w:tr2bl w:val="nil"/>
            </w:tcBorders>
            <w:vAlign w:val="center"/>
          </w:tcPr>
          <w:p w14:paraId="052DF194">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pH、COD、SS</w:t>
            </w:r>
          </w:p>
        </w:tc>
        <w:tc>
          <w:tcPr>
            <w:tcW w:w="408" w:type="pct"/>
            <w:vMerge w:val="continue"/>
            <w:tcBorders>
              <w:tl2br w:val="nil"/>
              <w:tr2bl w:val="nil"/>
            </w:tcBorders>
            <w:vAlign w:val="center"/>
          </w:tcPr>
          <w:p w14:paraId="1B1E4540">
            <w:pPr>
              <w:pStyle w:val="31"/>
              <w:rPr>
                <w:rFonts w:hint="default" w:ascii="Times New Roman" w:hAnsi="Times New Roman" w:eastAsia="仿宋" w:cs="Times New Roman"/>
                <w:color w:val="auto"/>
                <w:sz w:val="21"/>
                <w:szCs w:val="21"/>
                <w:highlight w:val="none"/>
                <w:lang w:val="en-US" w:eastAsia="zh-CN"/>
              </w:rPr>
            </w:pPr>
          </w:p>
        </w:tc>
        <w:tc>
          <w:tcPr>
            <w:tcW w:w="468" w:type="pct"/>
            <w:vMerge w:val="continue"/>
            <w:tcBorders>
              <w:tl2br w:val="nil"/>
              <w:tr2bl w:val="nil"/>
            </w:tcBorders>
            <w:vAlign w:val="center"/>
          </w:tcPr>
          <w:p w14:paraId="2D5B833A">
            <w:pPr>
              <w:pStyle w:val="31"/>
              <w:rPr>
                <w:rFonts w:hint="default" w:ascii="Times New Roman" w:hAnsi="Times New Roman" w:eastAsia="仿宋" w:cs="Times New Roman"/>
                <w:color w:val="auto"/>
                <w:sz w:val="21"/>
                <w:szCs w:val="21"/>
                <w:highlight w:val="none"/>
                <w:lang w:val="en-US" w:eastAsia="zh-CN"/>
              </w:rPr>
            </w:pPr>
          </w:p>
        </w:tc>
        <w:tc>
          <w:tcPr>
            <w:tcW w:w="440" w:type="pct"/>
            <w:vMerge w:val="continue"/>
            <w:tcBorders>
              <w:tl2br w:val="nil"/>
              <w:tr2bl w:val="nil"/>
            </w:tcBorders>
            <w:vAlign w:val="center"/>
          </w:tcPr>
          <w:p w14:paraId="192A422D">
            <w:pPr>
              <w:pStyle w:val="31"/>
              <w:rPr>
                <w:rFonts w:hint="default" w:ascii="Times New Roman" w:hAnsi="Times New Roman" w:eastAsia="仿宋" w:cs="Times New Roman"/>
                <w:color w:val="auto"/>
                <w:kern w:val="0"/>
                <w:sz w:val="21"/>
                <w:szCs w:val="21"/>
                <w:highlight w:val="none"/>
              </w:rPr>
            </w:pPr>
          </w:p>
        </w:tc>
        <w:tc>
          <w:tcPr>
            <w:tcW w:w="389" w:type="pct"/>
            <w:vMerge w:val="continue"/>
            <w:tcBorders>
              <w:tl2br w:val="nil"/>
              <w:tr2bl w:val="nil"/>
            </w:tcBorders>
            <w:vAlign w:val="center"/>
          </w:tcPr>
          <w:p w14:paraId="0E9ABD8E">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2972E607">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7FF625A1">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04EE6C28">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5EDC8887">
            <w:pPr>
              <w:pStyle w:val="31"/>
              <w:jc w:val="center"/>
              <w:rPr>
                <w:rFonts w:hint="default" w:ascii="Times New Roman" w:hAnsi="Times New Roman" w:eastAsia="仿宋" w:cs="Times New Roman"/>
                <w:color w:val="auto"/>
                <w:sz w:val="21"/>
                <w:szCs w:val="21"/>
                <w:highlight w:val="none"/>
              </w:rPr>
            </w:pPr>
          </w:p>
        </w:tc>
      </w:tr>
      <w:tr w14:paraId="533C2F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1022" w:type="pct"/>
            <w:tcBorders>
              <w:tl2br w:val="nil"/>
              <w:tr2bl w:val="nil"/>
            </w:tcBorders>
            <w:vAlign w:val="center"/>
          </w:tcPr>
          <w:p w14:paraId="48A72793">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超滤系统反冲洗水</w:t>
            </w:r>
          </w:p>
        </w:tc>
        <w:tc>
          <w:tcPr>
            <w:tcW w:w="881" w:type="pct"/>
            <w:tcBorders>
              <w:tl2br w:val="nil"/>
              <w:tr2bl w:val="nil"/>
            </w:tcBorders>
            <w:vAlign w:val="center"/>
          </w:tcPr>
          <w:p w14:paraId="6391D54B">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pH、COD、SS、TP、TN、氨氮</w:t>
            </w:r>
          </w:p>
        </w:tc>
        <w:tc>
          <w:tcPr>
            <w:tcW w:w="408" w:type="pct"/>
            <w:vMerge w:val="continue"/>
            <w:tcBorders>
              <w:tl2br w:val="nil"/>
              <w:tr2bl w:val="nil"/>
            </w:tcBorders>
            <w:vAlign w:val="center"/>
          </w:tcPr>
          <w:p w14:paraId="70B67591">
            <w:pPr>
              <w:pStyle w:val="31"/>
              <w:rPr>
                <w:rFonts w:hint="default" w:ascii="Times New Roman" w:hAnsi="Times New Roman" w:eastAsia="仿宋" w:cs="Times New Roman"/>
                <w:color w:val="auto"/>
                <w:sz w:val="21"/>
                <w:szCs w:val="21"/>
                <w:highlight w:val="none"/>
              </w:rPr>
            </w:pPr>
          </w:p>
        </w:tc>
        <w:tc>
          <w:tcPr>
            <w:tcW w:w="468" w:type="pct"/>
            <w:vMerge w:val="continue"/>
            <w:tcBorders>
              <w:tl2br w:val="nil"/>
              <w:tr2bl w:val="nil"/>
            </w:tcBorders>
            <w:vAlign w:val="center"/>
          </w:tcPr>
          <w:p w14:paraId="269F06B4">
            <w:pPr>
              <w:pStyle w:val="31"/>
              <w:rPr>
                <w:rFonts w:hint="default" w:ascii="Times New Roman" w:hAnsi="Times New Roman" w:eastAsia="仿宋" w:cs="Times New Roman"/>
                <w:color w:val="auto"/>
                <w:sz w:val="21"/>
                <w:szCs w:val="21"/>
                <w:highlight w:val="none"/>
              </w:rPr>
            </w:pPr>
          </w:p>
        </w:tc>
        <w:tc>
          <w:tcPr>
            <w:tcW w:w="440" w:type="pct"/>
            <w:vMerge w:val="continue"/>
            <w:tcBorders>
              <w:tl2br w:val="nil"/>
              <w:tr2bl w:val="nil"/>
            </w:tcBorders>
            <w:vAlign w:val="center"/>
          </w:tcPr>
          <w:p w14:paraId="0A653323">
            <w:pPr>
              <w:pStyle w:val="31"/>
              <w:rPr>
                <w:rFonts w:hint="default" w:ascii="Times New Roman" w:hAnsi="Times New Roman" w:eastAsia="仿宋" w:cs="Times New Roman"/>
                <w:color w:val="auto"/>
                <w:sz w:val="21"/>
                <w:szCs w:val="21"/>
                <w:highlight w:val="none"/>
              </w:rPr>
            </w:pPr>
          </w:p>
        </w:tc>
        <w:tc>
          <w:tcPr>
            <w:tcW w:w="389" w:type="pct"/>
            <w:vMerge w:val="continue"/>
            <w:tcBorders>
              <w:tl2br w:val="nil"/>
              <w:tr2bl w:val="nil"/>
            </w:tcBorders>
            <w:vAlign w:val="center"/>
          </w:tcPr>
          <w:p w14:paraId="17C96D0F">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5D6335CE">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10E8D6B6">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290395AB">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2162E70C">
            <w:pPr>
              <w:pStyle w:val="31"/>
              <w:jc w:val="center"/>
              <w:rPr>
                <w:rFonts w:hint="default" w:ascii="Times New Roman" w:hAnsi="Times New Roman" w:eastAsia="仿宋" w:cs="Times New Roman"/>
                <w:color w:val="auto"/>
                <w:sz w:val="21"/>
                <w:szCs w:val="21"/>
                <w:highlight w:val="none"/>
              </w:rPr>
            </w:pPr>
          </w:p>
        </w:tc>
      </w:tr>
      <w:tr w14:paraId="75805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0EC71C61">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地面清洗废水</w:t>
            </w:r>
          </w:p>
        </w:tc>
        <w:tc>
          <w:tcPr>
            <w:tcW w:w="881" w:type="pct"/>
            <w:tcBorders>
              <w:tl2br w:val="nil"/>
              <w:tr2bl w:val="nil"/>
            </w:tcBorders>
            <w:vAlign w:val="center"/>
          </w:tcPr>
          <w:p w14:paraId="1B52A054">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pH、COD、SS、氨氮、TN、石油类、LAS、TP</w:t>
            </w:r>
          </w:p>
        </w:tc>
        <w:tc>
          <w:tcPr>
            <w:tcW w:w="408" w:type="pct"/>
            <w:vMerge w:val="continue"/>
            <w:tcBorders>
              <w:tl2br w:val="nil"/>
              <w:tr2bl w:val="nil"/>
            </w:tcBorders>
            <w:vAlign w:val="center"/>
          </w:tcPr>
          <w:p w14:paraId="6A21399C">
            <w:pPr>
              <w:pStyle w:val="31"/>
              <w:rPr>
                <w:rFonts w:hint="default" w:ascii="Times New Roman" w:hAnsi="Times New Roman" w:eastAsia="仿宋" w:cs="Times New Roman"/>
                <w:color w:val="auto"/>
                <w:sz w:val="21"/>
                <w:szCs w:val="21"/>
                <w:highlight w:val="none"/>
              </w:rPr>
            </w:pPr>
          </w:p>
        </w:tc>
        <w:tc>
          <w:tcPr>
            <w:tcW w:w="468" w:type="pct"/>
            <w:vMerge w:val="continue"/>
            <w:tcBorders>
              <w:tl2br w:val="nil"/>
              <w:tr2bl w:val="nil"/>
            </w:tcBorders>
            <w:vAlign w:val="center"/>
          </w:tcPr>
          <w:p w14:paraId="592EF5A5">
            <w:pPr>
              <w:pStyle w:val="31"/>
              <w:rPr>
                <w:rFonts w:hint="default" w:ascii="Times New Roman" w:hAnsi="Times New Roman" w:eastAsia="仿宋" w:cs="Times New Roman"/>
                <w:color w:val="auto"/>
                <w:sz w:val="21"/>
                <w:szCs w:val="21"/>
                <w:highlight w:val="none"/>
              </w:rPr>
            </w:pPr>
          </w:p>
        </w:tc>
        <w:tc>
          <w:tcPr>
            <w:tcW w:w="440" w:type="pct"/>
            <w:vMerge w:val="continue"/>
            <w:tcBorders>
              <w:tl2br w:val="nil"/>
              <w:tr2bl w:val="nil"/>
            </w:tcBorders>
            <w:vAlign w:val="center"/>
          </w:tcPr>
          <w:p w14:paraId="7058ADF3">
            <w:pPr>
              <w:pStyle w:val="31"/>
              <w:rPr>
                <w:rFonts w:hint="default" w:ascii="Times New Roman" w:hAnsi="Times New Roman" w:eastAsia="仿宋" w:cs="Times New Roman"/>
                <w:color w:val="auto"/>
                <w:sz w:val="21"/>
                <w:szCs w:val="21"/>
                <w:highlight w:val="none"/>
              </w:rPr>
            </w:pPr>
          </w:p>
        </w:tc>
        <w:tc>
          <w:tcPr>
            <w:tcW w:w="389" w:type="pct"/>
            <w:vMerge w:val="continue"/>
            <w:tcBorders>
              <w:tl2br w:val="nil"/>
              <w:tr2bl w:val="nil"/>
            </w:tcBorders>
            <w:vAlign w:val="center"/>
          </w:tcPr>
          <w:p w14:paraId="7AD1B71B">
            <w:pPr>
              <w:pStyle w:val="31"/>
              <w:rPr>
                <w:rFonts w:hint="default" w:ascii="Times New Roman" w:hAnsi="Times New Roman" w:eastAsia="仿宋" w:cs="Times New Roman"/>
                <w:color w:val="auto"/>
                <w:sz w:val="21"/>
                <w:szCs w:val="21"/>
                <w:highlight w:val="none"/>
              </w:rPr>
            </w:pPr>
          </w:p>
        </w:tc>
        <w:tc>
          <w:tcPr>
            <w:tcW w:w="258" w:type="pct"/>
            <w:vMerge w:val="continue"/>
            <w:tcBorders>
              <w:tl2br w:val="nil"/>
              <w:tr2bl w:val="nil"/>
            </w:tcBorders>
            <w:vAlign w:val="center"/>
          </w:tcPr>
          <w:p w14:paraId="5BAEC274">
            <w:pPr>
              <w:pStyle w:val="31"/>
              <w:rPr>
                <w:rFonts w:hint="default" w:ascii="Times New Roman" w:hAnsi="Times New Roman" w:eastAsia="仿宋" w:cs="Times New Roman"/>
                <w:color w:val="auto"/>
                <w:sz w:val="21"/>
                <w:szCs w:val="21"/>
                <w:highlight w:val="none"/>
              </w:rPr>
            </w:pPr>
          </w:p>
        </w:tc>
        <w:tc>
          <w:tcPr>
            <w:tcW w:w="192" w:type="pct"/>
            <w:vMerge w:val="continue"/>
            <w:tcBorders>
              <w:tl2br w:val="nil"/>
              <w:tr2bl w:val="nil"/>
            </w:tcBorders>
            <w:vAlign w:val="center"/>
          </w:tcPr>
          <w:p w14:paraId="1278982B">
            <w:pPr>
              <w:pStyle w:val="31"/>
              <w:rPr>
                <w:rFonts w:hint="default" w:ascii="Times New Roman" w:hAnsi="Times New Roman" w:eastAsia="仿宋" w:cs="Times New Roman"/>
                <w:color w:val="auto"/>
                <w:sz w:val="21"/>
                <w:szCs w:val="21"/>
                <w:highlight w:val="none"/>
              </w:rPr>
            </w:pPr>
          </w:p>
        </w:tc>
        <w:tc>
          <w:tcPr>
            <w:tcW w:w="383" w:type="pct"/>
            <w:vMerge w:val="continue"/>
            <w:tcBorders>
              <w:tl2br w:val="nil"/>
              <w:tr2bl w:val="nil"/>
            </w:tcBorders>
            <w:vAlign w:val="center"/>
          </w:tcPr>
          <w:p w14:paraId="597420DD">
            <w:pPr>
              <w:pStyle w:val="31"/>
              <w:rPr>
                <w:rFonts w:hint="default" w:ascii="Times New Roman" w:hAnsi="Times New Roman" w:eastAsia="仿宋" w:cs="Times New Roman"/>
                <w:color w:val="auto"/>
                <w:sz w:val="21"/>
                <w:szCs w:val="21"/>
                <w:highlight w:val="none"/>
              </w:rPr>
            </w:pPr>
          </w:p>
        </w:tc>
        <w:tc>
          <w:tcPr>
            <w:tcW w:w="556" w:type="pct"/>
            <w:vMerge w:val="continue"/>
            <w:tcBorders>
              <w:tl2br w:val="nil"/>
              <w:tr2bl w:val="nil"/>
            </w:tcBorders>
            <w:vAlign w:val="center"/>
          </w:tcPr>
          <w:p w14:paraId="237D5AE5">
            <w:pPr>
              <w:pStyle w:val="31"/>
              <w:jc w:val="center"/>
              <w:rPr>
                <w:rFonts w:hint="default" w:ascii="Times New Roman" w:hAnsi="Times New Roman" w:eastAsia="仿宋" w:cs="Times New Roman"/>
                <w:color w:val="auto"/>
                <w:sz w:val="21"/>
                <w:szCs w:val="21"/>
                <w:highlight w:val="none"/>
              </w:rPr>
            </w:pPr>
          </w:p>
        </w:tc>
      </w:tr>
      <w:tr w14:paraId="2BD0D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022" w:type="pct"/>
            <w:tcBorders>
              <w:tl2br w:val="nil"/>
              <w:tr2bl w:val="nil"/>
            </w:tcBorders>
            <w:vAlign w:val="center"/>
          </w:tcPr>
          <w:p w14:paraId="76610204">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纯水制备浓水</w:t>
            </w:r>
          </w:p>
        </w:tc>
        <w:tc>
          <w:tcPr>
            <w:tcW w:w="881" w:type="pct"/>
            <w:tcBorders>
              <w:tl2br w:val="nil"/>
              <w:tr2bl w:val="nil"/>
            </w:tcBorders>
            <w:vAlign w:val="center"/>
          </w:tcPr>
          <w:p w14:paraId="1D97B812">
            <w:pPr>
              <w:pStyle w:val="31"/>
              <w:rPr>
                <w:rFonts w:hint="eastAsia"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pH、COD、SS</w:t>
            </w:r>
          </w:p>
        </w:tc>
        <w:tc>
          <w:tcPr>
            <w:tcW w:w="408" w:type="pct"/>
            <w:tcBorders>
              <w:tl2br w:val="nil"/>
              <w:tr2bl w:val="nil"/>
            </w:tcBorders>
            <w:vAlign w:val="center"/>
          </w:tcPr>
          <w:p w14:paraId="763F25B7">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68" w:type="pct"/>
            <w:tcBorders>
              <w:tl2br w:val="nil"/>
              <w:tr2bl w:val="nil"/>
            </w:tcBorders>
            <w:vAlign w:val="center"/>
          </w:tcPr>
          <w:p w14:paraId="2E1C5EF9">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440" w:type="pct"/>
            <w:tcBorders>
              <w:tl2br w:val="nil"/>
              <w:tr2bl w:val="nil"/>
            </w:tcBorders>
            <w:vAlign w:val="center"/>
          </w:tcPr>
          <w:p w14:paraId="526933AE">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89" w:type="pct"/>
            <w:vMerge w:val="continue"/>
            <w:tcBorders>
              <w:tl2br w:val="nil"/>
              <w:tr2bl w:val="nil"/>
            </w:tcBorders>
            <w:vAlign w:val="center"/>
          </w:tcPr>
          <w:p w14:paraId="688F219D">
            <w:pPr>
              <w:pStyle w:val="31"/>
              <w:rPr>
                <w:rFonts w:hint="eastAsia" w:eastAsia="仿宋" w:cs="Times New Roman"/>
                <w:color w:val="auto"/>
                <w:sz w:val="21"/>
                <w:szCs w:val="21"/>
                <w:highlight w:val="none"/>
                <w:lang w:val="en-US" w:eastAsia="zh-CN"/>
              </w:rPr>
            </w:pPr>
          </w:p>
        </w:tc>
        <w:tc>
          <w:tcPr>
            <w:tcW w:w="258" w:type="pct"/>
            <w:tcBorders>
              <w:tl2br w:val="nil"/>
              <w:tr2bl w:val="nil"/>
            </w:tcBorders>
            <w:vAlign w:val="center"/>
          </w:tcPr>
          <w:p w14:paraId="54630170">
            <w:pPr>
              <w:pStyle w:val="31"/>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间歇排放</w:t>
            </w:r>
          </w:p>
        </w:tc>
        <w:tc>
          <w:tcPr>
            <w:tcW w:w="192" w:type="pct"/>
            <w:tcBorders>
              <w:tl2br w:val="nil"/>
              <w:tr2bl w:val="nil"/>
            </w:tcBorders>
            <w:vAlign w:val="center"/>
          </w:tcPr>
          <w:p w14:paraId="775CF56C">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DW001</w:t>
            </w:r>
          </w:p>
        </w:tc>
        <w:tc>
          <w:tcPr>
            <w:tcW w:w="383" w:type="pct"/>
            <w:tcBorders>
              <w:tl2br w:val="nil"/>
              <w:tr2bl w:val="nil"/>
            </w:tcBorders>
            <w:vAlign w:val="center"/>
          </w:tcPr>
          <w:p w14:paraId="23055484">
            <w:pPr>
              <w:pStyle w:val="31"/>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highlight w:val="none"/>
                <w:lang w:val="en-US" w:eastAsia="zh-CN"/>
              </w:rPr>
              <w:t>是</w:t>
            </w:r>
          </w:p>
        </w:tc>
        <w:tc>
          <w:tcPr>
            <w:tcW w:w="556" w:type="pct"/>
            <w:tcBorders>
              <w:tl2br w:val="nil"/>
              <w:tr2bl w:val="nil"/>
            </w:tcBorders>
            <w:vAlign w:val="center"/>
          </w:tcPr>
          <w:p w14:paraId="6B140B65">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52"/>
            </w:r>
            <w:r>
              <w:rPr>
                <w:rFonts w:hint="default" w:ascii="Times New Roman" w:hAnsi="Times New Roman" w:eastAsia="仿宋" w:cs="Times New Roman"/>
                <w:color w:val="auto"/>
                <w:sz w:val="21"/>
                <w:szCs w:val="21"/>
                <w:highlight w:val="none"/>
              </w:rPr>
              <w:t>企业总排</w:t>
            </w:r>
          </w:p>
          <w:p w14:paraId="75F65917">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雨水排放</w:t>
            </w:r>
          </w:p>
          <w:p w14:paraId="284BC2F4">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清净下水排放</w:t>
            </w:r>
          </w:p>
          <w:p w14:paraId="415EA59A">
            <w:pPr>
              <w:pStyle w:val="31"/>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温排水排放</w:t>
            </w:r>
          </w:p>
          <w:p w14:paraId="0BE9246C">
            <w:pPr>
              <w:pStyle w:val="31"/>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sym w:font="Wingdings 2" w:char="00A3"/>
            </w:r>
            <w:r>
              <w:rPr>
                <w:rFonts w:hint="default" w:ascii="Times New Roman" w:hAnsi="Times New Roman" w:eastAsia="仿宋" w:cs="Times New Roman"/>
                <w:color w:val="auto"/>
                <w:sz w:val="21"/>
                <w:szCs w:val="21"/>
                <w:highlight w:val="none"/>
              </w:rPr>
              <w:t>车间或车间处理设施排放口</w:t>
            </w:r>
          </w:p>
        </w:tc>
      </w:tr>
    </w:tbl>
    <w:p w14:paraId="451E3A2D">
      <w:pPr>
        <w:tabs>
          <w:tab w:val="left" w:pos="2010"/>
        </w:tabs>
        <w:adjustRightInd w:val="0"/>
        <w:snapToGrid w:val="0"/>
        <w:spacing w:line="360" w:lineRule="auto"/>
        <w:rPr>
          <w:b/>
          <w:color w:val="auto"/>
          <w:kern w:val="0"/>
          <w:sz w:val="28"/>
          <w:szCs w:val="28"/>
          <w:highlight w:val="none"/>
        </w:rPr>
      </w:pPr>
    </w:p>
    <w:p w14:paraId="483F4894">
      <w:pPr>
        <w:tabs>
          <w:tab w:val="left" w:pos="2010"/>
        </w:tabs>
        <w:adjustRightInd w:val="0"/>
        <w:snapToGrid w:val="0"/>
        <w:spacing w:line="360" w:lineRule="auto"/>
        <w:rPr>
          <w:b/>
          <w:color w:val="auto"/>
          <w:kern w:val="0"/>
          <w:sz w:val="28"/>
          <w:szCs w:val="28"/>
          <w:highlight w:val="none"/>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
        <w:gridCol w:w="9596"/>
      </w:tblGrid>
      <w:tr w14:paraId="241B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7" w:hRule="atLeast"/>
        </w:trPr>
        <w:tc>
          <w:tcPr>
            <w:tcW w:w="182" w:type="pct"/>
          </w:tcPr>
          <w:p w14:paraId="7F615526">
            <w:pPr>
              <w:tabs>
                <w:tab w:val="left" w:pos="2010"/>
              </w:tabs>
              <w:adjustRightInd w:val="0"/>
              <w:snapToGrid w:val="0"/>
              <w:spacing w:line="360" w:lineRule="auto"/>
              <w:rPr>
                <w:b/>
                <w:color w:val="auto"/>
                <w:kern w:val="0"/>
                <w:sz w:val="28"/>
                <w:szCs w:val="28"/>
                <w:highlight w:val="none"/>
                <w:vertAlign w:val="baseline"/>
              </w:rPr>
            </w:pPr>
          </w:p>
        </w:tc>
        <w:tc>
          <w:tcPr>
            <w:tcW w:w="4817" w:type="pct"/>
          </w:tcPr>
          <w:p w14:paraId="7506EA0E">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废水间接排放口基本情况</w:t>
            </w:r>
          </w:p>
          <w:tbl>
            <w:tblPr>
              <w:tblStyle w:val="20"/>
              <w:tblW w:w="4996" w:type="pct"/>
              <w:tblInd w:w="-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98"/>
              <w:gridCol w:w="837"/>
              <w:gridCol w:w="998"/>
              <w:gridCol w:w="748"/>
              <w:gridCol w:w="742"/>
              <w:gridCol w:w="686"/>
              <w:gridCol w:w="976"/>
              <w:gridCol w:w="998"/>
              <w:gridCol w:w="1562"/>
            </w:tblGrid>
            <w:tr w14:paraId="2BB76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restart"/>
                  <w:tcBorders>
                    <w:tl2br w:val="nil"/>
                    <w:tr2bl w:val="nil"/>
                  </w:tcBorders>
                  <w:vAlign w:val="center"/>
                </w:tcPr>
                <w:p w14:paraId="27BEFDA4">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982" w:type="pct"/>
                  <w:gridSpan w:val="2"/>
                  <w:tcBorders>
                    <w:tl2br w:val="nil"/>
                    <w:tr2bl w:val="nil"/>
                  </w:tcBorders>
                  <w:vAlign w:val="center"/>
                </w:tcPr>
                <w:p w14:paraId="4B73B8FA">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排放口地理坐标</w:t>
                  </w:r>
                </w:p>
              </w:tc>
              <w:tc>
                <w:tcPr>
                  <w:tcW w:w="534" w:type="pct"/>
                  <w:vMerge w:val="restart"/>
                  <w:tcBorders>
                    <w:tl2br w:val="nil"/>
                    <w:tr2bl w:val="nil"/>
                  </w:tcBorders>
                  <w:vAlign w:val="center"/>
                </w:tcPr>
                <w:p w14:paraId="0C228082">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废水排放量</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万t/a</w:t>
                  </w:r>
                  <w:r>
                    <w:rPr>
                      <w:rFonts w:hint="default" w:ascii="Times New Roman" w:hAnsi="Times New Roman" w:eastAsia="仿宋" w:cs="Times New Roman"/>
                      <w:b/>
                      <w:color w:val="auto"/>
                      <w:sz w:val="21"/>
                      <w:szCs w:val="21"/>
                      <w:highlight w:val="none"/>
                      <w:lang w:eastAsia="zh-CN"/>
                    </w:rPr>
                    <w:t>）</w:t>
                  </w:r>
                </w:p>
              </w:tc>
              <w:tc>
                <w:tcPr>
                  <w:tcW w:w="400" w:type="pct"/>
                  <w:vMerge w:val="restart"/>
                  <w:tcBorders>
                    <w:tl2br w:val="nil"/>
                    <w:tr2bl w:val="nil"/>
                  </w:tcBorders>
                  <w:vAlign w:val="center"/>
                </w:tcPr>
                <w:p w14:paraId="6A02F058">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排放去向</w:t>
                  </w:r>
                </w:p>
              </w:tc>
              <w:tc>
                <w:tcPr>
                  <w:tcW w:w="397" w:type="pct"/>
                  <w:vMerge w:val="restart"/>
                  <w:tcBorders>
                    <w:tl2br w:val="nil"/>
                    <w:tr2bl w:val="nil"/>
                  </w:tcBorders>
                  <w:vAlign w:val="center"/>
                </w:tcPr>
                <w:p w14:paraId="2CF6AC8C">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排放规律</w:t>
                  </w:r>
                </w:p>
              </w:tc>
              <w:tc>
                <w:tcPr>
                  <w:tcW w:w="367" w:type="pct"/>
                  <w:vMerge w:val="restart"/>
                  <w:tcBorders>
                    <w:tl2br w:val="nil"/>
                    <w:tr2bl w:val="nil"/>
                  </w:tcBorders>
                  <w:vAlign w:val="center"/>
                </w:tcPr>
                <w:p w14:paraId="612A982A">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间歇排放时段</w:t>
                  </w:r>
                </w:p>
              </w:tc>
              <w:tc>
                <w:tcPr>
                  <w:tcW w:w="1892" w:type="pct"/>
                  <w:gridSpan w:val="3"/>
                  <w:tcBorders>
                    <w:tl2br w:val="nil"/>
                    <w:tr2bl w:val="nil"/>
                  </w:tcBorders>
                  <w:vAlign w:val="center"/>
                </w:tcPr>
                <w:p w14:paraId="4C8FFEE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受纳污水处理厂信息</w:t>
                  </w:r>
                </w:p>
              </w:tc>
            </w:tr>
            <w:tr w14:paraId="41F74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13F1025B">
                  <w:pPr>
                    <w:pStyle w:val="31"/>
                    <w:rPr>
                      <w:rFonts w:hint="default" w:ascii="Times New Roman" w:hAnsi="Times New Roman" w:eastAsia="仿宋" w:cs="Times New Roman"/>
                      <w:b/>
                      <w:color w:val="auto"/>
                      <w:sz w:val="21"/>
                      <w:szCs w:val="21"/>
                      <w:highlight w:val="none"/>
                    </w:rPr>
                  </w:pPr>
                </w:p>
              </w:tc>
              <w:tc>
                <w:tcPr>
                  <w:tcW w:w="534" w:type="pct"/>
                  <w:tcBorders>
                    <w:tl2br w:val="nil"/>
                    <w:tr2bl w:val="nil"/>
                  </w:tcBorders>
                  <w:vAlign w:val="center"/>
                </w:tcPr>
                <w:p w14:paraId="1FBF4BA8">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经度/°</w:t>
                  </w:r>
                </w:p>
              </w:tc>
              <w:tc>
                <w:tcPr>
                  <w:tcW w:w="447" w:type="pct"/>
                  <w:tcBorders>
                    <w:tl2br w:val="nil"/>
                    <w:tr2bl w:val="nil"/>
                  </w:tcBorders>
                  <w:vAlign w:val="center"/>
                </w:tcPr>
                <w:p w14:paraId="4B84FA37">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纬度/°</w:t>
                  </w:r>
                </w:p>
              </w:tc>
              <w:tc>
                <w:tcPr>
                  <w:tcW w:w="534" w:type="pct"/>
                  <w:vMerge w:val="continue"/>
                  <w:tcBorders>
                    <w:tl2br w:val="nil"/>
                    <w:tr2bl w:val="nil"/>
                  </w:tcBorders>
                  <w:vAlign w:val="center"/>
                </w:tcPr>
                <w:p w14:paraId="74290E03">
                  <w:pPr>
                    <w:pStyle w:val="31"/>
                    <w:rPr>
                      <w:rFonts w:hint="default" w:ascii="Times New Roman" w:hAnsi="Times New Roman" w:eastAsia="仿宋" w:cs="Times New Roman"/>
                      <w:b/>
                      <w:color w:val="auto"/>
                      <w:sz w:val="21"/>
                      <w:szCs w:val="21"/>
                      <w:highlight w:val="none"/>
                    </w:rPr>
                  </w:pPr>
                </w:p>
              </w:tc>
              <w:tc>
                <w:tcPr>
                  <w:tcW w:w="400" w:type="pct"/>
                  <w:vMerge w:val="continue"/>
                  <w:tcBorders>
                    <w:tl2br w:val="nil"/>
                    <w:tr2bl w:val="nil"/>
                  </w:tcBorders>
                  <w:vAlign w:val="center"/>
                </w:tcPr>
                <w:p w14:paraId="01C61D0C">
                  <w:pPr>
                    <w:pStyle w:val="31"/>
                    <w:rPr>
                      <w:rFonts w:hint="default" w:ascii="Times New Roman" w:hAnsi="Times New Roman" w:eastAsia="仿宋" w:cs="Times New Roman"/>
                      <w:b/>
                      <w:color w:val="auto"/>
                      <w:sz w:val="21"/>
                      <w:szCs w:val="21"/>
                      <w:highlight w:val="none"/>
                    </w:rPr>
                  </w:pPr>
                </w:p>
              </w:tc>
              <w:tc>
                <w:tcPr>
                  <w:tcW w:w="397" w:type="pct"/>
                  <w:vMerge w:val="continue"/>
                  <w:tcBorders>
                    <w:tl2br w:val="nil"/>
                    <w:tr2bl w:val="nil"/>
                  </w:tcBorders>
                  <w:vAlign w:val="center"/>
                </w:tcPr>
                <w:p w14:paraId="310CF1B4">
                  <w:pPr>
                    <w:pStyle w:val="31"/>
                    <w:rPr>
                      <w:rFonts w:hint="default" w:ascii="Times New Roman" w:hAnsi="Times New Roman" w:eastAsia="仿宋" w:cs="Times New Roman"/>
                      <w:b/>
                      <w:color w:val="auto"/>
                      <w:sz w:val="21"/>
                      <w:szCs w:val="21"/>
                      <w:highlight w:val="none"/>
                    </w:rPr>
                  </w:pPr>
                </w:p>
              </w:tc>
              <w:tc>
                <w:tcPr>
                  <w:tcW w:w="367" w:type="pct"/>
                  <w:vMerge w:val="continue"/>
                  <w:tcBorders>
                    <w:tl2br w:val="nil"/>
                    <w:tr2bl w:val="nil"/>
                  </w:tcBorders>
                  <w:vAlign w:val="center"/>
                </w:tcPr>
                <w:p w14:paraId="18D47B46">
                  <w:pPr>
                    <w:pStyle w:val="31"/>
                    <w:rPr>
                      <w:rFonts w:hint="default" w:ascii="Times New Roman" w:hAnsi="Times New Roman" w:eastAsia="仿宋" w:cs="Times New Roman"/>
                      <w:b/>
                      <w:color w:val="auto"/>
                      <w:sz w:val="21"/>
                      <w:szCs w:val="21"/>
                      <w:highlight w:val="none"/>
                    </w:rPr>
                  </w:pPr>
                </w:p>
              </w:tc>
              <w:tc>
                <w:tcPr>
                  <w:tcW w:w="522" w:type="pct"/>
                  <w:tcBorders>
                    <w:tl2br w:val="nil"/>
                    <w:tr2bl w:val="nil"/>
                  </w:tcBorders>
                  <w:vAlign w:val="center"/>
                </w:tcPr>
                <w:p w14:paraId="6E80D8C3">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534" w:type="pct"/>
                  <w:tcBorders>
                    <w:tl2br w:val="nil"/>
                    <w:tr2bl w:val="nil"/>
                  </w:tcBorders>
                  <w:vAlign w:val="center"/>
                </w:tcPr>
                <w:p w14:paraId="4F6778AF">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污染物种类</w:t>
                  </w:r>
                </w:p>
              </w:tc>
              <w:tc>
                <w:tcPr>
                  <w:tcW w:w="835" w:type="pct"/>
                  <w:tcBorders>
                    <w:tl2br w:val="nil"/>
                    <w:tr2bl w:val="nil"/>
                  </w:tcBorders>
                  <w:vAlign w:val="center"/>
                </w:tcPr>
                <w:p w14:paraId="340F5FDB">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国家</w:t>
                  </w:r>
                  <w:r>
                    <w:rPr>
                      <w:rFonts w:hint="default" w:ascii="Times New Roman" w:hAnsi="Times New Roman" w:eastAsia="仿宋" w:cs="Times New Roman"/>
                      <w:b/>
                      <w:color w:val="auto"/>
                      <w:sz w:val="21"/>
                      <w:szCs w:val="21"/>
                      <w:highlight w:val="none"/>
                      <w:lang w:eastAsia="zh-CN"/>
                    </w:rPr>
                    <w:t>或重</w:t>
                  </w:r>
                  <w:r>
                    <w:rPr>
                      <w:rFonts w:hint="default" w:ascii="Times New Roman" w:hAnsi="Times New Roman" w:eastAsia="仿宋" w:cs="Times New Roman"/>
                      <w:b/>
                      <w:color w:val="auto"/>
                      <w:sz w:val="21"/>
                      <w:szCs w:val="21"/>
                      <w:highlight w:val="none"/>
                    </w:rPr>
                    <w:t>点污染物排放标准浓度限值</w:t>
                  </w:r>
                </w:p>
                <w:p w14:paraId="3694FE8A">
                  <w:pPr>
                    <w:pStyle w:val="31"/>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mg/L</w:t>
                  </w:r>
                  <w:r>
                    <w:rPr>
                      <w:rFonts w:hint="default" w:ascii="Times New Roman" w:hAnsi="Times New Roman" w:eastAsia="仿宋" w:cs="Times New Roman"/>
                      <w:b/>
                      <w:color w:val="auto"/>
                      <w:sz w:val="21"/>
                      <w:szCs w:val="21"/>
                      <w:highlight w:val="none"/>
                      <w:lang w:eastAsia="zh-CN"/>
                    </w:rPr>
                    <w:t>）</w:t>
                  </w:r>
                </w:p>
              </w:tc>
            </w:tr>
            <w:tr w14:paraId="671B7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restart"/>
                  <w:tcBorders>
                    <w:tl2br w:val="nil"/>
                    <w:tr2bl w:val="nil"/>
                  </w:tcBorders>
                  <w:vAlign w:val="center"/>
                </w:tcPr>
                <w:p w14:paraId="4265D6E8">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DW001</w:t>
                  </w:r>
                </w:p>
              </w:tc>
              <w:tc>
                <w:tcPr>
                  <w:tcW w:w="534" w:type="pct"/>
                  <w:vMerge w:val="restart"/>
                  <w:tcBorders>
                    <w:tl2br w:val="nil"/>
                    <w:tr2bl w:val="nil"/>
                  </w:tcBorders>
                  <w:vAlign w:val="center"/>
                </w:tcPr>
                <w:p w14:paraId="38427189">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120.68354</w:t>
                  </w:r>
                  <w:r>
                    <w:rPr>
                      <w:rFonts w:hint="eastAsia" w:eastAsia="仿宋" w:cs="Times New Roman"/>
                      <w:color w:val="auto"/>
                      <w:sz w:val="21"/>
                      <w:szCs w:val="21"/>
                      <w:highlight w:val="none"/>
                      <w:lang w:val="en-US" w:eastAsia="zh-CN"/>
                    </w:rPr>
                    <w:t>8</w:t>
                  </w:r>
                </w:p>
              </w:tc>
              <w:tc>
                <w:tcPr>
                  <w:tcW w:w="447" w:type="pct"/>
                  <w:vMerge w:val="restart"/>
                  <w:tcBorders>
                    <w:tl2br w:val="nil"/>
                    <w:tr2bl w:val="nil"/>
                  </w:tcBorders>
                  <w:vAlign w:val="center"/>
                </w:tcPr>
                <w:p w14:paraId="50458DF2">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31.429599</w:t>
                  </w:r>
                </w:p>
              </w:tc>
              <w:tc>
                <w:tcPr>
                  <w:tcW w:w="534" w:type="pct"/>
                  <w:vMerge w:val="restart"/>
                  <w:tcBorders>
                    <w:tl2br w:val="nil"/>
                    <w:tr2bl w:val="nil"/>
                  </w:tcBorders>
                  <w:vAlign w:val="center"/>
                </w:tcPr>
                <w:p w14:paraId="12819DD7">
                  <w:pPr>
                    <w:pStyle w:val="31"/>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0.553245</w:t>
                  </w:r>
                </w:p>
              </w:tc>
              <w:tc>
                <w:tcPr>
                  <w:tcW w:w="400" w:type="pct"/>
                  <w:vMerge w:val="restart"/>
                  <w:tcBorders>
                    <w:tl2br w:val="nil"/>
                    <w:tr2bl w:val="nil"/>
                  </w:tcBorders>
                  <w:vAlign w:val="center"/>
                </w:tcPr>
                <w:p w14:paraId="0C689DA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城市污水处理厂</w:t>
                  </w:r>
                </w:p>
              </w:tc>
              <w:tc>
                <w:tcPr>
                  <w:tcW w:w="397" w:type="pct"/>
                  <w:vMerge w:val="restart"/>
                  <w:tcBorders>
                    <w:tl2br w:val="nil"/>
                    <w:tr2bl w:val="nil"/>
                  </w:tcBorders>
                  <w:vAlign w:val="center"/>
                </w:tcPr>
                <w:p w14:paraId="7E60C091">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间歇</w:t>
                  </w:r>
                </w:p>
              </w:tc>
              <w:tc>
                <w:tcPr>
                  <w:tcW w:w="367" w:type="pct"/>
                  <w:vMerge w:val="restart"/>
                  <w:tcBorders>
                    <w:tl2br w:val="nil"/>
                    <w:tr2bl w:val="nil"/>
                  </w:tcBorders>
                  <w:vAlign w:val="center"/>
                </w:tcPr>
                <w:p w14:paraId="14E5CDB4">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522" w:type="pct"/>
                  <w:vMerge w:val="restart"/>
                  <w:tcBorders>
                    <w:tl2br w:val="nil"/>
                    <w:tr2bl w:val="nil"/>
                  </w:tcBorders>
                  <w:vAlign w:val="center"/>
                </w:tcPr>
                <w:p w14:paraId="4EC7CF0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苏州高铁苏水水务有限公司（苏州高铁新城污水厂）</w:t>
                  </w:r>
                </w:p>
              </w:tc>
              <w:tc>
                <w:tcPr>
                  <w:tcW w:w="534" w:type="pct"/>
                  <w:tcBorders>
                    <w:tl2br w:val="nil"/>
                    <w:tr2bl w:val="nil"/>
                  </w:tcBorders>
                  <w:shd w:val="clear" w:color="auto" w:fill="auto"/>
                  <w:vAlign w:val="center"/>
                </w:tcPr>
                <w:p w14:paraId="5532D30B">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pH</w:t>
                  </w:r>
                </w:p>
              </w:tc>
              <w:tc>
                <w:tcPr>
                  <w:tcW w:w="835" w:type="pct"/>
                  <w:tcBorders>
                    <w:tl2br w:val="nil"/>
                    <w:tr2bl w:val="nil"/>
                  </w:tcBorders>
                  <w:shd w:val="clear" w:color="auto" w:fill="auto"/>
                  <w:vAlign w:val="center"/>
                </w:tcPr>
                <w:p w14:paraId="4DF96FF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p w14:paraId="2F8B8C9B">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无量纲</w:t>
                  </w:r>
                  <w:r>
                    <w:rPr>
                      <w:rFonts w:hint="default" w:ascii="Times New Roman" w:hAnsi="Times New Roman" w:eastAsia="仿宋" w:cs="Times New Roman"/>
                      <w:color w:val="auto"/>
                      <w:sz w:val="21"/>
                      <w:szCs w:val="21"/>
                      <w:highlight w:val="none"/>
                      <w:lang w:eastAsia="zh-CN"/>
                    </w:rPr>
                    <w:t>）</w:t>
                  </w:r>
                </w:p>
              </w:tc>
            </w:tr>
            <w:tr w14:paraId="16221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6D5EAA69">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49B59DA1">
                  <w:pPr>
                    <w:pStyle w:val="31"/>
                    <w:rPr>
                      <w:rFonts w:hint="default" w:ascii="Times New Roman" w:hAnsi="Times New Roman" w:eastAsia="仿宋" w:cs="Times New Roman"/>
                      <w:color w:val="auto"/>
                      <w:sz w:val="21"/>
                      <w:szCs w:val="21"/>
                      <w:highlight w:val="none"/>
                      <w:lang w:val="en-US" w:eastAsia="zh-CN"/>
                    </w:rPr>
                  </w:pPr>
                </w:p>
              </w:tc>
              <w:tc>
                <w:tcPr>
                  <w:tcW w:w="447" w:type="pct"/>
                  <w:vMerge w:val="continue"/>
                  <w:tcBorders>
                    <w:tl2br w:val="nil"/>
                    <w:tr2bl w:val="nil"/>
                  </w:tcBorders>
                  <w:vAlign w:val="center"/>
                </w:tcPr>
                <w:p w14:paraId="51E916FC">
                  <w:pPr>
                    <w:pStyle w:val="31"/>
                    <w:rPr>
                      <w:rFonts w:hint="default" w:ascii="Times New Roman" w:hAnsi="Times New Roman" w:eastAsia="仿宋" w:cs="Times New Roman"/>
                      <w:color w:val="auto"/>
                      <w:sz w:val="21"/>
                      <w:szCs w:val="21"/>
                      <w:highlight w:val="none"/>
                      <w:lang w:val="en-US" w:eastAsia="zh-CN"/>
                    </w:rPr>
                  </w:pPr>
                </w:p>
              </w:tc>
              <w:tc>
                <w:tcPr>
                  <w:tcW w:w="534" w:type="pct"/>
                  <w:vMerge w:val="continue"/>
                  <w:tcBorders>
                    <w:tl2br w:val="nil"/>
                    <w:tr2bl w:val="nil"/>
                  </w:tcBorders>
                  <w:vAlign w:val="center"/>
                </w:tcPr>
                <w:p w14:paraId="746DC1B3">
                  <w:pPr>
                    <w:pStyle w:val="31"/>
                    <w:rPr>
                      <w:rFonts w:hint="eastAsia" w:eastAsia="仿宋" w:cs="Times New Roman"/>
                      <w:color w:val="auto"/>
                      <w:sz w:val="21"/>
                      <w:szCs w:val="21"/>
                      <w:highlight w:val="none"/>
                      <w:lang w:val="en-US" w:eastAsia="zh-CN"/>
                    </w:rPr>
                  </w:pPr>
                </w:p>
              </w:tc>
              <w:tc>
                <w:tcPr>
                  <w:tcW w:w="400" w:type="pct"/>
                  <w:vMerge w:val="continue"/>
                  <w:tcBorders>
                    <w:tl2br w:val="nil"/>
                    <w:tr2bl w:val="nil"/>
                  </w:tcBorders>
                  <w:vAlign w:val="center"/>
                </w:tcPr>
                <w:p w14:paraId="61FF6CF7">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26626E27">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68037B32">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27894071">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631C86ED">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COD</w:t>
                  </w:r>
                </w:p>
              </w:tc>
              <w:tc>
                <w:tcPr>
                  <w:tcW w:w="835" w:type="pct"/>
                  <w:tcBorders>
                    <w:tl2br w:val="nil"/>
                    <w:tr2bl w:val="nil"/>
                  </w:tcBorders>
                  <w:shd w:val="clear" w:color="auto" w:fill="auto"/>
                  <w:vAlign w:val="center"/>
                </w:tcPr>
                <w:p w14:paraId="328D2460">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30</w:t>
                  </w:r>
                </w:p>
              </w:tc>
            </w:tr>
            <w:tr w14:paraId="1025A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7E2603BB">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24250CEB">
                  <w:pPr>
                    <w:pStyle w:val="31"/>
                    <w:rPr>
                      <w:rFonts w:hint="default" w:ascii="Times New Roman" w:hAnsi="Times New Roman" w:eastAsia="仿宋" w:cs="Times New Roman"/>
                      <w:color w:val="auto"/>
                      <w:sz w:val="21"/>
                      <w:szCs w:val="21"/>
                      <w:highlight w:val="none"/>
                      <w:lang w:val="en-US" w:eastAsia="zh-CN"/>
                    </w:rPr>
                  </w:pPr>
                </w:p>
              </w:tc>
              <w:tc>
                <w:tcPr>
                  <w:tcW w:w="447" w:type="pct"/>
                  <w:vMerge w:val="continue"/>
                  <w:tcBorders>
                    <w:tl2br w:val="nil"/>
                    <w:tr2bl w:val="nil"/>
                  </w:tcBorders>
                  <w:vAlign w:val="center"/>
                </w:tcPr>
                <w:p w14:paraId="66820A2E">
                  <w:pPr>
                    <w:pStyle w:val="31"/>
                    <w:rPr>
                      <w:rFonts w:hint="default" w:ascii="Times New Roman" w:hAnsi="Times New Roman" w:eastAsia="仿宋" w:cs="Times New Roman"/>
                      <w:color w:val="auto"/>
                      <w:sz w:val="21"/>
                      <w:szCs w:val="21"/>
                      <w:highlight w:val="none"/>
                      <w:lang w:val="en-US" w:eastAsia="zh-CN"/>
                    </w:rPr>
                  </w:pPr>
                </w:p>
              </w:tc>
              <w:tc>
                <w:tcPr>
                  <w:tcW w:w="534" w:type="pct"/>
                  <w:vMerge w:val="continue"/>
                  <w:tcBorders>
                    <w:tl2br w:val="nil"/>
                    <w:tr2bl w:val="nil"/>
                  </w:tcBorders>
                  <w:vAlign w:val="center"/>
                </w:tcPr>
                <w:p w14:paraId="3A704EC5">
                  <w:pPr>
                    <w:pStyle w:val="31"/>
                    <w:rPr>
                      <w:rFonts w:hint="eastAsia" w:eastAsia="仿宋" w:cs="Times New Roman"/>
                      <w:color w:val="auto"/>
                      <w:sz w:val="21"/>
                      <w:szCs w:val="21"/>
                      <w:highlight w:val="none"/>
                      <w:lang w:val="en-US" w:eastAsia="zh-CN"/>
                    </w:rPr>
                  </w:pPr>
                </w:p>
              </w:tc>
              <w:tc>
                <w:tcPr>
                  <w:tcW w:w="400" w:type="pct"/>
                  <w:vMerge w:val="continue"/>
                  <w:tcBorders>
                    <w:tl2br w:val="nil"/>
                    <w:tr2bl w:val="nil"/>
                  </w:tcBorders>
                  <w:vAlign w:val="center"/>
                </w:tcPr>
                <w:p w14:paraId="20A97618">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213B6E0E">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6840FBE4">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6466CA99">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43AEF248">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SS</w:t>
                  </w:r>
                </w:p>
              </w:tc>
              <w:tc>
                <w:tcPr>
                  <w:tcW w:w="835" w:type="pct"/>
                  <w:tcBorders>
                    <w:tl2br w:val="nil"/>
                    <w:tr2bl w:val="nil"/>
                  </w:tcBorders>
                  <w:shd w:val="clear" w:color="auto" w:fill="auto"/>
                  <w:vAlign w:val="center"/>
                </w:tcPr>
                <w:p w14:paraId="3F4317A2">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r>
            <w:tr w14:paraId="1E12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6E38EF51">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0E6AE34F">
                  <w:pPr>
                    <w:pStyle w:val="31"/>
                    <w:rPr>
                      <w:rFonts w:hint="default" w:ascii="Times New Roman" w:hAnsi="Times New Roman" w:eastAsia="仿宋" w:cs="Times New Roman"/>
                      <w:color w:val="auto"/>
                      <w:sz w:val="21"/>
                      <w:szCs w:val="21"/>
                      <w:highlight w:val="none"/>
                      <w:lang w:val="en-US" w:eastAsia="zh-CN"/>
                    </w:rPr>
                  </w:pPr>
                </w:p>
              </w:tc>
              <w:tc>
                <w:tcPr>
                  <w:tcW w:w="447" w:type="pct"/>
                  <w:vMerge w:val="continue"/>
                  <w:tcBorders>
                    <w:tl2br w:val="nil"/>
                    <w:tr2bl w:val="nil"/>
                  </w:tcBorders>
                  <w:vAlign w:val="center"/>
                </w:tcPr>
                <w:p w14:paraId="159C09D2">
                  <w:pPr>
                    <w:pStyle w:val="31"/>
                    <w:rPr>
                      <w:rFonts w:hint="default" w:ascii="Times New Roman" w:hAnsi="Times New Roman" w:eastAsia="仿宋" w:cs="Times New Roman"/>
                      <w:color w:val="auto"/>
                      <w:sz w:val="21"/>
                      <w:szCs w:val="21"/>
                      <w:highlight w:val="none"/>
                      <w:lang w:val="en-US" w:eastAsia="zh-CN"/>
                    </w:rPr>
                  </w:pPr>
                </w:p>
              </w:tc>
              <w:tc>
                <w:tcPr>
                  <w:tcW w:w="534" w:type="pct"/>
                  <w:vMerge w:val="continue"/>
                  <w:tcBorders>
                    <w:tl2br w:val="nil"/>
                    <w:tr2bl w:val="nil"/>
                  </w:tcBorders>
                  <w:vAlign w:val="center"/>
                </w:tcPr>
                <w:p w14:paraId="400425DB">
                  <w:pPr>
                    <w:pStyle w:val="31"/>
                    <w:rPr>
                      <w:rFonts w:hint="eastAsia" w:eastAsia="仿宋" w:cs="Times New Roman"/>
                      <w:color w:val="auto"/>
                      <w:sz w:val="21"/>
                      <w:szCs w:val="21"/>
                      <w:highlight w:val="none"/>
                      <w:lang w:val="en-US" w:eastAsia="zh-CN"/>
                    </w:rPr>
                  </w:pPr>
                </w:p>
              </w:tc>
              <w:tc>
                <w:tcPr>
                  <w:tcW w:w="400" w:type="pct"/>
                  <w:vMerge w:val="continue"/>
                  <w:tcBorders>
                    <w:tl2br w:val="nil"/>
                    <w:tr2bl w:val="nil"/>
                  </w:tcBorders>
                  <w:vAlign w:val="center"/>
                </w:tcPr>
                <w:p w14:paraId="28D9115E">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34573388">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4BD6B8B1">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05874ADF">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1B6A738A">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氨氮</w:t>
                  </w:r>
                </w:p>
              </w:tc>
              <w:tc>
                <w:tcPr>
                  <w:tcW w:w="835" w:type="pct"/>
                  <w:tcBorders>
                    <w:tl2br w:val="nil"/>
                    <w:tr2bl w:val="nil"/>
                  </w:tcBorders>
                  <w:shd w:val="clear" w:color="auto" w:fill="auto"/>
                  <w:vAlign w:val="center"/>
                </w:tcPr>
                <w:p w14:paraId="010B594A">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1.5</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3</w:t>
                  </w:r>
                  <w:r>
                    <w:rPr>
                      <w:rFonts w:hint="eastAsia" w:eastAsia="仿宋" w:cs="Times New Roman"/>
                      <w:color w:val="auto"/>
                      <w:sz w:val="21"/>
                      <w:szCs w:val="21"/>
                      <w:highlight w:val="none"/>
                      <w:lang w:eastAsia="zh-CN"/>
                    </w:rPr>
                    <w:t>）</w:t>
                  </w:r>
                </w:p>
              </w:tc>
            </w:tr>
            <w:tr w14:paraId="6122F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79B9F7B4">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77537B48">
                  <w:pPr>
                    <w:pStyle w:val="31"/>
                    <w:rPr>
                      <w:rFonts w:hint="default" w:ascii="Times New Roman" w:hAnsi="Times New Roman" w:eastAsia="仿宋" w:cs="Times New Roman"/>
                      <w:color w:val="auto"/>
                      <w:sz w:val="21"/>
                      <w:szCs w:val="21"/>
                      <w:highlight w:val="none"/>
                      <w:lang w:val="en-US" w:eastAsia="zh-CN"/>
                    </w:rPr>
                  </w:pPr>
                </w:p>
              </w:tc>
              <w:tc>
                <w:tcPr>
                  <w:tcW w:w="447" w:type="pct"/>
                  <w:vMerge w:val="continue"/>
                  <w:tcBorders>
                    <w:tl2br w:val="nil"/>
                    <w:tr2bl w:val="nil"/>
                  </w:tcBorders>
                  <w:vAlign w:val="center"/>
                </w:tcPr>
                <w:p w14:paraId="49FA6E35">
                  <w:pPr>
                    <w:pStyle w:val="31"/>
                    <w:rPr>
                      <w:rFonts w:hint="default" w:ascii="Times New Roman" w:hAnsi="Times New Roman" w:eastAsia="仿宋" w:cs="Times New Roman"/>
                      <w:color w:val="auto"/>
                      <w:sz w:val="21"/>
                      <w:szCs w:val="21"/>
                      <w:highlight w:val="none"/>
                      <w:lang w:val="en-US" w:eastAsia="zh-CN"/>
                    </w:rPr>
                  </w:pPr>
                </w:p>
              </w:tc>
              <w:tc>
                <w:tcPr>
                  <w:tcW w:w="534" w:type="pct"/>
                  <w:vMerge w:val="continue"/>
                  <w:tcBorders>
                    <w:tl2br w:val="nil"/>
                    <w:tr2bl w:val="nil"/>
                  </w:tcBorders>
                  <w:vAlign w:val="center"/>
                </w:tcPr>
                <w:p w14:paraId="59B0B24C">
                  <w:pPr>
                    <w:pStyle w:val="31"/>
                    <w:rPr>
                      <w:rFonts w:hint="eastAsia" w:eastAsia="仿宋" w:cs="Times New Roman"/>
                      <w:color w:val="auto"/>
                      <w:sz w:val="21"/>
                      <w:szCs w:val="21"/>
                      <w:highlight w:val="none"/>
                      <w:lang w:val="en-US" w:eastAsia="zh-CN"/>
                    </w:rPr>
                  </w:pPr>
                </w:p>
              </w:tc>
              <w:tc>
                <w:tcPr>
                  <w:tcW w:w="400" w:type="pct"/>
                  <w:vMerge w:val="continue"/>
                  <w:tcBorders>
                    <w:tl2br w:val="nil"/>
                    <w:tr2bl w:val="nil"/>
                  </w:tcBorders>
                  <w:vAlign w:val="center"/>
                </w:tcPr>
                <w:p w14:paraId="79F8A4F2">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018ED4F7">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453AD1BD">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105EEB1E">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18A70FE4">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总磷</w:t>
                  </w:r>
                </w:p>
              </w:tc>
              <w:tc>
                <w:tcPr>
                  <w:tcW w:w="835" w:type="pct"/>
                  <w:tcBorders>
                    <w:tl2br w:val="nil"/>
                    <w:tr2bl w:val="nil"/>
                  </w:tcBorders>
                  <w:shd w:val="clear" w:color="auto" w:fill="auto"/>
                  <w:vAlign w:val="center"/>
                </w:tcPr>
                <w:p w14:paraId="6581BA82">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0.3</w:t>
                  </w:r>
                </w:p>
              </w:tc>
            </w:tr>
            <w:tr w14:paraId="6E533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3FEBE468">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65E35B8F">
                  <w:pPr>
                    <w:pStyle w:val="31"/>
                    <w:rPr>
                      <w:rFonts w:hint="default" w:ascii="Times New Roman" w:hAnsi="Times New Roman" w:eastAsia="仿宋" w:cs="Times New Roman"/>
                      <w:color w:val="auto"/>
                      <w:sz w:val="21"/>
                      <w:szCs w:val="21"/>
                      <w:highlight w:val="none"/>
                      <w:lang w:val="en-US" w:eastAsia="zh-CN"/>
                    </w:rPr>
                  </w:pPr>
                </w:p>
              </w:tc>
              <w:tc>
                <w:tcPr>
                  <w:tcW w:w="447" w:type="pct"/>
                  <w:vMerge w:val="continue"/>
                  <w:tcBorders>
                    <w:tl2br w:val="nil"/>
                    <w:tr2bl w:val="nil"/>
                  </w:tcBorders>
                  <w:vAlign w:val="center"/>
                </w:tcPr>
                <w:p w14:paraId="6C53460D">
                  <w:pPr>
                    <w:pStyle w:val="31"/>
                    <w:rPr>
                      <w:rFonts w:hint="default" w:ascii="Times New Roman" w:hAnsi="Times New Roman" w:eastAsia="仿宋" w:cs="Times New Roman"/>
                      <w:color w:val="auto"/>
                      <w:sz w:val="21"/>
                      <w:szCs w:val="21"/>
                      <w:highlight w:val="none"/>
                      <w:lang w:val="en-US" w:eastAsia="zh-CN"/>
                    </w:rPr>
                  </w:pPr>
                </w:p>
              </w:tc>
              <w:tc>
                <w:tcPr>
                  <w:tcW w:w="534" w:type="pct"/>
                  <w:vMerge w:val="continue"/>
                  <w:tcBorders>
                    <w:tl2br w:val="nil"/>
                    <w:tr2bl w:val="nil"/>
                  </w:tcBorders>
                  <w:vAlign w:val="center"/>
                </w:tcPr>
                <w:p w14:paraId="3E587FCD">
                  <w:pPr>
                    <w:pStyle w:val="31"/>
                    <w:rPr>
                      <w:rFonts w:hint="eastAsia" w:eastAsia="仿宋" w:cs="Times New Roman"/>
                      <w:color w:val="auto"/>
                      <w:sz w:val="21"/>
                      <w:szCs w:val="21"/>
                      <w:highlight w:val="none"/>
                      <w:lang w:val="en-US" w:eastAsia="zh-CN"/>
                    </w:rPr>
                  </w:pPr>
                </w:p>
              </w:tc>
              <w:tc>
                <w:tcPr>
                  <w:tcW w:w="400" w:type="pct"/>
                  <w:vMerge w:val="continue"/>
                  <w:tcBorders>
                    <w:tl2br w:val="nil"/>
                    <w:tr2bl w:val="nil"/>
                  </w:tcBorders>
                  <w:vAlign w:val="center"/>
                </w:tcPr>
                <w:p w14:paraId="1CF3F370">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49FD9AC9">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73A8640C">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564F5875">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3961B931">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总氮</w:t>
                  </w:r>
                </w:p>
              </w:tc>
              <w:tc>
                <w:tcPr>
                  <w:tcW w:w="835" w:type="pct"/>
                  <w:tcBorders>
                    <w:tl2br w:val="nil"/>
                    <w:tr2bl w:val="nil"/>
                  </w:tcBorders>
                  <w:shd w:val="clear" w:color="auto" w:fill="auto"/>
                  <w:vAlign w:val="center"/>
                </w:tcPr>
                <w:p w14:paraId="1FE0D693">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r>
            <w:tr w14:paraId="311FB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restart"/>
                  <w:tcBorders>
                    <w:tl2br w:val="nil"/>
                    <w:tr2bl w:val="nil"/>
                  </w:tcBorders>
                  <w:vAlign w:val="center"/>
                </w:tcPr>
                <w:p w14:paraId="14870375">
                  <w:pPr>
                    <w:pStyle w:val="31"/>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DW00</w:t>
                  </w:r>
                  <w:r>
                    <w:rPr>
                      <w:rFonts w:hint="eastAsia" w:eastAsia="仿宋" w:cs="Times New Roman"/>
                      <w:color w:val="auto"/>
                      <w:sz w:val="21"/>
                      <w:szCs w:val="21"/>
                      <w:highlight w:val="none"/>
                      <w:lang w:val="en-US" w:eastAsia="zh-CN"/>
                    </w:rPr>
                    <w:t>2</w:t>
                  </w:r>
                </w:p>
              </w:tc>
              <w:tc>
                <w:tcPr>
                  <w:tcW w:w="534" w:type="pct"/>
                  <w:vMerge w:val="restart"/>
                  <w:tcBorders>
                    <w:tl2br w:val="nil"/>
                    <w:tr2bl w:val="nil"/>
                  </w:tcBorders>
                  <w:vAlign w:val="center"/>
                </w:tcPr>
                <w:p w14:paraId="7DD49428">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120.539292</w:t>
                  </w:r>
                </w:p>
              </w:tc>
              <w:tc>
                <w:tcPr>
                  <w:tcW w:w="447" w:type="pct"/>
                  <w:vMerge w:val="restart"/>
                  <w:tcBorders>
                    <w:tl2br w:val="nil"/>
                    <w:tr2bl w:val="nil"/>
                  </w:tcBorders>
                  <w:vAlign w:val="center"/>
                </w:tcPr>
                <w:p w14:paraId="5A94EE76">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31.453262</w:t>
                  </w:r>
                </w:p>
              </w:tc>
              <w:tc>
                <w:tcPr>
                  <w:tcW w:w="534" w:type="pct"/>
                  <w:vMerge w:val="restart"/>
                  <w:tcBorders>
                    <w:tl2br w:val="nil"/>
                    <w:tr2bl w:val="nil"/>
                  </w:tcBorders>
                  <w:vAlign w:val="center"/>
                </w:tcPr>
                <w:p w14:paraId="5A7ECEA9">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1.042356</w:t>
                  </w:r>
                </w:p>
              </w:tc>
              <w:tc>
                <w:tcPr>
                  <w:tcW w:w="400" w:type="pct"/>
                  <w:vMerge w:val="continue"/>
                  <w:tcBorders>
                    <w:tl2br w:val="nil"/>
                    <w:tr2bl w:val="nil"/>
                  </w:tcBorders>
                  <w:vAlign w:val="center"/>
                </w:tcPr>
                <w:p w14:paraId="679099DE">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3D3C72BA">
                  <w:pPr>
                    <w:pStyle w:val="31"/>
                    <w:rPr>
                      <w:rFonts w:hint="default" w:ascii="Times New Roman" w:hAnsi="Times New Roman" w:eastAsia="仿宋" w:cs="Times New Roman"/>
                      <w:color w:val="auto"/>
                      <w:sz w:val="21"/>
                      <w:szCs w:val="21"/>
                      <w:highlight w:val="none"/>
                    </w:rPr>
                  </w:pPr>
                </w:p>
              </w:tc>
              <w:tc>
                <w:tcPr>
                  <w:tcW w:w="367" w:type="pct"/>
                  <w:vMerge w:val="restart"/>
                  <w:tcBorders>
                    <w:tl2br w:val="nil"/>
                    <w:tr2bl w:val="nil"/>
                  </w:tcBorders>
                  <w:vAlign w:val="center"/>
                </w:tcPr>
                <w:p w14:paraId="26ADD1B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522" w:type="pct"/>
                  <w:vMerge w:val="restart"/>
                  <w:tcBorders>
                    <w:tl2br w:val="nil"/>
                    <w:tr2bl w:val="nil"/>
                  </w:tcBorders>
                  <w:vAlign w:val="center"/>
                </w:tcPr>
                <w:p w14:paraId="4F14EDA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苏州高铁苏水水务有限公司（苏州高铁新城污水厂）</w:t>
                  </w:r>
                </w:p>
              </w:tc>
              <w:tc>
                <w:tcPr>
                  <w:tcW w:w="534" w:type="pct"/>
                  <w:tcBorders>
                    <w:tl2br w:val="nil"/>
                    <w:tr2bl w:val="nil"/>
                  </w:tcBorders>
                  <w:vAlign w:val="center"/>
                </w:tcPr>
                <w:p w14:paraId="202D111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w:t>
                  </w:r>
                </w:p>
              </w:tc>
              <w:tc>
                <w:tcPr>
                  <w:tcW w:w="835" w:type="pct"/>
                  <w:tcBorders>
                    <w:tl2br w:val="nil"/>
                    <w:tr2bl w:val="nil"/>
                  </w:tcBorders>
                  <w:vAlign w:val="center"/>
                </w:tcPr>
                <w:p w14:paraId="0FD758A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p w14:paraId="589B9132">
                  <w:pPr>
                    <w:pStyle w:val="31"/>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无量纲</w:t>
                  </w:r>
                  <w:r>
                    <w:rPr>
                      <w:rFonts w:hint="default" w:ascii="Times New Roman" w:hAnsi="Times New Roman" w:eastAsia="仿宋" w:cs="Times New Roman"/>
                      <w:color w:val="auto"/>
                      <w:sz w:val="21"/>
                      <w:szCs w:val="21"/>
                      <w:highlight w:val="none"/>
                      <w:lang w:eastAsia="zh-CN"/>
                    </w:rPr>
                    <w:t>）</w:t>
                  </w:r>
                </w:p>
              </w:tc>
            </w:tr>
            <w:tr w14:paraId="4874C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1AA54C60">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71905C03">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670DEF82">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2355FF7A">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2C9D7FBD">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04B77E7A">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23FB840E">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33EFEF5A">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0251D5AE">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835" w:type="pct"/>
                  <w:tcBorders>
                    <w:tl2br w:val="nil"/>
                    <w:tr2bl w:val="nil"/>
                  </w:tcBorders>
                  <w:vAlign w:val="center"/>
                </w:tcPr>
                <w:p w14:paraId="3F456C6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30</w:t>
                  </w:r>
                </w:p>
              </w:tc>
            </w:tr>
            <w:tr w14:paraId="08B4F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45414034">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613594D0">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10A10FEC">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08E51017">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23A9D825">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4C9F7708">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28A78B54">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050B761F">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44773DC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835" w:type="pct"/>
                  <w:tcBorders>
                    <w:tl2br w:val="nil"/>
                    <w:tr2bl w:val="nil"/>
                  </w:tcBorders>
                  <w:vAlign w:val="center"/>
                </w:tcPr>
                <w:p w14:paraId="64A399D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w:t>
                  </w:r>
                </w:p>
              </w:tc>
            </w:tr>
            <w:tr w14:paraId="42778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4D44A25C">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76397EEF">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015F94B6">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5BFA7040">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37D69894">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3DCB2DE5">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67355856">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13AD2D8A">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0CA50BC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氨氮</w:t>
                  </w:r>
                </w:p>
              </w:tc>
              <w:tc>
                <w:tcPr>
                  <w:tcW w:w="835" w:type="pct"/>
                  <w:tcBorders>
                    <w:tl2br w:val="nil"/>
                    <w:tr2bl w:val="nil"/>
                  </w:tcBorders>
                  <w:vAlign w:val="center"/>
                </w:tcPr>
                <w:p w14:paraId="1A699BEE">
                  <w:pPr>
                    <w:pStyle w:val="31"/>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1.5</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3</w:t>
                  </w:r>
                  <w:r>
                    <w:rPr>
                      <w:rFonts w:hint="eastAsia" w:eastAsia="仿宋" w:cs="Times New Roman"/>
                      <w:color w:val="auto"/>
                      <w:sz w:val="21"/>
                      <w:szCs w:val="21"/>
                      <w:highlight w:val="none"/>
                      <w:lang w:eastAsia="zh-CN"/>
                    </w:rPr>
                    <w:t>）</w:t>
                  </w:r>
                </w:p>
              </w:tc>
            </w:tr>
            <w:tr w14:paraId="7DFF8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32976413">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251D64EA">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09E36BC8">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6E8AF749">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72870938">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16B71B7E">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1B03D13A">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1BE2BA75">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2DDEC8C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总磷</w:t>
                  </w:r>
                </w:p>
              </w:tc>
              <w:tc>
                <w:tcPr>
                  <w:tcW w:w="835" w:type="pct"/>
                  <w:tcBorders>
                    <w:tl2br w:val="nil"/>
                    <w:tr2bl w:val="nil"/>
                  </w:tcBorders>
                  <w:vAlign w:val="center"/>
                </w:tcPr>
                <w:p w14:paraId="215130F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0.3</w:t>
                  </w:r>
                </w:p>
              </w:tc>
            </w:tr>
            <w:tr w14:paraId="51B98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06326ADB">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2D888A57">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6EC9DC53">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74DA606E">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1A4BE27E">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27CD3689">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665C43D1">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7CBEEBA6">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shd w:val="clear" w:color="auto" w:fill="auto"/>
                  <w:vAlign w:val="center"/>
                </w:tcPr>
                <w:p w14:paraId="34523770">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总氮</w:t>
                  </w:r>
                </w:p>
              </w:tc>
              <w:tc>
                <w:tcPr>
                  <w:tcW w:w="835" w:type="pct"/>
                  <w:tcBorders>
                    <w:tl2br w:val="nil"/>
                    <w:tr2bl w:val="nil"/>
                  </w:tcBorders>
                  <w:shd w:val="clear" w:color="auto" w:fill="auto"/>
                  <w:vAlign w:val="center"/>
                </w:tcPr>
                <w:p w14:paraId="00EFB28F">
                  <w:pPr>
                    <w:pStyle w:val="31"/>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10</w:t>
                  </w:r>
                </w:p>
              </w:tc>
            </w:tr>
            <w:tr w14:paraId="631F4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09F95860">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70E1FA18">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0D131D4D">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50199FBF">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7DF6AA93">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19F377D5">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7A5868A9">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215F0E5E">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64CAE344">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石油类</w:t>
                  </w:r>
                </w:p>
              </w:tc>
              <w:tc>
                <w:tcPr>
                  <w:tcW w:w="835" w:type="pct"/>
                  <w:tcBorders>
                    <w:tl2br w:val="nil"/>
                    <w:tr2bl w:val="nil"/>
                  </w:tcBorders>
                  <w:vAlign w:val="center"/>
                </w:tcPr>
                <w:p w14:paraId="08272744">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r>
            <w:tr w14:paraId="0F8AE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pct"/>
                  <w:vMerge w:val="continue"/>
                  <w:tcBorders>
                    <w:tl2br w:val="nil"/>
                    <w:tr2bl w:val="nil"/>
                  </w:tcBorders>
                  <w:vAlign w:val="center"/>
                </w:tcPr>
                <w:p w14:paraId="3345A9E7">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641DABDA">
                  <w:pPr>
                    <w:pStyle w:val="31"/>
                    <w:rPr>
                      <w:rFonts w:hint="default" w:ascii="Times New Roman" w:hAnsi="Times New Roman" w:eastAsia="仿宋" w:cs="Times New Roman"/>
                      <w:color w:val="auto"/>
                      <w:sz w:val="21"/>
                      <w:szCs w:val="21"/>
                      <w:highlight w:val="none"/>
                    </w:rPr>
                  </w:pPr>
                </w:p>
              </w:tc>
              <w:tc>
                <w:tcPr>
                  <w:tcW w:w="447" w:type="pct"/>
                  <w:vMerge w:val="continue"/>
                  <w:tcBorders>
                    <w:tl2br w:val="nil"/>
                    <w:tr2bl w:val="nil"/>
                  </w:tcBorders>
                  <w:vAlign w:val="center"/>
                </w:tcPr>
                <w:p w14:paraId="42E1E556">
                  <w:pPr>
                    <w:pStyle w:val="31"/>
                    <w:rPr>
                      <w:rFonts w:hint="default" w:ascii="Times New Roman" w:hAnsi="Times New Roman" w:eastAsia="仿宋" w:cs="Times New Roman"/>
                      <w:color w:val="auto"/>
                      <w:sz w:val="21"/>
                      <w:szCs w:val="21"/>
                      <w:highlight w:val="none"/>
                    </w:rPr>
                  </w:pPr>
                </w:p>
              </w:tc>
              <w:tc>
                <w:tcPr>
                  <w:tcW w:w="534" w:type="pct"/>
                  <w:vMerge w:val="continue"/>
                  <w:tcBorders>
                    <w:tl2br w:val="nil"/>
                    <w:tr2bl w:val="nil"/>
                  </w:tcBorders>
                  <w:vAlign w:val="center"/>
                </w:tcPr>
                <w:p w14:paraId="078C7617">
                  <w:pPr>
                    <w:pStyle w:val="31"/>
                    <w:rPr>
                      <w:rFonts w:hint="default" w:ascii="Times New Roman" w:hAnsi="Times New Roman" w:eastAsia="仿宋" w:cs="Times New Roman"/>
                      <w:color w:val="auto"/>
                      <w:sz w:val="21"/>
                      <w:szCs w:val="21"/>
                      <w:highlight w:val="none"/>
                    </w:rPr>
                  </w:pPr>
                </w:p>
              </w:tc>
              <w:tc>
                <w:tcPr>
                  <w:tcW w:w="400" w:type="pct"/>
                  <w:vMerge w:val="continue"/>
                  <w:tcBorders>
                    <w:tl2br w:val="nil"/>
                    <w:tr2bl w:val="nil"/>
                  </w:tcBorders>
                  <w:vAlign w:val="center"/>
                </w:tcPr>
                <w:p w14:paraId="2889CF32">
                  <w:pPr>
                    <w:pStyle w:val="31"/>
                    <w:rPr>
                      <w:rFonts w:hint="default" w:ascii="Times New Roman" w:hAnsi="Times New Roman" w:eastAsia="仿宋" w:cs="Times New Roman"/>
                      <w:color w:val="auto"/>
                      <w:sz w:val="21"/>
                      <w:szCs w:val="21"/>
                      <w:highlight w:val="none"/>
                    </w:rPr>
                  </w:pPr>
                </w:p>
              </w:tc>
              <w:tc>
                <w:tcPr>
                  <w:tcW w:w="397" w:type="pct"/>
                  <w:vMerge w:val="continue"/>
                  <w:tcBorders>
                    <w:tl2br w:val="nil"/>
                    <w:tr2bl w:val="nil"/>
                  </w:tcBorders>
                  <w:vAlign w:val="center"/>
                </w:tcPr>
                <w:p w14:paraId="6F515FEC">
                  <w:pPr>
                    <w:pStyle w:val="31"/>
                    <w:rPr>
                      <w:rFonts w:hint="default" w:ascii="Times New Roman" w:hAnsi="Times New Roman" w:eastAsia="仿宋" w:cs="Times New Roman"/>
                      <w:color w:val="auto"/>
                      <w:sz w:val="21"/>
                      <w:szCs w:val="21"/>
                      <w:highlight w:val="none"/>
                    </w:rPr>
                  </w:pPr>
                </w:p>
              </w:tc>
              <w:tc>
                <w:tcPr>
                  <w:tcW w:w="367" w:type="pct"/>
                  <w:vMerge w:val="continue"/>
                  <w:tcBorders>
                    <w:tl2br w:val="nil"/>
                    <w:tr2bl w:val="nil"/>
                  </w:tcBorders>
                  <w:vAlign w:val="center"/>
                </w:tcPr>
                <w:p w14:paraId="3538D294">
                  <w:pPr>
                    <w:pStyle w:val="31"/>
                    <w:rPr>
                      <w:rFonts w:hint="default" w:ascii="Times New Roman" w:hAnsi="Times New Roman" w:eastAsia="仿宋" w:cs="Times New Roman"/>
                      <w:color w:val="auto"/>
                      <w:sz w:val="21"/>
                      <w:szCs w:val="21"/>
                      <w:highlight w:val="none"/>
                    </w:rPr>
                  </w:pPr>
                </w:p>
              </w:tc>
              <w:tc>
                <w:tcPr>
                  <w:tcW w:w="522" w:type="pct"/>
                  <w:vMerge w:val="continue"/>
                  <w:tcBorders>
                    <w:tl2br w:val="nil"/>
                    <w:tr2bl w:val="nil"/>
                  </w:tcBorders>
                  <w:vAlign w:val="center"/>
                </w:tcPr>
                <w:p w14:paraId="4E2065E0">
                  <w:pPr>
                    <w:pStyle w:val="31"/>
                    <w:rPr>
                      <w:rFonts w:hint="default" w:ascii="Times New Roman" w:hAnsi="Times New Roman" w:eastAsia="仿宋" w:cs="Times New Roman"/>
                      <w:color w:val="auto"/>
                      <w:sz w:val="21"/>
                      <w:szCs w:val="21"/>
                      <w:highlight w:val="none"/>
                    </w:rPr>
                  </w:pPr>
                </w:p>
              </w:tc>
              <w:tc>
                <w:tcPr>
                  <w:tcW w:w="534" w:type="pct"/>
                  <w:tcBorders>
                    <w:tl2br w:val="nil"/>
                    <w:tr2bl w:val="nil"/>
                  </w:tcBorders>
                  <w:vAlign w:val="center"/>
                </w:tcPr>
                <w:p w14:paraId="1F09CC04">
                  <w:pPr>
                    <w:pStyle w:val="31"/>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LAS</w:t>
                  </w:r>
                </w:p>
              </w:tc>
              <w:tc>
                <w:tcPr>
                  <w:tcW w:w="835" w:type="pct"/>
                  <w:tcBorders>
                    <w:tl2br w:val="nil"/>
                    <w:tr2bl w:val="nil"/>
                  </w:tcBorders>
                  <w:vAlign w:val="center"/>
                </w:tcPr>
                <w:p w14:paraId="03DD63EF">
                  <w:pPr>
                    <w:pStyle w:val="31"/>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r>
          </w:tbl>
          <w:p w14:paraId="10E0BFA3">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废水污染物排放执行标准表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603"/>
              <w:gridCol w:w="2908"/>
              <w:gridCol w:w="3170"/>
            </w:tblGrid>
            <w:tr w14:paraId="56C6F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restart"/>
                  <w:tcBorders>
                    <w:tl2br w:val="nil"/>
                    <w:tr2bl w:val="nil"/>
                  </w:tcBorders>
                  <w:vAlign w:val="center"/>
                </w:tcPr>
                <w:p w14:paraId="3258BBF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857" w:type="pct"/>
                  <w:vMerge w:val="restart"/>
                  <w:tcBorders>
                    <w:tl2br w:val="nil"/>
                    <w:tr2bl w:val="nil"/>
                  </w:tcBorders>
                  <w:vAlign w:val="center"/>
                </w:tcPr>
                <w:p w14:paraId="0A558C3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污染物种类</w:t>
                  </w:r>
                </w:p>
              </w:tc>
              <w:tc>
                <w:tcPr>
                  <w:tcW w:w="3249" w:type="pct"/>
                  <w:gridSpan w:val="2"/>
                  <w:tcBorders>
                    <w:tl2br w:val="nil"/>
                    <w:tr2bl w:val="nil"/>
                  </w:tcBorders>
                  <w:vAlign w:val="center"/>
                </w:tcPr>
                <w:p w14:paraId="7771ABD5">
                  <w:pPr>
                    <w:pStyle w:val="31"/>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国家或地方污染物排放标准及其他规定商定的排放协议</w:t>
                  </w:r>
                  <w:r>
                    <w:rPr>
                      <w:rFonts w:hint="default" w:ascii="Times New Roman" w:hAnsi="Times New Roman" w:eastAsia="仿宋" w:cs="Times New Roman"/>
                      <w:b/>
                      <w:color w:val="auto"/>
                      <w:sz w:val="21"/>
                      <w:szCs w:val="21"/>
                      <w:highlight w:val="none"/>
                      <w:vertAlign w:val="superscript"/>
                    </w:rPr>
                    <w:t>a</w:t>
                  </w:r>
                </w:p>
              </w:tc>
            </w:tr>
            <w:tr w14:paraId="24744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59E844F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vMerge w:val="continue"/>
                  <w:tcBorders>
                    <w:tl2br w:val="nil"/>
                    <w:tr2bl w:val="nil"/>
                  </w:tcBorders>
                  <w:vAlign w:val="center"/>
                </w:tcPr>
                <w:p w14:paraId="2B53743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555" w:type="pct"/>
                  <w:tcBorders>
                    <w:tl2br w:val="nil"/>
                    <w:tr2bl w:val="nil"/>
                  </w:tcBorders>
                  <w:vAlign w:val="center"/>
                </w:tcPr>
                <w:p w14:paraId="43FC750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1694" w:type="pct"/>
                  <w:tcBorders>
                    <w:tl2br w:val="nil"/>
                    <w:tr2bl w:val="nil"/>
                  </w:tcBorders>
                  <w:vAlign w:val="center"/>
                </w:tcPr>
                <w:p w14:paraId="370AD38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浓度限值</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mg/L</w:t>
                  </w:r>
                  <w:r>
                    <w:rPr>
                      <w:rFonts w:hint="default" w:ascii="Times New Roman" w:hAnsi="Times New Roman" w:eastAsia="仿宋" w:cs="Times New Roman"/>
                      <w:b/>
                      <w:color w:val="auto"/>
                      <w:sz w:val="21"/>
                      <w:szCs w:val="21"/>
                      <w:highlight w:val="none"/>
                      <w:lang w:eastAsia="zh-CN"/>
                    </w:rPr>
                    <w:t>）</w:t>
                  </w:r>
                </w:p>
              </w:tc>
            </w:tr>
            <w:tr w14:paraId="2F051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restart"/>
                  <w:tcBorders>
                    <w:tl2br w:val="nil"/>
                    <w:tr2bl w:val="nil"/>
                  </w:tcBorders>
                  <w:vAlign w:val="center"/>
                </w:tcPr>
                <w:p w14:paraId="28ACCAD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DW001</w:t>
                  </w:r>
                </w:p>
              </w:tc>
              <w:tc>
                <w:tcPr>
                  <w:tcW w:w="857" w:type="pct"/>
                  <w:tcBorders>
                    <w:tl2br w:val="nil"/>
                    <w:tr2bl w:val="nil"/>
                  </w:tcBorders>
                  <w:vAlign w:val="center"/>
                </w:tcPr>
                <w:p w14:paraId="6D5D72C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pH（无量纲）</w:t>
                  </w:r>
                </w:p>
              </w:tc>
              <w:tc>
                <w:tcPr>
                  <w:tcW w:w="1555" w:type="pct"/>
                  <w:vMerge w:val="restart"/>
                  <w:tcBorders>
                    <w:tl2br w:val="nil"/>
                    <w:tr2bl w:val="nil"/>
                  </w:tcBorders>
                  <w:vAlign w:val="center"/>
                </w:tcPr>
                <w:p w14:paraId="4DE0350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苏州高铁苏水水务有限公司（苏州高铁新</w:t>
                  </w:r>
                  <w:r>
                    <w:rPr>
                      <w:rFonts w:hint="default" w:ascii="Times New Roman" w:hAnsi="Times New Roman" w:eastAsia="仿宋" w:cs="Times New Roman"/>
                      <w:color w:val="auto"/>
                      <w:sz w:val="18"/>
                      <w:szCs w:val="18"/>
                      <w:highlight w:val="none"/>
                    </w:rPr>
                    <w:t>城污水厂）</w:t>
                  </w:r>
                  <w:r>
                    <w:rPr>
                      <w:rFonts w:hint="eastAsia" w:eastAsia="仿宋" w:cs="Times New Roman"/>
                      <w:color w:val="auto"/>
                      <w:sz w:val="18"/>
                      <w:szCs w:val="18"/>
                      <w:highlight w:val="none"/>
                      <w:lang w:val="en-US" w:eastAsia="zh-CN"/>
                    </w:rPr>
                    <w:t>接管标</w:t>
                  </w:r>
                  <w:r>
                    <w:rPr>
                      <w:rFonts w:hint="eastAsia" w:eastAsia="仿宋" w:cs="Times New Roman"/>
                      <w:color w:val="auto"/>
                      <w:sz w:val="21"/>
                      <w:szCs w:val="21"/>
                      <w:highlight w:val="none"/>
                      <w:lang w:val="en-US" w:eastAsia="zh-CN"/>
                    </w:rPr>
                    <w:t>准</w:t>
                  </w:r>
                </w:p>
              </w:tc>
              <w:tc>
                <w:tcPr>
                  <w:tcW w:w="1694" w:type="pct"/>
                  <w:tcBorders>
                    <w:tl2br w:val="nil"/>
                    <w:tr2bl w:val="nil"/>
                  </w:tcBorders>
                  <w:shd w:val="clear" w:color="auto" w:fill="auto"/>
                  <w:vAlign w:val="center"/>
                </w:tcPr>
                <w:p w14:paraId="5D2214A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6~9</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无量纲</w:t>
                  </w:r>
                  <w:r>
                    <w:rPr>
                      <w:rFonts w:hint="default" w:ascii="Times New Roman" w:hAnsi="Times New Roman" w:eastAsia="仿宋" w:cs="Times New Roman"/>
                      <w:color w:val="auto"/>
                      <w:sz w:val="21"/>
                      <w:szCs w:val="21"/>
                      <w:highlight w:val="none"/>
                      <w:lang w:eastAsia="zh-CN"/>
                    </w:rPr>
                    <w:t>）</w:t>
                  </w:r>
                </w:p>
              </w:tc>
            </w:tr>
            <w:tr w14:paraId="2B7F0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4F06A20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4A05576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555" w:type="pct"/>
                  <w:vMerge w:val="continue"/>
                  <w:tcBorders>
                    <w:tl2br w:val="nil"/>
                    <w:tr2bl w:val="nil"/>
                  </w:tcBorders>
                  <w:vAlign w:val="center"/>
                </w:tcPr>
                <w:p w14:paraId="0322676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6223787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400</w:t>
                  </w:r>
                </w:p>
              </w:tc>
            </w:tr>
            <w:tr w14:paraId="352B3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1D713DC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66117AF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555" w:type="pct"/>
                  <w:vMerge w:val="continue"/>
                  <w:tcBorders>
                    <w:tl2br w:val="nil"/>
                    <w:tr2bl w:val="nil"/>
                  </w:tcBorders>
                  <w:vAlign w:val="center"/>
                </w:tcPr>
                <w:p w14:paraId="29E368D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747A424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250</w:t>
                  </w:r>
                </w:p>
              </w:tc>
            </w:tr>
            <w:tr w14:paraId="79D25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78FDD04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2F448C4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氨氮</w:t>
                  </w:r>
                </w:p>
              </w:tc>
              <w:tc>
                <w:tcPr>
                  <w:tcW w:w="1555" w:type="pct"/>
                  <w:vMerge w:val="continue"/>
                  <w:tcBorders>
                    <w:tl2br w:val="nil"/>
                    <w:tr2bl w:val="nil"/>
                  </w:tcBorders>
                  <w:vAlign w:val="center"/>
                </w:tcPr>
                <w:p w14:paraId="6A2F485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0B44D60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35</w:t>
                  </w:r>
                </w:p>
              </w:tc>
            </w:tr>
            <w:tr w14:paraId="56BCB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2D017FD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25414A0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总磷</w:t>
                  </w:r>
                </w:p>
              </w:tc>
              <w:tc>
                <w:tcPr>
                  <w:tcW w:w="1555" w:type="pct"/>
                  <w:vMerge w:val="continue"/>
                  <w:tcBorders>
                    <w:tl2br w:val="nil"/>
                    <w:tr2bl w:val="nil"/>
                  </w:tcBorders>
                  <w:vAlign w:val="center"/>
                </w:tcPr>
                <w:p w14:paraId="2B21CAA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6515CFF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6</w:t>
                  </w:r>
                </w:p>
              </w:tc>
            </w:tr>
            <w:tr w14:paraId="70891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31B819D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11DB37C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总氮</w:t>
                  </w:r>
                </w:p>
              </w:tc>
              <w:tc>
                <w:tcPr>
                  <w:tcW w:w="1555" w:type="pct"/>
                  <w:vMerge w:val="continue"/>
                  <w:tcBorders>
                    <w:tl2br w:val="nil"/>
                    <w:tr2bl w:val="nil"/>
                  </w:tcBorders>
                  <w:vAlign w:val="center"/>
                </w:tcPr>
                <w:p w14:paraId="6D9C448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7AE6075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45</w:t>
                  </w:r>
                </w:p>
              </w:tc>
            </w:tr>
            <w:tr w14:paraId="19C3C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restart"/>
                  <w:tcBorders>
                    <w:tl2br w:val="nil"/>
                    <w:tr2bl w:val="nil"/>
                  </w:tcBorders>
                  <w:vAlign w:val="center"/>
                </w:tcPr>
                <w:p w14:paraId="79B4193D">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DW00</w:t>
                  </w:r>
                  <w:r>
                    <w:rPr>
                      <w:rFonts w:hint="eastAsia" w:eastAsia="仿宋" w:cs="Times New Roman"/>
                      <w:color w:val="auto"/>
                      <w:sz w:val="21"/>
                      <w:szCs w:val="21"/>
                      <w:highlight w:val="none"/>
                      <w:lang w:val="en-US" w:eastAsia="zh-CN"/>
                    </w:rPr>
                    <w:t>2</w:t>
                  </w:r>
                </w:p>
              </w:tc>
              <w:tc>
                <w:tcPr>
                  <w:tcW w:w="857" w:type="pct"/>
                  <w:tcBorders>
                    <w:tl2br w:val="nil"/>
                    <w:tr2bl w:val="nil"/>
                  </w:tcBorders>
                  <w:vAlign w:val="center"/>
                </w:tcPr>
                <w:p w14:paraId="11721CE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pH（无量纲）</w:t>
                  </w:r>
                </w:p>
              </w:tc>
              <w:tc>
                <w:tcPr>
                  <w:tcW w:w="1555" w:type="pct"/>
                  <w:vMerge w:val="restart"/>
                  <w:tcBorders>
                    <w:tl2br w:val="nil"/>
                    <w:tr2bl w:val="nil"/>
                  </w:tcBorders>
                  <w:vAlign w:val="center"/>
                </w:tcPr>
                <w:p w14:paraId="3FA7482F">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苏州高铁苏水水务有限公司（苏州高铁新城污水厂）</w:t>
                  </w:r>
                  <w:r>
                    <w:rPr>
                      <w:rFonts w:hint="eastAsia" w:eastAsia="仿宋" w:cs="Times New Roman"/>
                      <w:color w:val="auto"/>
                      <w:sz w:val="21"/>
                      <w:szCs w:val="21"/>
                      <w:highlight w:val="none"/>
                      <w:lang w:val="en-US" w:eastAsia="zh-CN"/>
                    </w:rPr>
                    <w:t>接管标准</w:t>
                  </w:r>
                </w:p>
              </w:tc>
              <w:tc>
                <w:tcPr>
                  <w:tcW w:w="1694" w:type="pct"/>
                  <w:tcBorders>
                    <w:tl2br w:val="nil"/>
                    <w:tr2bl w:val="nil"/>
                  </w:tcBorders>
                  <w:vAlign w:val="center"/>
                </w:tcPr>
                <w:p w14:paraId="321E98A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无量纲</w:t>
                  </w:r>
                  <w:r>
                    <w:rPr>
                      <w:rFonts w:hint="default" w:ascii="Times New Roman" w:hAnsi="Times New Roman" w:eastAsia="仿宋" w:cs="Times New Roman"/>
                      <w:color w:val="auto"/>
                      <w:sz w:val="21"/>
                      <w:szCs w:val="21"/>
                      <w:highlight w:val="none"/>
                      <w:lang w:eastAsia="zh-CN"/>
                    </w:rPr>
                    <w:t>）</w:t>
                  </w:r>
                </w:p>
              </w:tc>
            </w:tr>
            <w:tr w14:paraId="0CFBE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3" w:type="pct"/>
                  <w:vMerge w:val="continue"/>
                  <w:tcBorders>
                    <w:tl2br w:val="nil"/>
                    <w:tr2bl w:val="nil"/>
                  </w:tcBorders>
                  <w:vAlign w:val="center"/>
                </w:tcPr>
                <w:p w14:paraId="084ACB9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0DBAF25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555" w:type="pct"/>
                  <w:vMerge w:val="continue"/>
                  <w:tcBorders>
                    <w:tl2br w:val="nil"/>
                    <w:tr2bl w:val="nil"/>
                  </w:tcBorders>
                  <w:vAlign w:val="center"/>
                </w:tcPr>
                <w:p w14:paraId="027C978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vAlign w:val="center"/>
                </w:tcPr>
                <w:p w14:paraId="1D0750B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400</w:t>
                  </w:r>
                </w:p>
              </w:tc>
            </w:tr>
            <w:tr w14:paraId="71719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05F42BD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7FD3FE2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555" w:type="pct"/>
                  <w:vMerge w:val="continue"/>
                  <w:tcBorders>
                    <w:tl2br w:val="nil"/>
                    <w:tr2bl w:val="nil"/>
                  </w:tcBorders>
                  <w:vAlign w:val="center"/>
                </w:tcPr>
                <w:p w14:paraId="06D48C8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vAlign w:val="center"/>
                </w:tcPr>
                <w:p w14:paraId="00E06ED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rPr>
                  </w:pPr>
                  <w:r>
                    <w:rPr>
                      <w:rFonts w:hint="eastAsia" w:eastAsia="仿宋" w:cs="Times New Roman"/>
                      <w:color w:val="auto"/>
                      <w:sz w:val="21"/>
                      <w:szCs w:val="21"/>
                      <w:highlight w:val="none"/>
                      <w:lang w:val="en-US" w:eastAsia="zh-CN"/>
                    </w:rPr>
                    <w:t>250</w:t>
                  </w:r>
                </w:p>
              </w:tc>
            </w:tr>
            <w:tr w14:paraId="28D49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2D836D0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0D12886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氨氮</w:t>
                  </w:r>
                </w:p>
              </w:tc>
              <w:tc>
                <w:tcPr>
                  <w:tcW w:w="1555" w:type="pct"/>
                  <w:vMerge w:val="continue"/>
                  <w:tcBorders>
                    <w:tl2br w:val="nil"/>
                    <w:tr2bl w:val="nil"/>
                  </w:tcBorders>
                  <w:vAlign w:val="center"/>
                </w:tcPr>
                <w:p w14:paraId="3B438E6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vAlign w:val="center"/>
                </w:tcPr>
                <w:p w14:paraId="7A0182C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35</w:t>
                  </w:r>
                </w:p>
              </w:tc>
            </w:tr>
            <w:tr w14:paraId="44983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79D4818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shd w:val="clear" w:color="auto" w:fill="auto"/>
                  <w:vAlign w:val="center"/>
                </w:tcPr>
                <w:p w14:paraId="323E284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总磷</w:t>
                  </w:r>
                </w:p>
              </w:tc>
              <w:tc>
                <w:tcPr>
                  <w:tcW w:w="1555" w:type="pct"/>
                  <w:vMerge w:val="continue"/>
                  <w:tcBorders>
                    <w:tl2br w:val="nil"/>
                    <w:tr2bl w:val="nil"/>
                  </w:tcBorders>
                  <w:vAlign w:val="center"/>
                </w:tcPr>
                <w:p w14:paraId="222F1BD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29396B27">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6</w:t>
                  </w:r>
                </w:p>
              </w:tc>
            </w:tr>
            <w:tr w14:paraId="39FF8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71BFECA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shd w:val="clear" w:color="auto" w:fill="auto"/>
                  <w:vAlign w:val="center"/>
                </w:tcPr>
                <w:p w14:paraId="060D0A4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总氮</w:t>
                  </w:r>
                </w:p>
              </w:tc>
              <w:tc>
                <w:tcPr>
                  <w:tcW w:w="1555" w:type="pct"/>
                  <w:vMerge w:val="continue"/>
                  <w:tcBorders>
                    <w:tl2br w:val="nil"/>
                    <w:tr2bl w:val="nil"/>
                  </w:tcBorders>
                  <w:vAlign w:val="center"/>
                </w:tcPr>
                <w:p w14:paraId="7D0D4BD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shd w:val="clear" w:color="auto" w:fill="auto"/>
                  <w:vAlign w:val="center"/>
                </w:tcPr>
                <w:p w14:paraId="61CD676C">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45</w:t>
                  </w:r>
                </w:p>
              </w:tc>
            </w:tr>
            <w:tr w14:paraId="4B2DE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2DB2D34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6CC3AFF1">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石油类</w:t>
                  </w:r>
                </w:p>
              </w:tc>
              <w:tc>
                <w:tcPr>
                  <w:tcW w:w="1555" w:type="pct"/>
                  <w:vMerge w:val="continue"/>
                  <w:tcBorders>
                    <w:tl2br w:val="nil"/>
                    <w:tr2bl w:val="nil"/>
                  </w:tcBorders>
                  <w:vAlign w:val="center"/>
                </w:tcPr>
                <w:p w14:paraId="0F93921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vAlign w:val="center"/>
                </w:tcPr>
                <w:p w14:paraId="5AE5318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r>
            <w:tr w14:paraId="046C2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3" w:type="pct"/>
                  <w:vMerge w:val="continue"/>
                  <w:tcBorders>
                    <w:tl2br w:val="nil"/>
                    <w:tr2bl w:val="nil"/>
                  </w:tcBorders>
                  <w:vAlign w:val="center"/>
                </w:tcPr>
                <w:p w14:paraId="2D035B3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857" w:type="pct"/>
                  <w:tcBorders>
                    <w:tl2br w:val="nil"/>
                    <w:tr2bl w:val="nil"/>
                  </w:tcBorders>
                  <w:vAlign w:val="center"/>
                </w:tcPr>
                <w:p w14:paraId="2561FA1A">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LAS</w:t>
                  </w:r>
                </w:p>
              </w:tc>
              <w:tc>
                <w:tcPr>
                  <w:tcW w:w="1555" w:type="pct"/>
                  <w:vMerge w:val="continue"/>
                  <w:tcBorders>
                    <w:tl2br w:val="nil"/>
                    <w:tr2bl w:val="nil"/>
                  </w:tcBorders>
                  <w:vAlign w:val="center"/>
                </w:tcPr>
                <w:p w14:paraId="3BF1510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1694" w:type="pct"/>
                  <w:tcBorders>
                    <w:tl2br w:val="nil"/>
                    <w:tr2bl w:val="nil"/>
                  </w:tcBorders>
                  <w:vAlign w:val="center"/>
                </w:tcPr>
                <w:p w14:paraId="01F9EE1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20</w:t>
                  </w:r>
                </w:p>
              </w:tc>
            </w:tr>
            <w:tr w14:paraId="3EF0F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08DD6D9C">
                  <w:pPr>
                    <w:pStyle w:val="31"/>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vertAlign w:val="superscript"/>
                    </w:rPr>
                    <w:t>a</w:t>
                  </w:r>
                  <w:r>
                    <w:rPr>
                      <w:rFonts w:hint="default" w:ascii="Times New Roman" w:hAnsi="Times New Roman" w:eastAsia="仿宋" w:cs="Times New Roman"/>
                      <w:color w:val="auto"/>
                      <w:sz w:val="21"/>
                      <w:szCs w:val="21"/>
                      <w:highlight w:val="none"/>
                    </w:rPr>
                    <w:t>指对应排放口须执行的国家或地方污染物排放标准以及其他按规定商定建设项目水污染物排放控制要求的协议，据此确定的排放浓度限值</w:t>
                  </w:r>
                </w:p>
              </w:tc>
            </w:tr>
          </w:tbl>
          <w:p w14:paraId="7A176A6E">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废水污染物排放信息表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1530"/>
              <w:gridCol w:w="1904"/>
              <w:gridCol w:w="1745"/>
              <w:gridCol w:w="2050"/>
            </w:tblGrid>
            <w:tr w14:paraId="1C35D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tcBorders>
                    <w:tl2br w:val="nil"/>
                    <w:tr2bl w:val="nil"/>
                  </w:tcBorders>
                  <w:vAlign w:val="center"/>
                </w:tcPr>
                <w:p w14:paraId="65C6A0B4">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排放口编号</w:t>
                  </w:r>
                </w:p>
              </w:tc>
              <w:tc>
                <w:tcPr>
                  <w:tcW w:w="818" w:type="pct"/>
                  <w:tcBorders>
                    <w:tl2br w:val="nil"/>
                    <w:tr2bl w:val="nil"/>
                  </w:tcBorders>
                  <w:vAlign w:val="center"/>
                </w:tcPr>
                <w:p w14:paraId="6641ABEB">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污染物种类</w:t>
                  </w:r>
                </w:p>
              </w:tc>
              <w:tc>
                <w:tcPr>
                  <w:tcW w:w="1018" w:type="pct"/>
                  <w:tcBorders>
                    <w:tl2br w:val="nil"/>
                    <w:tr2bl w:val="nil"/>
                  </w:tcBorders>
                  <w:vAlign w:val="center"/>
                </w:tcPr>
                <w:p w14:paraId="67FEFED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排放浓度（mg/L）</w:t>
                  </w:r>
                </w:p>
              </w:tc>
              <w:tc>
                <w:tcPr>
                  <w:tcW w:w="933" w:type="pct"/>
                  <w:tcBorders>
                    <w:tl2br w:val="nil"/>
                    <w:tr2bl w:val="nil"/>
                  </w:tcBorders>
                  <w:vAlign w:val="center"/>
                </w:tcPr>
                <w:p w14:paraId="202C2363">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日排放量（</w:t>
                  </w:r>
                  <w:r>
                    <w:rPr>
                      <w:rFonts w:hint="eastAsia" w:eastAsia="仿宋" w:cs="Times New Roman"/>
                      <w:b/>
                      <w:color w:val="auto"/>
                      <w:sz w:val="21"/>
                      <w:szCs w:val="21"/>
                      <w:highlight w:val="none"/>
                      <w:lang w:val="en-US" w:eastAsia="zh-CN"/>
                    </w:rPr>
                    <w:t>kg</w:t>
                  </w:r>
                  <w:r>
                    <w:rPr>
                      <w:rFonts w:hint="default" w:ascii="Times New Roman" w:hAnsi="Times New Roman" w:eastAsia="仿宋" w:cs="Times New Roman"/>
                      <w:b/>
                      <w:color w:val="auto"/>
                      <w:sz w:val="21"/>
                      <w:szCs w:val="21"/>
                      <w:highlight w:val="none"/>
                    </w:rPr>
                    <w:t>/d）</w:t>
                  </w:r>
                </w:p>
              </w:tc>
              <w:tc>
                <w:tcPr>
                  <w:tcW w:w="1096" w:type="pct"/>
                  <w:tcBorders>
                    <w:tl2br w:val="nil"/>
                    <w:tr2bl w:val="nil"/>
                  </w:tcBorders>
                  <w:vAlign w:val="center"/>
                </w:tcPr>
                <w:p w14:paraId="031937FA">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年排放量（t/a）</w:t>
                  </w:r>
                </w:p>
              </w:tc>
            </w:tr>
            <w:tr w14:paraId="3605D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restart"/>
                  <w:tcBorders>
                    <w:tl2br w:val="nil"/>
                    <w:tr2bl w:val="nil"/>
                  </w:tcBorders>
                  <w:vAlign w:val="center"/>
                </w:tcPr>
                <w:p w14:paraId="4145706E">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DW001</w:t>
                  </w:r>
                </w:p>
              </w:tc>
              <w:tc>
                <w:tcPr>
                  <w:tcW w:w="818" w:type="pct"/>
                  <w:tcBorders>
                    <w:tl2br w:val="nil"/>
                    <w:tr2bl w:val="nil"/>
                  </w:tcBorders>
                  <w:shd w:val="clear" w:color="auto" w:fill="auto"/>
                  <w:vAlign w:val="center"/>
                </w:tcPr>
                <w:p w14:paraId="0898AF2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COD</w:t>
                  </w:r>
                </w:p>
              </w:tc>
              <w:tc>
                <w:tcPr>
                  <w:tcW w:w="1018" w:type="pct"/>
                  <w:tcBorders>
                    <w:tl2br w:val="nil"/>
                    <w:tr2bl w:val="nil"/>
                  </w:tcBorders>
                  <w:shd w:val="clear" w:color="auto" w:fill="auto"/>
                  <w:vAlign w:val="center"/>
                </w:tcPr>
                <w:p w14:paraId="5C04F82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rPr>
                    <w:t>00</w:t>
                  </w:r>
                </w:p>
              </w:tc>
              <w:tc>
                <w:tcPr>
                  <w:tcW w:w="1745" w:type="dxa"/>
                  <w:tcBorders>
                    <w:tl2br w:val="nil"/>
                    <w:tr2bl w:val="nil"/>
                  </w:tcBorders>
                  <w:vAlign w:val="center"/>
                </w:tcPr>
                <w:p w14:paraId="52A72FA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1.4753</w:t>
                  </w:r>
                </w:p>
              </w:tc>
              <w:tc>
                <w:tcPr>
                  <w:tcW w:w="2050" w:type="dxa"/>
                  <w:tcBorders>
                    <w:tl2br w:val="nil"/>
                    <w:tr2bl w:val="nil"/>
                  </w:tcBorders>
                  <w:vAlign w:val="center"/>
                </w:tcPr>
                <w:p w14:paraId="285C286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0.4426</w:t>
                  </w:r>
                </w:p>
              </w:tc>
            </w:tr>
            <w:tr w14:paraId="46848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3525DBFA">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shd w:val="clear" w:color="auto" w:fill="auto"/>
                  <w:vAlign w:val="center"/>
                </w:tcPr>
                <w:p w14:paraId="53F18A5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SS</w:t>
                  </w:r>
                </w:p>
              </w:tc>
              <w:tc>
                <w:tcPr>
                  <w:tcW w:w="1018" w:type="pct"/>
                  <w:tcBorders>
                    <w:tl2br w:val="nil"/>
                    <w:tr2bl w:val="nil"/>
                  </w:tcBorders>
                  <w:shd w:val="clear" w:color="auto" w:fill="auto"/>
                  <w:vAlign w:val="center"/>
                </w:tcPr>
                <w:p w14:paraId="5463B57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25</w:t>
                  </w:r>
                  <w:r>
                    <w:rPr>
                      <w:rFonts w:hint="default" w:ascii="Times New Roman" w:hAnsi="Times New Roman" w:eastAsia="仿宋" w:cs="Times New Roman"/>
                      <w:color w:val="auto"/>
                      <w:sz w:val="21"/>
                      <w:szCs w:val="21"/>
                      <w:highlight w:val="none"/>
                    </w:rPr>
                    <w:t>0</w:t>
                  </w:r>
                </w:p>
              </w:tc>
              <w:tc>
                <w:tcPr>
                  <w:tcW w:w="1745" w:type="dxa"/>
                  <w:tcBorders>
                    <w:tl2br w:val="nil"/>
                    <w:tr2bl w:val="nil"/>
                  </w:tcBorders>
                  <w:vAlign w:val="center"/>
                </w:tcPr>
                <w:p w14:paraId="1F45EE5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0.922</w:t>
                  </w:r>
                </w:p>
              </w:tc>
              <w:tc>
                <w:tcPr>
                  <w:tcW w:w="2050" w:type="dxa"/>
                  <w:tcBorders>
                    <w:tl2br w:val="nil"/>
                    <w:tr2bl w:val="nil"/>
                  </w:tcBorders>
                  <w:vAlign w:val="center"/>
                </w:tcPr>
                <w:p w14:paraId="3769773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0.2766</w:t>
                  </w:r>
                </w:p>
              </w:tc>
            </w:tr>
            <w:tr w14:paraId="65C03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restart"/>
                  <w:tcBorders>
                    <w:tl2br w:val="nil"/>
                    <w:tr2bl w:val="nil"/>
                  </w:tcBorders>
                  <w:vAlign w:val="center"/>
                </w:tcPr>
                <w:p w14:paraId="28AF86C3">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DW00</w:t>
                  </w:r>
                  <w:r>
                    <w:rPr>
                      <w:rFonts w:hint="eastAsia" w:eastAsia="仿宋" w:cs="Times New Roman"/>
                      <w:color w:val="auto"/>
                      <w:sz w:val="21"/>
                      <w:szCs w:val="21"/>
                      <w:highlight w:val="none"/>
                      <w:lang w:val="en-US" w:eastAsia="zh-CN"/>
                    </w:rPr>
                    <w:t>2</w:t>
                  </w:r>
                </w:p>
              </w:tc>
              <w:tc>
                <w:tcPr>
                  <w:tcW w:w="818" w:type="pct"/>
                  <w:tcBorders>
                    <w:tl2br w:val="nil"/>
                    <w:tr2bl w:val="nil"/>
                  </w:tcBorders>
                  <w:vAlign w:val="center"/>
                </w:tcPr>
                <w:p w14:paraId="442F30F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018" w:type="pct"/>
                  <w:tcBorders>
                    <w:tl2br w:val="nil"/>
                    <w:tr2bl w:val="nil"/>
                  </w:tcBorders>
                  <w:vAlign w:val="center"/>
                </w:tcPr>
                <w:p w14:paraId="176F976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rPr>
                    <w:t>00</w:t>
                  </w:r>
                </w:p>
              </w:tc>
              <w:tc>
                <w:tcPr>
                  <w:tcW w:w="1745" w:type="dxa"/>
                  <w:tcBorders>
                    <w:tl2br w:val="nil"/>
                    <w:tr2bl w:val="nil"/>
                  </w:tcBorders>
                  <w:vAlign w:val="center"/>
                </w:tcPr>
                <w:p w14:paraId="4A0704A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3.5717</w:t>
                  </w:r>
                </w:p>
              </w:tc>
              <w:tc>
                <w:tcPr>
                  <w:tcW w:w="2050" w:type="dxa"/>
                  <w:tcBorders>
                    <w:tl2br w:val="nil"/>
                    <w:tr2bl w:val="nil"/>
                  </w:tcBorders>
                  <w:vAlign w:val="center"/>
                </w:tcPr>
                <w:p w14:paraId="7FD4DAD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1.0715</w:t>
                  </w:r>
                </w:p>
              </w:tc>
            </w:tr>
            <w:tr w14:paraId="6A035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28677E1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vAlign w:val="center"/>
                </w:tcPr>
                <w:p w14:paraId="5BF8E10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018" w:type="pct"/>
                  <w:tcBorders>
                    <w:tl2br w:val="nil"/>
                    <w:tr2bl w:val="nil"/>
                  </w:tcBorders>
                  <w:vAlign w:val="center"/>
                </w:tcPr>
                <w:p w14:paraId="2F36828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25</w:t>
                  </w:r>
                  <w:r>
                    <w:rPr>
                      <w:rFonts w:hint="default" w:ascii="Times New Roman" w:hAnsi="Times New Roman" w:eastAsia="仿宋" w:cs="Times New Roman"/>
                      <w:color w:val="auto"/>
                      <w:sz w:val="21"/>
                      <w:szCs w:val="21"/>
                      <w:highlight w:val="none"/>
                    </w:rPr>
                    <w:t>0</w:t>
                  </w:r>
                </w:p>
              </w:tc>
              <w:tc>
                <w:tcPr>
                  <w:tcW w:w="1745" w:type="dxa"/>
                  <w:tcBorders>
                    <w:tl2br w:val="nil"/>
                    <w:tr2bl w:val="nil"/>
                  </w:tcBorders>
                  <w:vAlign w:val="center"/>
                </w:tcPr>
                <w:p w14:paraId="1C05EED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3.7543</w:t>
                  </w:r>
                </w:p>
              </w:tc>
              <w:tc>
                <w:tcPr>
                  <w:tcW w:w="2050" w:type="dxa"/>
                  <w:tcBorders>
                    <w:tl2br w:val="nil"/>
                    <w:tr2bl w:val="nil"/>
                  </w:tcBorders>
                  <w:vAlign w:val="center"/>
                </w:tcPr>
                <w:p w14:paraId="2B4F25F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1.1263</w:t>
                  </w:r>
                </w:p>
              </w:tc>
            </w:tr>
            <w:tr w14:paraId="5E15B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4CA9ADA0">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vAlign w:val="center"/>
                </w:tcPr>
                <w:p w14:paraId="326D93B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NH3-N</w:t>
                  </w:r>
                </w:p>
              </w:tc>
              <w:tc>
                <w:tcPr>
                  <w:tcW w:w="1018" w:type="pct"/>
                  <w:tcBorders>
                    <w:tl2br w:val="nil"/>
                    <w:tr2bl w:val="nil"/>
                  </w:tcBorders>
                  <w:vAlign w:val="center"/>
                </w:tcPr>
                <w:p w14:paraId="3272C2F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3</w:t>
                  </w:r>
                  <w:r>
                    <w:rPr>
                      <w:rFonts w:hint="default" w:ascii="Times New Roman" w:hAnsi="Times New Roman" w:eastAsia="仿宋" w:cs="Times New Roman"/>
                      <w:color w:val="auto"/>
                      <w:sz w:val="21"/>
                      <w:szCs w:val="21"/>
                      <w:highlight w:val="none"/>
                      <w:lang w:val="en-US" w:eastAsia="zh-CN"/>
                    </w:rPr>
                    <w:t>5</w:t>
                  </w:r>
                </w:p>
              </w:tc>
              <w:tc>
                <w:tcPr>
                  <w:tcW w:w="1745" w:type="dxa"/>
                  <w:tcBorders>
                    <w:tl2br w:val="nil"/>
                    <w:tr2bl w:val="nil"/>
                  </w:tcBorders>
                  <w:vAlign w:val="center"/>
                </w:tcPr>
                <w:p w14:paraId="3A3645A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0.0053</w:t>
                  </w:r>
                </w:p>
              </w:tc>
              <w:tc>
                <w:tcPr>
                  <w:tcW w:w="2050" w:type="dxa"/>
                  <w:tcBorders>
                    <w:tl2br w:val="nil"/>
                    <w:tr2bl w:val="nil"/>
                  </w:tcBorders>
                  <w:vAlign w:val="center"/>
                </w:tcPr>
                <w:p w14:paraId="3FD20B9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0.0016</w:t>
                  </w:r>
                </w:p>
              </w:tc>
            </w:tr>
            <w:tr w14:paraId="446D5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134" w:type="pct"/>
                  <w:vMerge w:val="continue"/>
                  <w:tcBorders>
                    <w:tl2br w:val="nil"/>
                    <w:tr2bl w:val="nil"/>
                  </w:tcBorders>
                  <w:vAlign w:val="center"/>
                </w:tcPr>
                <w:p w14:paraId="430321DB">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vAlign w:val="center"/>
                </w:tcPr>
                <w:p w14:paraId="3037155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1018" w:type="pct"/>
                  <w:tcBorders>
                    <w:tl2br w:val="nil"/>
                    <w:tr2bl w:val="nil"/>
                  </w:tcBorders>
                  <w:vAlign w:val="center"/>
                </w:tcPr>
                <w:p w14:paraId="1720A01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6</w:t>
                  </w:r>
                </w:p>
              </w:tc>
              <w:tc>
                <w:tcPr>
                  <w:tcW w:w="1745" w:type="dxa"/>
                  <w:tcBorders>
                    <w:tl2br w:val="nil"/>
                    <w:tr2bl w:val="nil"/>
                  </w:tcBorders>
                  <w:vAlign w:val="center"/>
                </w:tcPr>
                <w:p w14:paraId="09F97A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0.0007</w:t>
                  </w:r>
                </w:p>
              </w:tc>
              <w:tc>
                <w:tcPr>
                  <w:tcW w:w="2050" w:type="dxa"/>
                  <w:tcBorders>
                    <w:tl2br w:val="nil"/>
                    <w:tr2bl w:val="nil"/>
                  </w:tcBorders>
                  <w:vAlign w:val="center"/>
                </w:tcPr>
                <w:p w14:paraId="46D0AE7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0.00021</w:t>
                  </w:r>
                </w:p>
              </w:tc>
            </w:tr>
            <w:tr w14:paraId="58083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177304D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shd w:val="clear" w:color="auto" w:fill="auto"/>
                  <w:vAlign w:val="center"/>
                </w:tcPr>
                <w:p w14:paraId="6B5E9E8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rPr>
                    <w:t>TN</w:t>
                  </w:r>
                </w:p>
              </w:tc>
              <w:tc>
                <w:tcPr>
                  <w:tcW w:w="1018" w:type="pct"/>
                  <w:tcBorders>
                    <w:tl2br w:val="nil"/>
                    <w:tr2bl w:val="nil"/>
                  </w:tcBorders>
                  <w:shd w:val="clear" w:color="auto" w:fill="auto"/>
                  <w:vAlign w:val="center"/>
                </w:tcPr>
                <w:p w14:paraId="32E7576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45</w:t>
                  </w:r>
                </w:p>
              </w:tc>
              <w:tc>
                <w:tcPr>
                  <w:tcW w:w="1745" w:type="dxa"/>
                  <w:tcBorders>
                    <w:tl2br w:val="nil"/>
                    <w:tr2bl w:val="nil"/>
                  </w:tcBorders>
                  <w:vAlign w:val="center"/>
                </w:tcPr>
                <w:p w14:paraId="5EBFA50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0.0083</w:t>
                  </w:r>
                </w:p>
              </w:tc>
              <w:tc>
                <w:tcPr>
                  <w:tcW w:w="2050" w:type="dxa"/>
                  <w:tcBorders>
                    <w:tl2br w:val="nil"/>
                    <w:tr2bl w:val="nil"/>
                  </w:tcBorders>
                  <w:vAlign w:val="center"/>
                </w:tcPr>
                <w:p w14:paraId="51C4306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0.0025</w:t>
                  </w:r>
                </w:p>
              </w:tc>
            </w:tr>
            <w:tr w14:paraId="50404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540B6A0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vAlign w:val="center"/>
                </w:tcPr>
                <w:p w14:paraId="3BADA423">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石油类</w:t>
                  </w:r>
                </w:p>
              </w:tc>
              <w:tc>
                <w:tcPr>
                  <w:tcW w:w="1018" w:type="pct"/>
                  <w:tcBorders>
                    <w:tl2br w:val="nil"/>
                    <w:tr2bl w:val="nil"/>
                  </w:tcBorders>
                  <w:vAlign w:val="center"/>
                </w:tcPr>
                <w:p w14:paraId="11960BE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20</w:t>
                  </w:r>
                </w:p>
              </w:tc>
              <w:tc>
                <w:tcPr>
                  <w:tcW w:w="1745" w:type="dxa"/>
                  <w:tcBorders>
                    <w:tl2br w:val="nil"/>
                    <w:tr2bl w:val="nil"/>
                  </w:tcBorders>
                  <w:vAlign w:val="center"/>
                </w:tcPr>
                <w:p w14:paraId="68DA0D8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0.333</w:t>
                  </w:r>
                </w:p>
              </w:tc>
              <w:tc>
                <w:tcPr>
                  <w:tcW w:w="2050" w:type="dxa"/>
                  <w:tcBorders>
                    <w:tl2br w:val="nil"/>
                    <w:tr2bl w:val="nil"/>
                  </w:tcBorders>
                  <w:vAlign w:val="center"/>
                </w:tcPr>
                <w:p w14:paraId="28558CC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0.0999</w:t>
                  </w:r>
                </w:p>
              </w:tc>
            </w:tr>
            <w:tr w14:paraId="354F8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53B5A4F5">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818" w:type="pct"/>
                  <w:tcBorders>
                    <w:tl2br w:val="nil"/>
                    <w:tr2bl w:val="nil"/>
                  </w:tcBorders>
                  <w:vAlign w:val="center"/>
                </w:tcPr>
                <w:p w14:paraId="5AB527F8">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LAS</w:t>
                  </w:r>
                </w:p>
              </w:tc>
              <w:tc>
                <w:tcPr>
                  <w:tcW w:w="1018" w:type="pct"/>
                  <w:tcBorders>
                    <w:tl2br w:val="nil"/>
                    <w:tr2bl w:val="nil"/>
                  </w:tcBorders>
                  <w:vAlign w:val="center"/>
                </w:tcPr>
                <w:p w14:paraId="20CCCDD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20</w:t>
                  </w:r>
                </w:p>
              </w:tc>
              <w:tc>
                <w:tcPr>
                  <w:tcW w:w="1745" w:type="dxa"/>
                  <w:tcBorders>
                    <w:tl2br w:val="nil"/>
                    <w:tr2bl w:val="nil"/>
                  </w:tcBorders>
                  <w:vAlign w:val="center"/>
                </w:tcPr>
                <w:p w14:paraId="565A7E4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0.2867</w:t>
                  </w:r>
                </w:p>
              </w:tc>
              <w:tc>
                <w:tcPr>
                  <w:tcW w:w="2050" w:type="dxa"/>
                  <w:tcBorders>
                    <w:tl2br w:val="nil"/>
                    <w:tr2bl w:val="nil"/>
                  </w:tcBorders>
                  <w:vAlign w:val="center"/>
                </w:tcPr>
                <w:p w14:paraId="0834D8F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0.086</w:t>
                  </w:r>
                </w:p>
              </w:tc>
            </w:tr>
            <w:tr w14:paraId="1AD9D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restart"/>
                  <w:tcBorders>
                    <w:tl2br w:val="nil"/>
                    <w:tr2bl w:val="nil"/>
                  </w:tcBorders>
                  <w:vAlign w:val="center"/>
                </w:tcPr>
                <w:p w14:paraId="610DCC8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全厂排放口合计</w:t>
                  </w:r>
                </w:p>
              </w:tc>
              <w:tc>
                <w:tcPr>
                  <w:tcW w:w="2769" w:type="pct"/>
                  <w:gridSpan w:val="3"/>
                  <w:tcBorders>
                    <w:tl2br w:val="nil"/>
                    <w:tr2bl w:val="nil"/>
                  </w:tcBorders>
                  <w:vAlign w:val="center"/>
                </w:tcPr>
                <w:p w14:paraId="4578B19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2050" w:type="dxa"/>
                  <w:tcBorders>
                    <w:tl2br w:val="nil"/>
                    <w:tr2bl w:val="nil"/>
                  </w:tcBorders>
                  <w:vAlign w:val="center"/>
                </w:tcPr>
                <w:p w14:paraId="1DE4AE3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1.5141</w:t>
                  </w:r>
                </w:p>
              </w:tc>
            </w:tr>
            <w:tr w14:paraId="09B75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1779FAE5">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vAlign w:val="center"/>
                </w:tcPr>
                <w:p w14:paraId="144BC30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2050" w:type="dxa"/>
                  <w:tcBorders>
                    <w:tl2br w:val="nil"/>
                    <w:tr2bl w:val="nil"/>
                  </w:tcBorders>
                  <w:vAlign w:val="center"/>
                </w:tcPr>
                <w:p w14:paraId="39C62E0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1.4029</w:t>
                  </w:r>
                </w:p>
              </w:tc>
            </w:tr>
            <w:tr w14:paraId="30A9A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5E880444">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vAlign w:val="center"/>
                </w:tcPr>
                <w:p w14:paraId="7603D0C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baseline"/>
                    </w:rPr>
                    <w:t>3</w:t>
                  </w:r>
                  <w:r>
                    <w:rPr>
                      <w:rFonts w:hint="default" w:ascii="Times New Roman" w:hAnsi="Times New Roman" w:eastAsia="仿宋" w:cs="Times New Roman"/>
                      <w:color w:val="auto"/>
                      <w:sz w:val="21"/>
                      <w:szCs w:val="21"/>
                      <w:highlight w:val="none"/>
                    </w:rPr>
                    <w:t>-N</w:t>
                  </w:r>
                </w:p>
              </w:tc>
              <w:tc>
                <w:tcPr>
                  <w:tcW w:w="2050" w:type="dxa"/>
                  <w:tcBorders>
                    <w:tl2br w:val="nil"/>
                    <w:tr2bl w:val="nil"/>
                  </w:tcBorders>
                  <w:vAlign w:val="center"/>
                </w:tcPr>
                <w:p w14:paraId="3059CA9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0.0016</w:t>
                  </w:r>
                </w:p>
              </w:tc>
            </w:tr>
            <w:tr w14:paraId="1C98C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6969A262">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vAlign w:val="center"/>
                </w:tcPr>
                <w:p w14:paraId="2CB92A9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TP</w:t>
                  </w:r>
                </w:p>
              </w:tc>
              <w:tc>
                <w:tcPr>
                  <w:tcW w:w="2050" w:type="dxa"/>
                  <w:tcBorders>
                    <w:tl2br w:val="nil"/>
                    <w:tr2bl w:val="nil"/>
                  </w:tcBorders>
                  <w:vAlign w:val="center"/>
                </w:tcPr>
                <w:p w14:paraId="0F9A007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0.00021</w:t>
                  </w:r>
                </w:p>
              </w:tc>
            </w:tr>
            <w:tr w14:paraId="184C6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56B30934">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vAlign w:val="center"/>
                </w:tcPr>
                <w:p w14:paraId="6BF1D04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TN</w:t>
                  </w:r>
                </w:p>
              </w:tc>
              <w:tc>
                <w:tcPr>
                  <w:tcW w:w="2050" w:type="dxa"/>
                  <w:tcBorders>
                    <w:tl2br w:val="nil"/>
                    <w:tr2bl w:val="nil"/>
                  </w:tcBorders>
                  <w:vAlign w:val="center"/>
                </w:tcPr>
                <w:p w14:paraId="1F9A55F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0.0025</w:t>
                  </w:r>
                </w:p>
              </w:tc>
            </w:tr>
            <w:tr w14:paraId="6519B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2DB77DE9">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shd w:val="clear" w:color="auto" w:fill="auto"/>
                  <w:vAlign w:val="center"/>
                </w:tcPr>
                <w:p w14:paraId="0C64B68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石油类</w:t>
                  </w:r>
                </w:p>
              </w:tc>
              <w:tc>
                <w:tcPr>
                  <w:tcW w:w="2050" w:type="dxa"/>
                  <w:tcBorders>
                    <w:tl2br w:val="nil"/>
                    <w:tr2bl w:val="nil"/>
                  </w:tcBorders>
                  <w:vAlign w:val="center"/>
                </w:tcPr>
                <w:p w14:paraId="07604C8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0.0999</w:t>
                  </w:r>
                </w:p>
              </w:tc>
            </w:tr>
            <w:tr w14:paraId="0EDC8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4" w:type="pct"/>
                  <w:vMerge w:val="continue"/>
                  <w:tcBorders>
                    <w:tl2br w:val="nil"/>
                    <w:tr2bl w:val="nil"/>
                  </w:tcBorders>
                  <w:vAlign w:val="center"/>
                </w:tcPr>
                <w:p w14:paraId="0399D116">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color w:val="auto"/>
                      <w:sz w:val="21"/>
                      <w:szCs w:val="21"/>
                      <w:highlight w:val="none"/>
                    </w:rPr>
                  </w:pPr>
                </w:p>
              </w:tc>
              <w:tc>
                <w:tcPr>
                  <w:tcW w:w="2769" w:type="pct"/>
                  <w:gridSpan w:val="3"/>
                  <w:tcBorders>
                    <w:tl2br w:val="nil"/>
                    <w:tr2bl w:val="nil"/>
                  </w:tcBorders>
                  <w:shd w:val="clear" w:color="auto" w:fill="auto"/>
                  <w:vAlign w:val="center"/>
                </w:tcPr>
                <w:p w14:paraId="04856CD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LAS</w:t>
                  </w:r>
                </w:p>
              </w:tc>
              <w:tc>
                <w:tcPr>
                  <w:tcW w:w="2050" w:type="dxa"/>
                  <w:tcBorders>
                    <w:tl2br w:val="nil"/>
                    <w:tr2bl w:val="nil"/>
                  </w:tcBorders>
                  <w:vAlign w:val="center"/>
                </w:tcPr>
                <w:p w14:paraId="1B8BDA9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0.086</w:t>
                  </w:r>
                </w:p>
              </w:tc>
            </w:tr>
          </w:tbl>
          <w:p w14:paraId="4B5C2CAA">
            <w:pPr>
              <w:spacing w:line="360" w:lineRule="auto"/>
              <w:rPr>
                <w:rFonts w:hint="eastAsia"/>
                <w:b/>
                <w:bCs/>
                <w:color w:val="auto"/>
                <w:sz w:val="24"/>
                <w:szCs w:val="24"/>
                <w:highlight w:val="none"/>
              </w:rPr>
            </w:pPr>
            <w:r>
              <w:rPr>
                <w:rFonts w:hint="eastAsia"/>
                <w:b/>
                <w:bCs/>
                <w:color w:val="auto"/>
                <w:sz w:val="24"/>
                <w:szCs w:val="24"/>
                <w:highlight w:val="none"/>
                <w:lang w:val="en-US" w:eastAsia="zh-CN"/>
              </w:rPr>
              <w:t>2.2  生产废水处理</w:t>
            </w:r>
            <w:r>
              <w:rPr>
                <w:rFonts w:hint="eastAsia"/>
                <w:b/>
                <w:bCs/>
                <w:color w:val="auto"/>
                <w:sz w:val="24"/>
                <w:szCs w:val="24"/>
                <w:highlight w:val="none"/>
              </w:rPr>
              <w:t>可行性分析</w:t>
            </w:r>
          </w:p>
          <w:p w14:paraId="6A1BB7F6">
            <w:pPr>
              <w:autoSpaceDE w:val="0"/>
              <w:autoSpaceDN w:val="0"/>
              <w:spacing w:line="360" w:lineRule="auto"/>
              <w:rPr>
                <w:rFonts w:hint="default" w:cs="Times New Roman"/>
                <w:b/>
                <w:bCs/>
                <w:color w:val="auto"/>
                <w:sz w:val="24"/>
                <w:szCs w:val="24"/>
                <w:highlight w:val="none"/>
              </w:rPr>
            </w:pPr>
            <w:r>
              <w:rPr>
                <w:rFonts w:hint="eastAsia" w:cs="Times New Roman"/>
                <w:b/>
                <w:bCs/>
                <w:color w:val="auto"/>
                <w:sz w:val="24"/>
                <w:szCs w:val="24"/>
                <w:highlight w:val="none"/>
                <w:lang w:val="en-US" w:eastAsia="zh-CN"/>
              </w:rPr>
              <w:t xml:space="preserve">2.2.1  </w:t>
            </w:r>
            <w:r>
              <w:rPr>
                <w:rFonts w:hint="default" w:cs="Times New Roman"/>
                <w:b/>
                <w:bCs/>
                <w:color w:val="auto"/>
                <w:sz w:val="24"/>
                <w:szCs w:val="24"/>
                <w:highlight w:val="none"/>
              </w:rPr>
              <w:t>废水处理工艺流程</w:t>
            </w:r>
          </w:p>
          <w:p w14:paraId="6C69A8E7">
            <w:pPr>
              <w:keepNext w:val="0"/>
              <w:keepLines w:val="0"/>
              <w:pageBreakBefore w:val="0"/>
              <w:widowControl/>
              <w:numPr>
                <w:ilvl w:val="-1"/>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object>
                <v:shape id="_x0000_i1037" o:spt="75" type="#_x0000_t75" style="height:451.45pt;width:468.9pt;" o:ole="t" filled="f" o:preferrelative="t" stroked="f" coordsize="21600,21600">
                  <v:path/>
                  <v:fill on="f" focussize="0,0"/>
                  <v:stroke on="f"/>
                  <v:imagedata r:id="rId36" o:title=""/>
                  <o:lock v:ext="edit" aspectratio="f"/>
                  <w10:wrap type="none"/>
                  <w10:anchorlock/>
                </v:shape>
                <o:OLEObject Type="Embed" ProgID="Visio.Drawing.15" ShapeID="_x0000_i1037" DrawAspect="Content" ObjectID="_1468075737" r:id="rId35">
                  <o:LockedField>false</o:LockedField>
                </o:OLEObject>
              </w:object>
            </w:r>
          </w:p>
          <w:p w14:paraId="7140A65A">
            <w:pPr>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highlight w:val="none"/>
              </w:rPr>
              <w:t>图4-</w:t>
            </w:r>
            <w:r>
              <w:rPr>
                <w:rFonts w:hint="eastAsia"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废</w:t>
            </w:r>
            <w:r>
              <w:rPr>
                <w:rFonts w:hint="eastAsia" w:cs="Times New Roman"/>
                <w:b/>
                <w:color w:val="auto"/>
                <w:sz w:val="24"/>
                <w:szCs w:val="24"/>
                <w:highlight w:val="none"/>
                <w:lang w:val="en-US" w:eastAsia="zh-CN"/>
              </w:rPr>
              <w:t>水</w:t>
            </w:r>
            <w:r>
              <w:rPr>
                <w:rFonts w:hint="default" w:ascii="Times New Roman" w:hAnsi="Times New Roman" w:eastAsia="宋体" w:cs="Times New Roman"/>
                <w:b/>
                <w:color w:val="auto"/>
                <w:sz w:val="24"/>
                <w:szCs w:val="24"/>
                <w:highlight w:val="none"/>
              </w:rPr>
              <w:t>治理工艺流程图</w:t>
            </w:r>
          </w:p>
          <w:p w14:paraId="363799F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工艺流程简述：沉淀池出水后自流至厌氧池</w:t>
            </w:r>
            <w:r>
              <w:rPr>
                <w:rFonts w:hint="eastAsia" w:ascii="Times New Roman" w:hAnsi="Times New Roman" w:eastAsia="宋体" w:cs="Times New Roman"/>
                <w:color w:val="auto"/>
                <w:sz w:val="24"/>
                <w:lang w:val="en-US" w:eastAsia="zh-CN"/>
              </w:rPr>
              <w:t>中，在厌氧产酸菌的作用下，将废水中难溶及难生物降解的大分子有机物质转化成易溶易生物降解的小分子有机物，为后续的好氧生化处理创造有利的条件。</w:t>
            </w:r>
          </w:p>
          <w:p w14:paraId="3E0B30D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水经厌氧后自流至好氧池，好氧池内挂有组合填料，填料上长满好氧微生物膜，大幅度提高了生物的滞留量，当废水流经填料层时，废水中的有机污染物被好氧微生物吸附、氧化、分解，从而达到去除有机污染物的目的。</w:t>
            </w:r>
          </w:p>
          <w:p w14:paraId="2AD6731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好氧池出水自流至MBR膜池，在MBR膜的作用下，可以使污水中世代周期较长的微生物如硝化菌等得到截流，从而有效降解水中的氨氮。而大量微生物聚集在一起的共同代谢作用，可以使得一些难于生物降解的有机物得到降解。</w:t>
            </w:r>
          </w:p>
          <w:p w14:paraId="647C4EC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高浓度废水定量打入电泳废水收集池，定期混合处理。</w:t>
            </w:r>
          </w:p>
          <w:p w14:paraId="6E9DC7BE">
            <w:pPr>
              <w:keepNext w:val="0"/>
              <w:keepLines w:val="0"/>
              <w:suppressLineNumbers w:val="0"/>
              <w:spacing w:before="0" w:beforeAutospacing="0" w:after="0" w:afterAutospacing="0" w:line="360" w:lineRule="auto"/>
              <w:ind w:right="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2.2.2污水处理工艺原理</w:t>
            </w:r>
          </w:p>
          <w:p w14:paraId="724E96BE">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（1）气浮池</w:t>
            </w:r>
          </w:p>
          <w:p w14:paraId="262B08DF">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val="en-US" w:eastAsia="zh-CN"/>
              </w:rPr>
            </w:pPr>
            <w:r>
              <w:rPr>
                <w:rFonts w:hint="default" w:cs="Times New Roman"/>
                <w:color w:val="auto"/>
                <w:sz w:val="24"/>
                <w:lang w:val="en-US" w:eastAsia="zh-CN"/>
              </w:rPr>
              <w:t>在水中形成高度分散的微小气泡，</w:t>
            </w:r>
            <w:r>
              <w:rPr>
                <w:rFonts w:hint="eastAsia" w:cs="Times New Roman"/>
                <w:color w:val="auto"/>
                <w:sz w:val="24"/>
                <w:lang w:val="en-US" w:eastAsia="zh-CN"/>
              </w:rPr>
              <w:t>黏附</w:t>
            </w:r>
            <w:r>
              <w:rPr>
                <w:rFonts w:hint="default" w:cs="Times New Roman"/>
                <w:color w:val="auto"/>
                <w:sz w:val="24"/>
                <w:lang w:val="en-US" w:eastAsia="zh-CN"/>
              </w:rPr>
              <w:t>废水中疏水基的固体或液体颗粒，形成水—气—颗粒三相混合体系，颗粒</w:t>
            </w:r>
            <w:r>
              <w:rPr>
                <w:rFonts w:hint="eastAsia" w:cs="Times New Roman"/>
                <w:color w:val="auto"/>
                <w:sz w:val="24"/>
                <w:lang w:val="en-US" w:eastAsia="zh-CN"/>
              </w:rPr>
              <w:t>黏附</w:t>
            </w:r>
            <w:r>
              <w:rPr>
                <w:rFonts w:hint="default" w:cs="Times New Roman"/>
                <w:color w:val="auto"/>
                <w:sz w:val="24"/>
                <w:lang w:val="en-US" w:eastAsia="zh-CN"/>
              </w:rPr>
              <w:t>气泡后，形成表观密度小于水的絮体而上浮到水面，形成浮渣层被刮除，从而实现固液或者液液分离</w:t>
            </w:r>
            <w:r>
              <w:rPr>
                <w:rFonts w:hint="eastAsia" w:cs="Times New Roman"/>
                <w:color w:val="auto"/>
                <w:sz w:val="24"/>
                <w:lang w:val="en-US" w:eastAsia="zh-CN"/>
              </w:rPr>
              <w:t>，以此初步去除废水中较大颗粒的悬浮物和部分油脂类物质</w:t>
            </w:r>
            <w:r>
              <w:rPr>
                <w:rFonts w:hint="default" w:cs="Times New Roman"/>
                <w:color w:val="auto"/>
                <w:sz w:val="24"/>
                <w:lang w:val="en-US" w:eastAsia="zh-CN"/>
              </w:rPr>
              <w:t>。</w:t>
            </w:r>
          </w:p>
          <w:p w14:paraId="146719B1">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（2）物化反应池</w:t>
            </w:r>
          </w:p>
          <w:p w14:paraId="0EA8CC9D">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调节PH，添加PAC、PAM，废水中颗粒状及胶体状污染物自动形成固体悬浮物，再次</w:t>
            </w:r>
            <w:r>
              <w:rPr>
                <w:rFonts w:hint="default" w:cs="Times New Roman"/>
                <w:color w:val="auto"/>
                <w:sz w:val="24"/>
                <w:lang w:val="en-US" w:eastAsia="zh-CN"/>
              </w:rPr>
              <w:t>实现固液</w:t>
            </w:r>
            <w:r>
              <w:rPr>
                <w:rFonts w:hint="eastAsia" w:cs="Times New Roman"/>
                <w:color w:val="auto"/>
                <w:sz w:val="24"/>
                <w:lang w:val="en-US" w:eastAsia="zh-CN"/>
              </w:rPr>
              <w:t>。</w:t>
            </w:r>
          </w:p>
          <w:p w14:paraId="5BDB9F6D">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（3）pH调节池</w:t>
            </w:r>
          </w:p>
          <w:p w14:paraId="74216982">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调节pH，在pH自控系统的控制下自动投加稀碱，调节废水的pH值在9.5～10之间，以保证后续处理过程中化学反应的顺利进行。</w:t>
            </w:r>
          </w:p>
          <w:p w14:paraId="52AAC5E9">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eastAsia" w:cs="Times New Roman"/>
                <w:color w:val="auto"/>
                <w:sz w:val="24"/>
                <w:lang w:val="en-US" w:eastAsia="zh-CN"/>
              </w:rPr>
              <w:t>（4）反应池/沉淀池</w:t>
            </w:r>
          </w:p>
          <w:p w14:paraId="50FCAC5C">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rPr>
            </w:pPr>
            <w:r>
              <w:rPr>
                <w:rFonts w:hint="default" w:cs="Times New Roman"/>
                <w:color w:val="auto"/>
                <w:sz w:val="24"/>
                <w:lang w:val="en-US" w:eastAsia="zh-CN"/>
              </w:rPr>
              <w:t>投加混凝剂PAC，在混凝剂PAC的作用下，废水中颗粒状及胶体状污染物自动形成固体悬浮物，搅拌反应后，出水自流至沉淀池2，再往废水中适量投加絮凝剂PAM溶液。在絮凝剂PAM的凝聚及架桥作用下，废水中形成的固体悬浮物进一步聚合形成较大颗粒的絮体</w:t>
            </w:r>
            <w:r>
              <w:rPr>
                <w:rFonts w:hint="eastAsia" w:cs="Times New Roman"/>
                <w:color w:val="auto"/>
                <w:sz w:val="24"/>
                <w:lang w:val="en-US" w:eastAsia="zh-CN"/>
              </w:rPr>
              <w:t>，絮凝体逐渐下沉至池底，形成沉淀污泥，从而实现固液分离，去除废水中大部分的悬浮物和部分溶解性污染物，</w:t>
            </w:r>
            <w:r>
              <w:rPr>
                <w:rFonts w:hint="default" w:cs="Times New Roman"/>
                <w:color w:val="auto"/>
                <w:sz w:val="24"/>
                <w:lang w:val="en-US" w:eastAsia="zh-CN"/>
              </w:rPr>
              <w:t>出水自流至沉淀池2进行固液分离，上清液流自流至厌氧池</w:t>
            </w:r>
            <w:r>
              <w:rPr>
                <w:rFonts w:hint="eastAsia" w:cs="Times New Roman"/>
                <w:color w:val="auto"/>
                <w:sz w:val="24"/>
                <w:lang w:val="en-US" w:eastAsia="zh-CN"/>
              </w:rPr>
              <w:t>。</w:t>
            </w:r>
          </w:p>
          <w:p w14:paraId="6EDA596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（5）厌氧池</w:t>
            </w:r>
          </w:p>
          <w:p w14:paraId="68F2118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在厌氧产酸菌的作用下，将废水中难溶及难生物降解的大分子有机物质转化成易溶易生物降解的小分子有机物，这一过程不仅可以去除部分有机物，还能将一些难降解的有机物转化为更易生物降解的物质，提高废水的可生化性。</w:t>
            </w:r>
          </w:p>
          <w:p w14:paraId="3E7A8E0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（6）好氧池</w:t>
            </w:r>
          </w:p>
          <w:p w14:paraId="38E78F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好氧池内挂有组合填料，填料上长满好氧微生物膜，大幅度提高了生物的滞留量，当废水流经填料层时，废水中的有机污染物被好氧微生物吸附、氧化、分解，从而达到去除有机污染物的目的</w:t>
            </w:r>
            <w:r>
              <w:rPr>
                <w:rFonts w:hint="eastAsia" w:ascii="Times New Roman" w:hAnsi="Times New Roman" w:eastAsia="宋体" w:cs="Times New Roman"/>
                <w:color w:val="auto"/>
                <w:sz w:val="24"/>
                <w:lang w:val="en-US" w:eastAsia="zh-CN"/>
              </w:rPr>
              <w:t>。</w:t>
            </w:r>
          </w:p>
          <w:p w14:paraId="21E5AD0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（7）MBR膜</w:t>
            </w:r>
          </w:p>
          <w:p w14:paraId="7E0F43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在MBR膜的作用下，可以使污水中世代周期较长的微生物如硝化菌等得到</w:t>
            </w:r>
            <w:r>
              <w:rPr>
                <w:rFonts w:hint="eastAsia" w:cs="Times New Roman"/>
                <w:color w:val="auto"/>
                <w:sz w:val="24"/>
                <w:lang w:val="en-US" w:eastAsia="zh-CN"/>
              </w:rPr>
              <w:t>截留</w:t>
            </w:r>
            <w:r>
              <w:rPr>
                <w:rFonts w:hint="default" w:ascii="Times New Roman" w:hAnsi="Times New Roman" w:eastAsia="宋体" w:cs="Times New Roman"/>
                <w:color w:val="auto"/>
                <w:sz w:val="24"/>
                <w:lang w:val="en-US" w:eastAsia="zh-CN"/>
              </w:rPr>
              <w:t>，从而有效降解水中的氨氮。而大量微生物聚集在一起的共同代谢作用，可以使得一些难于生物降解的有机物得到降解。</w:t>
            </w:r>
          </w:p>
          <w:p w14:paraId="7FE0772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（8）RO处理系统</w:t>
            </w:r>
          </w:p>
          <w:p w14:paraId="69D1FE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反渗透</w:t>
            </w:r>
            <w:r>
              <w:rPr>
                <w:rFonts w:hint="eastAsia" w:ascii="Times New Roman" w:hAnsi="Times New Roman" w:eastAsia="宋体" w:cs="Times New Roman"/>
                <w:color w:val="auto"/>
                <w:sz w:val="24"/>
                <w:lang w:val="en-US" w:eastAsia="zh-CN"/>
              </w:rPr>
              <w:t>（RO）</w:t>
            </w:r>
            <w:r>
              <w:rPr>
                <w:rFonts w:hint="default" w:ascii="Times New Roman" w:hAnsi="Times New Roman" w:eastAsia="宋体" w:cs="Times New Roman"/>
                <w:color w:val="auto"/>
                <w:sz w:val="24"/>
                <w:lang w:val="en-US" w:eastAsia="zh-CN"/>
              </w:rPr>
              <w:t>是一种借助于选择透过</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半透过</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性膜的功能，MBR将生物处理与膜分离技术相结合，利用膜的高效截留作用，能够进一步去除废水中的微生物、悬浮物、胶体以及部分溶解性有机物等。</w:t>
            </w:r>
          </w:p>
          <w:p w14:paraId="78F4B94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（9）压滤机</w:t>
            </w:r>
          </w:p>
          <w:p w14:paraId="4DD93F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沉淀池1及沉淀池2污泥定期排放至污泥浓缩池，开启气动隔膜泵将污泥压至压滤机进行脱水，压满后，人工清理装袋，运至指定地点堆放，并交由专业公司处理，滤液流回综合废水收集池。</w:t>
            </w:r>
          </w:p>
          <w:p w14:paraId="5A9BC391">
            <w:pPr>
              <w:keepNext w:val="0"/>
              <w:keepLines w:val="0"/>
              <w:suppressLineNumbers w:val="0"/>
              <w:spacing w:before="0" w:beforeAutospacing="0" w:after="0" w:afterAutospacing="0" w:line="360" w:lineRule="auto"/>
              <w:ind w:right="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2.2.</w:t>
            </w: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 xml:space="preserve">  废水处理构筑物、设备情况</w:t>
            </w:r>
          </w:p>
          <w:p w14:paraId="17FF21C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主要构筑物一览表</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2138"/>
              <w:gridCol w:w="4518"/>
              <w:gridCol w:w="830"/>
              <w:gridCol w:w="884"/>
            </w:tblGrid>
            <w:tr w14:paraId="3F971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0B9FA95">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color w:val="auto"/>
                      <w:sz w:val="21"/>
                      <w:szCs w:val="21"/>
                      <w:highlight w:val="none"/>
                      <w:lang w:val="en-US" w:eastAsia="zh-CN"/>
                    </w:rPr>
                  </w:pPr>
                  <w:r>
                    <w:rPr>
                      <w:rFonts w:hint="eastAsia" w:ascii="Times New Roman" w:hAnsi="Times New Roman" w:eastAsia="仿宋" w:cs="Times New Roman"/>
                      <w:b/>
                      <w:color w:val="auto"/>
                      <w:sz w:val="21"/>
                      <w:szCs w:val="21"/>
                      <w:highlight w:val="none"/>
                      <w:lang w:val="en-US" w:eastAsia="zh-CN"/>
                    </w:rPr>
                    <w:t>序号</w:t>
                  </w:r>
                </w:p>
              </w:tc>
              <w:tc>
                <w:tcPr>
                  <w:tcW w:w="1144" w:type="pct"/>
                  <w:tcBorders>
                    <w:tl2br w:val="nil"/>
                    <w:tr2bl w:val="nil"/>
                  </w:tcBorders>
                  <w:vAlign w:val="center"/>
                </w:tcPr>
                <w:p w14:paraId="784F0252">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设备名称</w:t>
                  </w:r>
                </w:p>
              </w:tc>
              <w:tc>
                <w:tcPr>
                  <w:tcW w:w="2418" w:type="pct"/>
                  <w:tcBorders>
                    <w:tl2br w:val="nil"/>
                    <w:tr2bl w:val="nil"/>
                  </w:tcBorders>
                  <w:vAlign w:val="center"/>
                </w:tcPr>
                <w:p w14:paraId="2042DFEC">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color w:val="auto"/>
                      <w:sz w:val="21"/>
                      <w:szCs w:val="21"/>
                      <w:highlight w:val="none"/>
                      <w:lang w:val="en-US" w:eastAsia="zh-CN"/>
                    </w:rPr>
                  </w:pPr>
                  <w:r>
                    <w:rPr>
                      <w:rFonts w:hint="eastAsia" w:ascii="Times New Roman" w:hAnsi="Times New Roman" w:eastAsia="仿宋" w:cs="Times New Roman"/>
                      <w:b/>
                      <w:color w:val="auto"/>
                      <w:sz w:val="21"/>
                      <w:szCs w:val="21"/>
                      <w:highlight w:val="none"/>
                      <w:lang w:val="en-US" w:eastAsia="zh-CN"/>
                    </w:rPr>
                    <w:t>尺寸规格</w:t>
                  </w:r>
                </w:p>
              </w:tc>
              <w:tc>
                <w:tcPr>
                  <w:tcW w:w="444" w:type="pct"/>
                  <w:tcBorders>
                    <w:tl2br w:val="nil"/>
                    <w:tr2bl w:val="nil"/>
                  </w:tcBorders>
                  <w:vAlign w:val="center"/>
                </w:tcPr>
                <w:p w14:paraId="29A4656F">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单位</w:t>
                  </w:r>
                </w:p>
              </w:tc>
              <w:tc>
                <w:tcPr>
                  <w:tcW w:w="470" w:type="pct"/>
                  <w:tcBorders>
                    <w:tl2br w:val="nil"/>
                    <w:tr2bl w:val="nil"/>
                  </w:tcBorders>
                  <w:vAlign w:val="center"/>
                </w:tcPr>
                <w:p w14:paraId="1F10FB8D">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color w:val="auto"/>
                      <w:sz w:val="21"/>
                      <w:szCs w:val="21"/>
                      <w:highlight w:val="none"/>
                      <w:lang w:val="en-US" w:eastAsia="zh-CN"/>
                    </w:rPr>
                  </w:pPr>
                  <w:r>
                    <w:rPr>
                      <w:rFonts w:hint="eastAsia" w:ascii="Times New Roman" w:hAnsi="Times New Roman" w:eastAsia="仿宋" w:cs="Times New Roman"/>
                      <w:b/>
                      <w:color w:val="auto"/>
                      <w:sz w:val="21"/>
                      <w:szCs w:val="21"/>
                      <w:highlight w:val="none"/>
                      <w:lang w:val="en-US" w:eastAsia="zh-CN"/>
                    </w:rPr>
                    <w:t>数量</w:t>
                  </w:r>
                </w:p>
              </w:tc>
            </w:tr>
            <w:tr w14:paraId="2E7F5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595BC312">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一、电泳废水处理系统</w:t>
                  </w:r>
                </w:p>
              </w:tc>
            </w:tr>
            <w:tr w14:paraId="28AE9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BED047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44" w:type="pct"/>
                  <w:tcBorders>
                    <w:tl2br w:val="nil"/>
                    <w:tr2bl w:val="nil"/>
                  </w:tcBorders>
                  <w:vAlign w:val="center"/>
                </w:tcPr>
                <w:p w14:paraId="4A5EC28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电泳废水提升泵</w:t>
                  </w:r>
                </w:p>
              </w:tc>
              <w:tc>
                <w:tcPr>
                  <w:tcW w:w="2418" w:type="pct"/>
                  <w:tcBorders>
                    <w:tl2br w:val="nil"/>
                    <w:tr2bl w:val="nil"/>
                  </w:tcBorders>
                  <w:vAlign w:val="center"/>
                </w:tcPr>
                <w:p w14:paraId="7510C16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流量：5T/H，功率：0.55</w:t>
                  </w:r>
                  <w:r>
                    <w:rPr>
                      <w:rFonts w:hint="eastAsia" w:eastAsia="仿宋" w:cs="Times New Roman"/>
                      <w:color w:val="auto"/>
                      <w:sz w:val="21"/>
                      <w:szCs w:val="21"/>
                      <w:highlight w:val="none"/>
                      <w:lang w:val="en-US" w:eastAsia="zh-CN"/>
                    </w:rPr>
                    <w:t>kW</w:t>
                  </w:r>
                  <w:r>
                    <w:rPr>
                      <w:rFonts w:hint="eastAsia" w:ascii="Times New Roman" w:hAnsi="Times New Roman" w:eastAsia="仿宋" w:cs="Times New Roman"/>
                      <w:color w:val="auto"/>
                      <w:sz w:val="21"/>
                      <w:szCs w:val="21"/>
                      <w:highlight w:val="none"/>
                      <w:lang w:val="en-US" w:eastAsia="zh-CN"/>
                    </w:rPr>
                    <w:t xml:space="preserve"> </w:t>
                  </w:r>
                </w:p>
              </w:tc>
              <w:tc>
                <w:tcPr>
                  <w:tcW w:w="444" w:type="pct"/>
                  <w:tcBorders>
                    <w:tl2br w:val="nil"/>
                    <w:tr2bl w:val="nil"/>
                  </w:tcBorders>
                  <w:vAlign w:val="center"/>
                </w:tcPr>
                <w:p w14:paraId="48F6C2F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50899C1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5E572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8C6E15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44" w:type="pct"/>
                  <w:tcBorders>
                    <w:tl2br w:val="nil"/>
                    <w:tr2bl w:val="nil"/>
                  </w:tcBorders>
                  <w:vAlign w:val="center"/>
                </w:tcPr>
                <w:p w14:paraId="376B8AF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转子流量计</w:t>
                  </w:r>
                </w:p>
              </w:tc>
              <w:tc>
                <w:tcPr>
                  <w:tcW w:w="2418" w:type="pct"/>
                  <w:tcBorders>
                    <w:tl2br w:val="nil"/>
                    <w:tr2bl w:val="nil"/>
                  </w:tcBorders>
                  <w:vAlign w:val="center"/>
                </w:tcPr>
                <w:p w14:paraId="25E32E9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2-10T</w:t>
                  </w:r>
                </w:p>
              </w:tc>
              <w:tc>
                <w:tcPr>
                  <w:tcW w:w="444" w:type="pct"/>
                  <w:tcBorders>
                    <w:tl2br w:val="nil"/>
                    <w:tr2bl w:val="nil"/>
                  </w:tcBorders>
                  <w:vAlign w:val="center"/>
                </w:tcPr>
                <w:p w14:paraId="7DF278A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0089C8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772CD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068623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44" w:type="pct"/>
                  <w:tcBorders>
                    <w:tl2br w:val="nil"/>
                    <w:tr2bl w:val="nil"/>
                  </w:tcBorders>
                  <w:vAlign w:val="center"/>
                </w:tcPr>
                <w:p w14:paraId="021AB12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气浮设备</w:t>
                  </w:r>
                </w:p>
              </w:tc>
              <w:tc>
                <w:tcPr>
                  <w:tcW w:w="2418" w:type="pct"/>
                  <w:tcBorders>
                    <w:tl2br w:val="nil"/>
                    <w:tr2bl w:val="nil"/>
                  </w:tcBorders>
                  <w:vAlign w:val="center"/>
                </w:tcPr>
                <w:p w14:paraId="02DC4C4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流量：3T/H</w:t>
                  </w:r>
                </w:p>
              </w:tc>
              <w:tc>
                <w:tcPr>
                  <w:tcW w:w="444" w:type="pct"/>
                  <w:tcBorders>
                    <w:tl2br w:val="nil"/>
                    <w:tr2bl w:val="nil"/>
                  </w:tcBorders>
                  <w:vAlign w:val="center"/>
                </w:tcPr>
                <w:p w14:paraId="6CFE782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2C408D9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8DE8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4CF21D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1144" w:type="pct"/>
                  <w:tcBorders>
                    <w:tl2br w:val="nil"/>
                    <w:tr2bl w:val="nil"/>
                  </w:tcBorders>
                  <w:vAlign w:val="center"/>
                </w:tcPr>
                <w:p w14:paraId="562574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反应搅拌机</w:t>
                  </w:r>
                </w:p>
              </w:tc>
              <w:tc>
                <w:tcPr>
                  <w:tcW w:w="2418" w:type="pct"/>
                  <w:tcBorders>
                    <w:tl2br w:val="nil"/>
                    <w:tr2bl w:val="nil"/>
                  </w:tcBorders>
                  <w:vAlign w:val="center"/>
                </w:tcPr>
                <w:p w14:paraId="4B06FEB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63D6A15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5B2994F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7538D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43ED51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44" w:type="pct"/>
                  <w:tcBorders>
                    <w:tl2br w:val="nil"/>
                    <w:tr2bl w:val="nil"/>
                  </w:tcBorders>
                  <w:vAlign w:val="center"/>
                </w:tcPr>
                <w:p w14:paraId="2DB5E21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气浮走道</w:t>
                  </w:r>
                </w:p>
              </w:tc>
              <w:tc>
                <w:tcPr>
                  <w:tcW w:w="2418" w:type="pct"/>
                  <w:tcBorders>
                    <w:tl2br w:val="nil"/>
                    <w:tr2bl w:val="nil"/>
                  </w:tcBorders>
                  <w:vAlign w:val="center"/>
                </w:tcPr>
                <w:p w14:paraId="657CFEF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3C4AB71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1E21A03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0FC01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C75FBF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44" w:type="pct"/>
                  <w:tcBorders>
                    <w:tl2br w:val="nil"/>
                    <w:tr2bl w:val="nil"/>
                  </w:tcBorders>
                  <w:vAlign w:val="center"/>
                </w:tcPr>
                <w:p w14:paraId="404EF8C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加药机</w:t>
                  </w:r>
                </w:p>
              </w:tc>
              <w:tc>
                <w:tcPr>
                  <w:tcW w:w="2418" w:type="pct"/>
                  <w:tcBorders>
                    <w:tl2br w:val="nil"/>
                    <w:tr2bl w:val="nil"/>
                  </w:tcBorders>
                  <w:vAlign w:val="center"/>
                </w:tcPr>
                <w:p w14:paraId="4FA40F4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流量：120L/H，功率：0.04</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6253640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3DF87C0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r>
            <w:tr w14:paraId="30067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95F8B6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w:t>
                  </w:r>
                </w:p>
              </w:tc>
              <w:tc>
                <w:tcPr>
                  <w:tcW w:w="1144" w:type="pct"/>
                  <w:tcBorders>
                    <w:tl2br w:val="nil"/>
                    <w:tr2bl w:val="nil"/>
                  </w:tcBorders>
                  <w:vAlign w:val="center"/>
                </w:tcPr>
                <w:p w14:paraId="729A10C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PH仪表</w:t>
                  </w:r>
                </w:p>
              </w:tc>
              <w:tc>
                <w:tcPr>
                  <w:tcW w:w="2418" w:type="pct"/>
                  <w:tcBorders>
                    <w:tl2br w:val="nil"/>
                    <w:tr2bl w:val="nil"/>
                  </w:tcBorders>
                  <w:vAlign w:val="center"/>
                </w:tcPr>
                <w:p w14:paraId="4CB7B29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35E317A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4511C71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5ADAE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1B62B09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w:t>
                  </w:r>
                </w:p>
              </w:tc>
              <w:tc>
                <w:tcPr>
                  <w:tcW w:w="1144" w:type="pct"/>
                  <w:tcBorders>
                    <w:tl2br w:val="nil"/>
                    <w:tr2bl w:val="nil"/>
                  </w:tcBorders>
                  <w:vAlign w:val="center"/>
                </w:tcPr>
                <w:p w14:paraId="3328FDE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中间水箱</w:t>
                  </w:r>
                </w:p>
              </w:tc>
              <w:tc>
                <w:tcPr>
                  <w:tcW w:w="2418" w:type="pct"/>
                  <w:tcBorders>
                    <w:tl2br w:val="nil"/>
                    <w:tr2bl w:val="nil"/>
                  </w:tcBorders>
                  <w:vAlign w:val="center"/>
                </w:tcPr>
                <w:p w14:paraId="6DB71D4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材质：PE，容积：2T</w:t>
                  </w:r>
                </w:p>
              </w:tc>
              <w:tc>
                <w:tcPr>
                  <w:tcW w:w="444" w:type="pct"/>
                  <w:tcBorders>
                    <w:tl2br w:val="nil"/>
                    <w:tr2bl w:val="nil"/>
                  </w:tcBorders>
                  <w:vAlign w:val="center"/>
                </w:tcPr>
                <w:p w14:paraId="24382A8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个</w:t>
                  </w:r>
                </w:p>
              </w:tc>
              <w:tc>
                <w:tcPr>
                  <w:tcW w:w="470" w:type="pct"/>
                  <w:tcBorders>
                    <w:tl2br w:val="nil"/>
                    <w:tr2bl w:val="nil"/>
                  </w:tcBorders>
                  <w:vAlign w:val="center"/>
                </w:tcPr>
                <w:p w14:paraId="5C17254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AB4C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517CBC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w:t>
                  </w:r>
                </w:p>
              </w:tc>
              <w:tc>
                <w:tcPr>
                  <w:tcW w:w="1144" w:type="pct"/>
                  <w:tcBorders>
                    <w:tl2br w:val="nil"/>
                    <w:tr2bl w:val="nil"/>
                  </w:tcBorders>
                  <w:vAlign w:val="center"/>
                </w:tcPr>
                <w:p w14:paraId="1DD4637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中间水泵</w:t>
                  </w:r>
                </w:p>
              </w:tc>
              <w:tc>
                <w:tcPr>
                  <w:tcW w:w="2418" w:type="pct"/>
                  <w:tcBorders>
                    <w:tl2br w:val="nil"/>
                    <w:tr2bl w:val="nil"/>
                  </w:tcBorders>
                  <w:vAlign w:val="center"/>
                </w:tcPr>
                <w:p w14:paraId="6D21BDD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流量：5T/H，功率：0.55</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31A18EF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111C0D5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0E383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C02B74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144" w:type="pct"/>
                  <w:tcBorders>
                    <w:tl2br w:val="nil"/>
                    <w:tr2bl w:val="nil"/>
                  </w:tcBorders>
                  <w:vAlign w:val="center"/>
                </w:tcPr>
                <w:p w14:paraId="701C308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转子流量计</w:t>
                  </w:r>
                </w:p>
              </w:tc>
              <w:tc>
                <w:tcPr>
                  <w:tcW w:w="2418" w:type="pct"/>
                  <w:tcBorders>
                    <w:tl2br w:val="nil"/>
                    <w:tr2bl w:val="nil"/>
                  </w:tcBorders>
                  <w:vAlign w:val="center"/>
                </w:tcPr>
                <w:p w14:paraId="10A2D84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3CC5132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0833ACB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54C2A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04C2F7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w:t>
                  </w:r>
                </w:p>
              </w:tc>
              <w:tc>
                <w:tcPr>
                  <w:tcW w:w="1144" w:type="pct"/>
                  <w:tcBorders>
                    <w:tl2br w:val="nil"/>
                    <w:tr2bl w:val="nil"/>
                  </w:tcBorders>
                  <w:vAlign w:val="center"/>
                </w:tcPr>
                <w:p w14:paraId="50A9262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PH仪表</w:t>
                  </w:r>
                </w:p>
              </w:tc>
              <w:tc>
                <w:tcPr>
                  <w:tcW w:w="2418" w:type="pct"/>
                  <w:tcBorders>
                    <w:tl2br w:val="nil"/>
                    <w:tr2bl w:val="nil"/>
                  </w:tcBorders>
                  <w:vAlign w:val="center"/>
                </w:tcPr>
                <w:p w14:paraId="0303DE7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1--14</w:t>
                  </w:r>
                </w:p>
              </w:tc>
              <w:tc>
                <w:tcPr>
                  <w:tcW w:w="444" w:type="pct"/>
                  <w:tcBorders>
                    <w:tl2br w:val="nil"/>
                    <w:tr2bl w:val="nil"/>
                  </w:tcBorders>
                  <w:vAlign w:val="center"/>
                </w:tcPr>
                <w:p w14:paraId="74B7AC3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68767B1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5E4FB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AE7A0E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w:t>
                  </w:r>
                </w:p>
              </w:tc>
              <w:tc>
                <w:tcPr>
                  <w:tcW w:w="1144" w:type="pct"/>
                  <w:tcBorders>
                    <w:tl2br w:val="nil"/>
                    <w:tr2bl w:val="nil"/>
                  </w:tcBorders>
                  <w:vAlign w:val="center"/>
                </w:tcPr>
                <w:p w14:paraId="0AE5B14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电泳废水反应池</w:t>
                  </w:r>
                </w:p>
              </w:tc>
              <w:tc>
                <w:tcPr>
                  <w:tcW w:w="2418" w:type="pct"/>
                  <w:tcBorders>
                    <w:tl2br w:val="nil"/>
                    <w:tr2bl w:val="nil"/>
                  </w:tcBorders>
                  <w:vAlign w:val="center"/>
                </w:tcPr>
                <w:p w14:paraId="0A3C066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材质：PP，规格：4m*2m*2m</w:t>
                  </w:r>
                </w:p>
              </w:tc>
              <w:tc>
                <w:tcPr>
                  <w:tcW w:w="444" w:type="pct"/>
                  <w:tcBorders>
                    <w:tl2br w:val="nil"/>
                    <w:tr2bl w:val="nil"/>
                  </w:tcBorders>
                  <w:vAlign w:val="center"/>
                </w:tcPr>
                <w:p w14:paraId="6D7B34B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25C2951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447D8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670BB6D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13</w:t>
                  </w:r>
                </w:p>
              </w:tc>
              <w:tc>
                <w:tcPr>
                  <w:tcW w:w="1144" w:type="pct"/>
                  <w:tcBorders>
                    <w:tl2br w:val="nil"/>
                    <w:tr2bl w:val="nil"/>
                  </w:tcBorders>
                  <w:vAlign w:val="center"/>
                </w:tcPr>
                <w:p w14:paraId="2D0411C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原有设备拆除</w:t>
                  </w:r>
                </w:p>
              </w:tc>
              <w:tc>
                <w:tcPr>
                  <w:tcW w:w="2418" w:type="pct"/>
                  <w:tcBorders>
                    <w:tl2br w:val="nil"/>
                    <w:tr2bl w:val="nil"/>
                  </w:tcBorders>
                  <w:vAlign w:val="center"/>
                </w:tcPr>
                <w:p w14:paraId="13007FC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099DEAA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式</w:t>
                  </w:r>
                </w:p>
              </w:tc>
              <w:tc>
                <w:tcPr>
                  <w:tcW w:w="470" w:type="pct"/>
                  <w:tcBorders>
                    <w:tl2br w:val="nil"/>
                    <w:tr2bl w:val="nil"/>
                  </w:tcBorders>
                  <w:vAlign w:val="center"/>
                </w:tcPr>
                <w:p w14:paraId="55DD7D7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3A671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C0F5A0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14</w:t>
                  </w:r>
                </w:p>
              </w:tc>
              <w:tc>
                <w:tcPr>
                  <w:tcW w:w="1144" w:type="pct"/>
                  <w:tcBorders>
                    <w:tl2br w:val="nil"/>
                    <w:tr2bl w:val="nil"/>
                  </w:tcBorders>
                  <w:vAlign w:val="center"/>
                </w:tcPr>
                <w:p w14:paraId="5617D0C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原有物化区改造</w:t>
                  </w:r>
                </w:p>
              </w:tc>
              <w:tc>
                <w:tcPr>
                  <w:tcW w:w="2418" w:type="pct"/>
                  <w:tcBorders>
                    <w:tl2br w:val="nil"/>
                    <w:tr2bl w:val="nil"/>
                  </w:tcBorders>
                  <w:vAlign w:val="center"/>
                </w:tcPr>
                <w:p w14:paraId="0C40263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5E0F745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式</w:t>
                  </w:r>
                </w:p>
              </w:tc>
              <w:tc>
                <w:tcPr>
                  <w:tcW w:w="470" w:type="pct"/>
                  <w:tcBorders>
                    <w:tl2br w:val="nil"/>
                    <w:tr2bl w:val="nil"/>
                  </w:tcBorders>
                  <w:vAlign w:val="center"/>
                </w:tcPr>
                <w:p w14:paraId="711EEB6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FC91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1952B7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w:t>
                  </w:r>
                </w:p>
              </w:tc>
              <w:tc>
                <w:tcPr>
                  <w:tcW w:w="1144" w:type="pct"/>
                  <w:tcBorders>
                    <w:tl2br w:val="nil"/>
                    <w:tr2bl w:val="nil"/>
                  </w:tcBorders>
                  <w:vAlign w:val="center"/>
                </w:tcPr>
                <w:p w14:paraId="3481EDC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PAM搅拌机</w:t>
                  </w:r>
                </w:p>
              </w:tc>
              <w:tc>
                <w:tcPr>
                  <w:tcW w:w="2418" w:type="pct"/>
                  <w:tcBorders>
                    <w:tl2br w:val="nil"/>
                    <w:tr2bl w:val="nil"/>
                  </w:tcBorders>
                  <w:vAlign w:val="center"/>
                </w:tcPr>
                <w:p w14:paraId="003BD34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功率：0.75KW，搅拌杆衬塑防腐</w:t>
                  </w:r>
                </w:p>
              </w:tc>
              <w:tc>
                <w:tcPr>
                  <w:tcW w:w="444" w:type="pct"/>
                  <w:tcBorders>
                    <w:tl2br w:val="nil"/>
                    <w:tr2bl w:val="nil"/>
                  </w:tcBorders>
                  <w:vAlign w:val="center"/>
                </w:tcPr>
                <w:p w14:paraId="4ABC736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34668D6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7F971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A2B4E9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16</w:t>
                  </w:r>
                </w:p>
              </w:tc>
              <w:tc>
                <w:tcPr>
                  <w:tcW w:w="1144" w:type="pct"/>
                  <w:tcBorders>
                    <w:tl2br w:val="nil"/>
                    <w:tr2bl w:val="nil"/>
                  </w:tcBorders>
                  <w:vAlign w:val="center"/>
                </w:tcPr>
                <w:p w14:paraId="5F720B1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PH仪表</w:t>
                  </w:r>
                </w:p>
              </w:tc>
              <w:tc>
                <w:tcPr>
                  <w:tcW w:w="2418" w:type="pct"/>
                  <w:tcBorders>
                    <w:tl2br w:val="nil"/>
                    <w:tr2bl w:val="nil"/>
                  </w:tcBorders>
                  <w:vAlign w:val="center"/>
                </w:tcPr>
                <w:p w14:paraId="1FCFB95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1--14</w:t>
                  </w:r>
                </w:p>
              </w:tc>
              <w:tc>
                <w:tcPr>
                  <w:tcW w:w="444" w:type="pct"/>
                  <w:tcBorders>
                    <w:tl2br w:val="nil"/>
                    <w:tr2bl w:val="nil"/>
                  </w:tcBorders>
                  <w:vAlign w:val="center"/>
                </w:tcPr>
                <w:p w14:paraId="0A75381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4EB818F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31D75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6CBCEA3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17</w:t>
                  </w:r>
                </w:p>
              </w:tc>
              <w:tc>
                <w:tcPr>
                  <w:tcW w:w="1144" w:type="pct"/>
                  <w:tcBorders>
                    <w:tl2br w:val="nil"/>
                    <w:tr2bl w:val="nil"/>
                  </w:tcBorders>
                  <w:vAlign w:val="center"/>
                </w:tcPr>
                <w:p w14:paraId="4E4F6EA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加药机</w:t>
                  </w:r>
                </w:p>
              </w:tc>
              <w:tc>
                <w:tcPr>
                  <w:tcW w:w="2418" w:type="pct"/>
                  <w:tcBorders>
                    <w:tl2br w:val="nil"/>
                    <w:tr2bl w:val="nil"/>
                  </w:tcBorders>
                  <w:vAlign w:val="center"/>
                </w:tcPr>
                <w:p w14:paraId="1144014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流量：90L/H</w:t>
                  </w:r>
                </w:p>
              </w:tc>
              <w:tc>
                <w:tcPr>
                  <w:tcW w:w="444" w:type="pct"/>
                  <w:tcBorders>
                    <w:tl2br w:val="nil"/>
                    <w:tr2bl w:val="nil"/>
                  </w:tcBorders>
                  <w:vAlign w:val="center"/>
                </w:tcPr>
                <w:p w14:paraId="673A21B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2F76929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r>
            <w:tr w14:paraId="2C02C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4CD36A92">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仿宋" w:cs="Times New Roman"/>
                      <w:color w:val="auto"/>
                      <w:sz w:val="21"/>
                      <w:szCs w:val="21"/>
                      <w:highlight w:val="none"/>
                      <w:u w:val="none"/>
                      <w:lang w:val="en-US" w:eastAsia="zh-CN" w:bidi="ar"/>
                    </w:rPr>
                    <w:t>二、综合废水</w:t>
                  </w:r>
                  <w:r>
                    <w:rPr>
                      <w:rFonts w:hint="eastAsia" w:eastAsia="仿宋" w:cs="Times New Roman"/>
                      <w:color w:val="auto"/>
                      <w:sz w:val="21"/>
                      <w:szCs w:val="21"/>
                      <w:highlight w:val="none"/>
                      <w:lang w:val="en-US" w:eastAsia="zh-CN"/>
                    </w:rPr>
                    <w:t>处理系统</w:t>
                  </w:r>
                </w:p>
              </w:tc>
            </w:tr>
            <w:tr w14:paraId="56C0D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2F1349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44" w:type="pct"/>
                  <w:tcBorders>
                    <w:tl2br w:val="nil"/>
                    <w:tr2bl w:val="nil"/>
                  </w:tcBorders>
                  <w:vAlign w:val="center"/>
                </w:tcPr>
                <w:p w14:paraId="3DB1A39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综合废水收集池</w:t>
                  </w:r>
                </w:p>
              </w:tc>
              <w:tc>
                <w:tcPr>
                  <w:tcW w:w="2418" w:type="pct"/>
                  <w:tcBorders>
                    <w:tl2br w:val="nil"/>
                    <w:tr2bl w:val="nil"/>
                  </w:tcBorders>
                  <w:vAlign w:val="center"/>
                </w:tcPr>
                <w:p w14:paraId="6B5EE52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容积：20m</w:t>
                  </w:r>
                  <w:r>
                    <w:rPr>
                      <w:rFonts w:hint="eastAsia" w:ascii="Times New Roman" w:hAnsi="Times New Roman" w:eastAsia="仿宋" w:cs="Times New Roman"/>
                      <w:color w:val="auto"/>
                      <w:sz w:val="21"/>
                      <w:szCs w:val="21"/>
                      <w:highlight w:val="none"/>
                      <w:vertAlign w:val="superscript"/>
                      <w:lang w:val="en-US" w:eastAsia="zh-CN"/>
                    </w:rPr>
                    <w:t>3</w:t>
                  </w:r>
                  <w:r>
                    <w:rPr>
                      <w:rFonts w:hint="eastAsia" w:ascii="Times New Roman" w:hAnsi="Times New Roman" w:eastAsia="仿宋" w:cs="Times New Roman"/>
                      <w:color w:val="auto"/>
                      <w:sz w:val="21"/>
                      <w:szCs w:val="21"/>
                      <w:highlight w:val="none"/>
                      <w:lang w:val="en-US" w:eastAsia="zh-CN"/>
                    </w:rPr>
                    <w:t>，材质PE</w:t>
                  </w:r>
                </w:p>
              </w:tc>
              <w:tc>
                <w:tcPr>
                  <w:tcW w:w="444" w:type="pct"/>
                  <w:tcBorders>
                    <w:tl2br w:val="nil"/>
                    <w:tr2bl w:val="nil"/>
                  </w:tcBorders>
                  <w:vAlign w:val="center"/>
                </w:tcPr>
                <w:p w14:paraId="0585FDD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座</w:t>
                  </w:r>
                </w:p>
              </w:tc>
              <w:tc>
                <w:tcPr>
                  <w:tcW w:w="470" w:type="pct"/>
                  <w:tcBorders>
                    <w:tl2br w:val="nil"/>
                    <w:tr2bl w:val="nil"/>
                  </w:tcBorders>
                  <w:vAlign w:val="center"/>
                </w:tcPr>
                <w:p w14:paraId="5E35471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1F3DE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046B97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44" w:type="pct"/>
                  <w:tcBorders>
                    <w:tl2br w:val="nil"/>
                    <w:tr2bl w:val="nil"/>
                  </w:tcBorders>
                  <w:vAlign w:val="center"/>
                </w:tcPr>
                <w:p w14:paraId="6D40290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综合废水提升泵</w:t>
                  </w:r>
                </w:p>
              </w:tc>
              <w:tc>
                <w:tcPr>
                  <w:tcW w:w="2418" w:type="pct"/>
                  <w:tcBorders>
                    <w:tl2br w:val="nil"/>
                    <w:tr2bl w:val="nil"/>
                  </w:tcBorders>
                  <w:vAlign w:val="center"/>
                </w:tcPr>
                <w:p w14:paraId="41594D1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流量：8T/H，功率：1.75</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7118C77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127B8EB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3B03E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A3EAA6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44" w:type="pct"/>
                  <w:tcBorders>
                    <w:tl2br w:val="nil"/>
                    <w:tr2bl w:val="nil"/>
                  </w:tcBorders>
                  <w:vAlign w:val="center"/>
                </w:tcPr>
                <w:p w14:paraId="3A95251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排放管道改造</w:t>
                  </w:r>
                </w:p>
              </w:tc>
              <w:tc>
                <w:tcPr>
                  <w:tcW w:w="2418" w:type="pct"/>
                  <w:tcBorders>
                    <w:tl2br w:val="nil"/>
                    <w:tr2bl w:val="nil"/>
                  </w:tcBorders>
                  <w:vAlign w:val="center"/>
                </w:tcPr>
                <w:p w14:paraId="59B7CC1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PVC材质，DN90</w:t>
                  </w:r>
                </w:p>
              </w:tc>
              <w:tc>
                <w:tcPr>
                  <w:tcW w:w="444" w:type="pct"/>
                  <w:tcBorders>
                    <w:tl2br w:val="nil"/>
                    <w:tr2bl w:val="nil"/>
                  </w:tcBorders>
                  <w:vAlign w:val="center"/>
                </w:tcPr>
                <w:p w14:paraId="3AE2074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米</w:t>
                  </w:r>
                </w:p>
              </w:tc>
              <w:tc>
                <w:tcPr>
                  <w:tcW w:w="470" w:type="pct"/>
                  <w:tcBorders>
                    <w:tl2br w:val="nil"/>
                    <w:tr2bl w:val="nil"/>
                  </w:tcBorders>
                  <w:vAlign w:val="center"/>
                </w:tcPr>
                <w:p w14:paraId="5BCA8E2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400</w:t>
                  </w:r>
                </w:p>
              </w:tc>
            </w:tr>
            <w:tr w14:paraId="01E91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CCDA39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1144" w:type="pct"/>
                  <w:tcBorders>
                    <w:tl2br w:val="nil"/>
                    <w:tr2bl w:val="nil"/>
                  </w:tcBorders>
                  <w:vAlign w:val="center"/>
                </w:tcPr>
                <w:p w14:paraId="2E72C43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管道支架</w:t>
                  </w:r>
                </w:p>
              </w:tc>
              <w:tc>
                <w:tcPr>
                  <w:tcW w:w="2418" w:type="pct"/>
                  <w:tcBorders>
                    <w:tl2br w:val="nil"/>
                    <w:tr2bl w:val="nil"/>
                  </w:tcBorders>
                  <w:vAlign w:val="center"/>
                </w:tcPr>
                <w:p w14:paraId="5AECBAD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133A3C5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式</w:t>
                  </w:r>
                </w:p>
              </w:tc>
              <w:tc>
                <w:tcPr>
                  <w:tcW w:w="470" w:type="pct"/>
                  <w:tcBorders>
                    <w:tl2br w:val="nil"/>
                    <w:tr2bl w:val="nil"/>
                  </w:tcBorders>
                  <w:vAlign w:val="center"/>
                </w:tcPr>
                <w:p w14:paraId="71A971D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5A019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126C58E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44" w:type="pct"/>
                  <w:tcBorders>
                    <w:tl2br w:val="nil"/>
                    <w:tr2bl w:val="nil"/>
                  </w:tcBorders>
                  <w:vAlign w:val="center"/>
                </w:tcPr>
                <w:p w14:paraId="7AC2962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管道拆除</w:t>
                  </w:r>
                </w:p>
              </w:tc>
              <w:tc>
                <w:tcPr>
                  <w:tcW w:w="2418" w:type="pct"/>
                  <w:tcBorders>
                    <w:tl2br w:val="nil"/>
                    <w:tr2bl w:val="nil"/>
                  </w:tcBorders>
                  <w:vAlign w:val="center"/>
                </w:tcPr>
                <w:p w14:paraId="588D2AD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364C985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式</w:t>
                  </w:r>
                </w:p>
              </w:tc>
              <w:tc>
                <w:tcPr>
                  <w:tcW w:w="470" w:type="pct"/>
                  <w:tcBorders>
                    <w:tl2br w:val="nil"/>
                    <w:tr2bl w:val="nil"/>
                  </w:tcBorders>
                  <w:vAlign w:val="center"/>
                </w:tcPr>
                <w:p w14:paraId="129FA70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F62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4DFF3A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w:t>
                  </w:r>
                </w:p>
              </w:tc>
              <w:tc>
                <w:tcPr>
                  <w:tcW w:w="1144" w:type="pct"/>
                  <w:tcBorders>
                    <w:tl2br w:val="nil"/>
                    <w:tr2bl w:val="nil"/>
                  </w:tcBorders>
                  <w:vAlign w:val="center"/>
                </w:tcPr>
                <w:p w14:paraId="4A103B9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PAM搅拌机</w:t>
                  </w:r>
                </w:p>
              </w:tc>
              <w:tc>
                <w:tcPr>
                  <w:tcW w:w="2418" w:type="pct"/>
                  <w:tcBorders>
                    <w:tl2br w:val="nil"/>
                    <w:tr2bl w:val="nil"/>
                  </w:tcBorders>
                  <w:vAlign w:val="center"/>
                </w:tcPr>
                <w:p w14:paraId="1C8D955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功率：0.75KW，搅拌杆衬塑防腐</w:t>
                  </w:r>
                </w:p>
              </w:tc>
              <w:tc>
                <w:tcPr>
                  <w:tcW w:w="444" w:type="pct"/>
                  <w:tcBorders>
                    <w:tl2br w:val="nil"/>
                    <w:tr2bl w:val="nil"/>
                  </w:tcBorders>
                  <w:vAlign w:val="center"/>
                </w:tcPr>
                <w:p w14:paraId="3489406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1382B2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73938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F3DBD1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w:t>
                  </w:r>
                </w:p>
              </w:tc>
              <w:tc>
                <w:tcPr>
                  <w:tcW w:w="1144" w:type="pct"/>
                  <w:tcBorders>
                    <w:tl2br w:val="nil"/>
                    <w:tr2bl w:val="nil"/>
                  </w:tcBorders>
                  <w:vAlign w:val="center"/>
                </w:tcPr>
                <w:p w14:paraId="34E893D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物化反应池</w:t>
                  </w:r>
                </w:p>
              </w:tc>
              <w:tc>
                <w:tcPr>
                  <w:tcW w:w="2418" w:type="pct"/>
                  <w:tcBorders>
                    <w:tl2br w:val="nil"/>
                    <w:tr2bl w:val="nil"/>
                  </w:tcBorders>
                  <w:vAlign w:val="center"/>
                </w:tcPr>
                <w:p w14:paraId="4EC2D55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材质：碳钢，规格：4m*3m*3m，防腐，含斜管</w:t>
                  </w:r>
                </w:p>
              </w:tc>
              <w:tc>
                <w:tcPr>
                  <w:tcW w:w="444" w:type="pct"/>
                  <w:tcBorders>
                    <w:tl2br w:val="nil"/>
                    <w:tr2bl w:val="nil"/>
                  </w:tcBorders>
                  <w:vAlign w:val="center"/>
                </w:tcPr>
                <w:p w14:paraId="797DABC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49224F9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370A5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17702F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144" w:type="pct"/>
                  <w:tcBorders>
                    <w:tl2br w:val="nil"/>
                    <w:tr2bl w:val="nil"/>
                  </w:tcBorders>
                  <w:vAlign w:val="center"/>
                </w:tcPr>
                <w:p w14:paraId="6D7F154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物化搅拌机</w:t>
                  </w:r>
                </w:p>
              </w:tc>
              <w:tc>
                <w:tcPr>
                  <w:tcW w:w="2418" w:type="pct"/>
                  <w:tcBorders>
                    <w:tl2br w:val="nil"/>
                    <w:tr2bl w:val="nil"/>
                  </w:tcBorders>
                  <w:vAlign w:val="center"/>
                </w:tcPr>
                <w:p w14:paraId="0D9F529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搅拌杆衬塑，功率：0.55</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329A7AD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11BF77C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r>
            <w:tr w14:paraId="3F1C9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11C17F8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w:t>
                  </w:r>
                </w:p>
              </w:tc>
              <w:tc>
                <w:tcPr>
                  <w:tcW w:w="1144" w:type="pct"/>
                  <w:tcBorders>
                    <w:tl2br w:val="nil"/>
                    <w:tr2bl w:val="nil"/>
                  </w:tcBorders>
                  <w:vAlign w:val="center"/>
                </w:tcPr>
                <w:p w14:paraId="20509A7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污泥气动泵</w:t>
                  </w:r>
                </w:p>
              </w:tc>
              <w:tc>
                <w:tcPr>
                  <w:tcW w:w="2418" w:type="pct"/>
                  <w:tcBorders>
                    <w:tl2br w:val="nil"/>
                    <w:tr2bl w:val="nil"/>
                  </w:tcBorders>
                  <w:vAlign w:val="center"/>
                </w:tcPr>
                <w:p w14:paraId="7B08873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口径：1寸，铝合金材质</w:t>
                  </w:r>
                </w:p>
              </w:tc>
              <w:tc>
                <w:tcPr>
                  <w:tcW w:w="444" w:type="pct"/>
                  <w:tcBorders>
                    <w:tl2br w:val="nil"/>
                    <w:tr2bl w:val="nil"/>
                  </w:tcBorders>
                  <w:vAlign w:val="center"/>
                </w:tcPr>
                <w:p w14:paraId="0EC158C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2FF226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442FA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7912AE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12</w:t>
                  </w:r>
                </w:p>
              </w:tc>
              <w:tc>
                <w:tcPr>
                  <w:tcW w:w="1144" w:type="pct"/>
                  <w:tcBorders>
                    <w:tl2br w:val="nil"/>
                    <w:tr2bl w:val="nil"/>
                  </w:tcBorders>
                  <w:vAlign w:val="center"/>
                </w:tcPr>
                <w:p w14:paraId="62DA9B3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PH仪表</w:t>
                  </w:r>
                </w:p>
              </w:tc>
              <w:tc>
                <w:tcPr>
                  <w:tcW w:w="2418" w:type="pct"/>
                  <w:tcBorders>
                    <w:tl2br w:val="nil"/>
                    <w:tr2bl w:val="nil"/>
                  </w:tcBorders>
                  <w:vAlign w:val="center"/>
                </w:tcPr>
                <w:p w14:paraId="745F15B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1--14</w:t>
                  </w:r>
                </w:p>
              </w:tc>
              <w:tc>
                <w:tcPr>
                  <w:tcW w:w="444" w:type="pct"/>
                  <w:tcBorders>
                    <w:tl2br w:val="nil"/>
                    <w:tr2bl w:val="nil"/>
                  </w:tcBorders>
                  <w:vAlign w:val="center"/>
                </w:tcPr>
                <w:p w14:paraId="41331DD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033F454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42A20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11A9CB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13</w:t>
                  </w:r>
                </w:p>
              </w:tc>
              <w:tc>
                <w:tcPr>
                  <w:tcW w:w="1144" w:type="pct"/>
                  <w:tcBorders>
                    <w:tl2br w:val="nil"/>
                    <w:tr2bl w:val="nil"/>
                  </w:tcBorders>
                  <w:vAlign w:val="center"/>
                </w:tcPr>
                <w:p w14:paraId="70A5356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物化加药机</w:t>
                  </w:r>
                </w:p>
              </w:tc>
              <w:tc>
                <w:tcPr>
                  <w:tcW w:w="2418" w:type="pct"/>
                  <w:tcBorders>
                    <w:tl2br w:val="nil"/>
                    <w:tr2bl w:val="nil"/>
                  </w:tcBorders>
                  <w:vAlign w:val="center"/>
                </w:tcPr>
                <w:p w14:paraId="2110B91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流量：120L/H，功率：0.04</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28B77CC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4457CDD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r>
            <w:tr w14:paraId="5A420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883FC9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14</w:t>
                  </w:r>
                </w:p>
              </w:tc>
              <w:tc>
                <w:tcPr>
                  <w:tcW w:w="1144" w:type="pct"/>
                  <w:tcBorders>
                    <w:tl2br w:val="nil"/>
                    <w:tr2bl w:val="nil"/>
                  </w:tcBorders>
                  <w:vAlign w:val="center"/>
                </w:tcPr>
                <w:p w14:paraId="7E50D69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原水池曝气系统</w:t>
                  </w:r>
                </w:p>
              </w:tc>
              <w:tc>
                <w:tcPr>
                  <w:tcW w:w="2418" w:type="pct"/>
                  <w:tcBorders>
                    <w:tl2br w:val="nil"/>
                    <w:tr2bl w:val="nil"/>
                  </w:tcBorders>
                  <w:vAlign w:val="center"/>
                </w:tcPr>
                <w:p w14:paraId="066F3E2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6E8844B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0E3C878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6E783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627253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15</w:t>
                  </w:r>
                </w:p>
              </w:tc>
              <w:tc>
                <w:tcPr>
                  <w:tcW w:w="1144" w:type="pct"/>
                  <w:tcBorders>
                    <w:tl2br w:val="nil"/>
                    <w:tr2bl w:val="nil"/>
                  </w:tcBorders>
                  <w:vAlign w:val="center"/>
                </w:tcPr>
                <w:p w14:paraId="11BF1C4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压滤机</w:t>
                  </w:r>
                </w:p>
              </w:tc>
              <w:tc>
                <w:tcPr>
                  <w:tcW w:w="2418" w:type="pct"/>
                  <w:tcBorders>
                    <w:tl2br w:val="nil"/>
                    <w:tr2bl w:val="nil"/>
                  </w:tcBorders>
                  <w:vAlign w:val="center"/>
                </w:tcPr>
                <w:p w14:paraId="713D845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5F46469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01A6D22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5737E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65E3645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三、生化改造系统</w:t>
                  </w:r>
                </w:p>
              </w:tc>
            </w:tr>
            <w:tr w14:paraId="1E55E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70EA75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44" w:type="pct"/>
                  <w:tcBorders>
                    <w:tl2br w:val="nil"/>
                    <w:tr2bl w:val="nil"/>
                  </w:tcBorders>
                  <w:vAlign w:val="center"/>
                </w:tcPr>
                <w:p w14:paraId="55A12C0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沉淀池改为MBR池</w:t>
                  </w:r>
                </w:p>
              </w:tc>
              <w:tc>
                <w:tcPr>
                  <w:tcW w:w="2418" w:type="pct"/>
                  <w:tcBorders>
                    <w:tl2br w:val="nil"/>
                    <w:tr2bl w:val="nil"/>
                  </w:tcBorders>
                  <w:vAlign w:val="center"/>
                </w:tcPr>
                <w:p w14:paraId="7F11D40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尺寸：2000*3000*3500mm有效容积：21m</w:t>
                  </w:r>
                  <w:r>
                    <w:rPr>
                      <w:rFonts w:hint="eastAsia" w:ascii="Times New Roman" w:hAnsi="Times New Roman" w:eastAsia="仿宋" w:cs="Times New Roman"/>
                      <w:color w:val="auto"/>
                      <w:sz w:val="21"/>
                      <w:szCs w:val="21"/>
                      <w:highlight w:val="none"/>
                      <w:vertAlign w:val="superscript"/>
                      <w:lang w:val="en-US" w:eastAsia="zh-CN"/>
                    </w:rPr>
                    <w:t>3</w:t>
                  </w:r>
                </w:p>
              </w:tc>
              <w:tc>
                <w:tcPr>
                  <w:tcW w:w="444" w:type="pct"/>
                  <w:tcBorders>
                    <w:tl2br w:val="nil"/>
                    <w:tr2bl w:val="nil"/>
                  </w:tcBorders>
                  <w:vAlign w:val="center"/>
                </w:tcPr>
                <w:p w14:paraId="226756E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座</w:t>
                  </w:r>
                </w:p>
              </w:tc>
              <w:tc>
                <w:tcPr>
                  <w:tcW w:w="470" w:type="pct"/>
                  <w:tcBorders>
                    <w:tl2br w:val="nil"/>
                    <w:tr2bl w:val="nil"/>
                  </w:tcBorders>
                  <w:vAlign w:val="center"/>
                </w:tcPr>
                <w:p w14:paraId="210284E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0EF3E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92F444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44" w:type="pct"/>
                  <w:tcBorders>
                    <w:tl2br w:val="nil"/>
                    <w:tr2bl w:val="nil"/>
                  </w:tcBorders>
                  <w:vAlign w:val="center"/>
                </w:tcPr>
                <w:p w14:paraId="1BA91C4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MBR膜</w:t>
                  </w:r>
                </w:p>
              </w:tc>
              <w:tc>
                <w:tcPr>
                  <w:tcW w:w="2418" w:type="pct"/>
                  <w:tcBorders>
                    <w:tl2br w:val="nil"/>
                    <w:tr2bl w:val="nil"/>
                  </w:tcBorders>
                  <w:vAlign w:val="center"/>
                </w:tcPr>
                <w:p w14:paraId="2F7DF68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帘式膜</w:t>
                  </w:r>
                </w:p>
              </w:tc>
              <w:tc>
                <w:tcPr>
                  <w:tcW w:w="444" w:type="pct"/>
                  <w:tcBorders>
                    <w:tl2br w:val="nil"/>
                    <w:tr2bl w:val="nil"/>
                  </w:tcBorders>
                  <w:vAlign w:val="center"/>
                </w:tcPr>
                <w:p w14:paraId="716D0A5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平方</w:t>
                  </w:r>
                </w:p>
              </w:tc>
              <w:tc>
                <w:tcPr>
                  <w:tcW w:w="470" w:type="pct"/>
                  <w:tcBorders>
                    <w:tl2br w:val="nil"/>
                    <w:tr2bl w:val="nil"/>
                  </w:tcBorders>
                  <w:vAlign w:val="center"/>
                </w:tcPr>
                <w:p w14:paraId="503F3D8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500</w:t>
                  </w:r>
                </w:p>
              </w:tc>
            </w:tr>
            <w:tr w14:paraId="10AD4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B385F4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44" w:type="pct"/>
                  <w:tcBorders>
                    <w:tl2br w:val="nil"/>
                    <w:tr2bl w:val="nil"/>
                  </w:tcBorders>
                  <w:vAlign w:val="center"/>
                </w:tcPr>
                <w:p w14:paraId="5CB4BD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出水泵</w:t>
                  </w:r>
                </w:p>
              </w:tc>
              <w:tc>
                <w:tcPr>
                  <w:tcW w:w="2418" w:type="pct"/>
                  <w:tcBorders>
                    <w:tl2br w:val="nil"/>
                    <w:tr2bl w:val="nil"/>
                  </w:tcBorders>
                  <w:vAlign w:val="center"/>
                </w:tcPr>
                <w:p w14:paraId="56671CB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功率：0.75</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470ECF0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1403BE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50EE1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300E102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1144" w:type="pct"/>
                  <w:tcBorders>
                    <w:tl2br w:val="nil"/>
                    <w:tr2bl w:val="nil"/>
                  </w:tcBorders>
                  <w:vAlign w:val="center"/>
                </w:tcPr>
                <w:p w14:paraId="61129E2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转子流量计</w:t>
                  </w:r>
                </w:p>
              </w:tc>
              <w:tc>
                <w:tcPr>
                  <w:tcW w:w="2418" w:type="pct"/>
                  <w:tcBorders>
                    <w:tl2br w:val="nil"/>
                    <w:tr2bl w:val="nil"/>
                  </w:tcBorders>
                  <w:vAlign w:val="center"/>
                </w:tcPr>
                <w:p w14:paraId="6EFBC1B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DN50</w:t>
                  </w:r>
                </w:p>
              </w:tc>
              <w:tc>
                <w:tcPr>
                  <w:tcW w:w="444" w:type="pct"/>
                  <w:tcBorders>
                    <w:tl2br w:val="nil"/>
                    <w:tr2bl w:val="nil"/>
                  </w:tcBorders>
                  <w:vAlign w:val="center"/>
                </w:tcPr>
                <w:p w14:paraId="1A74258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4C78C73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70291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9EEA73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44" w:type="pct"/>
                  <w:tcBorders>
                    <w:tl2br w:val="nil"/>
                    <w:tr2bl w:val="nil"/>
                  </w:tcBorders>
                  <w:vAlign w:val="center"/>
                </w:tcPr>
                <w:p w14:paraId="1BF96A0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反洗泵</w:t>
                  </w:r>
                </w:p>
              </w:tc>
              <w:tc>
                <w:tcPr>
                  <w:tcW w:w="2418" w:type="pct"/>
                  <w:tcBorders>
                    <w:tl2br w:val="nil"/>
                    <w:tr2bl w:val="nil"/>
                  </w:tcBorders>
                  <w:vAlign w:val="center"/>
                </w:tcPr>
                <w:p w14:paraId="552A17E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功率：0.75</w:t>
                  </w:r>
                  <w:r>
                    <w:rPr>
                      <w:rFonts w:hint="eastAsia" w:eastAsia="仿宋" w:cs="Times New Roman"/>
                      <w:color w:val="auto"/>
                      <w:sz w:val="21"/>
                      <w:szCs w:val="21"/>
                      <w:highlight w:val="none"/>
                      <w:lang w:val="en-US" w:eastAsia="zh-CN"/>
                    </w:rPr>
                    <w:t>kW</w:t>
                  </w:r>
                </w:p>
              </w:tc>
              <w:tc>
                <w:tcPr>
                  <w:tcW w:w="444" w:type="pct"/>
                  <w:tcBorders>
                    <w:tl2br w:val="nil"/>
                    <w:tr2bl w:val="nil"/>
                  </w:tcBorders>
                  <w:vAlign w:val="center"/>
                </w:tcPr>
                <w:p w14:paraId="3B69E52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FAD871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47B87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C783C2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44" w:type="pct"/>
                  <w:tcBorders>
                    <w:tl2br w:val="nil"/>
                    <w:tr2bl w:val="nil"/>
                  </w:tcBorders>
                  <w:vAlign w:val="center"/>
                </w:tcPr>
                <w:p w14:paraId="6DBCF68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曝气系统</w:t>
                  </w:r>
                </w:p>
              </w:tc>
              <w:tc>
                <w:tcPr>
                  <w:tcW w:w="2418" w:type="pct"/>
                  <w:tcBorders>
                    <w:tl2br w:val="nil"/>
                    <w:tr2bl w:val="nil"/>
                  </w:tcBorders>
                  <w:vAlign w:val="center"/>
                </w:tcPr>
                <w:p w14:paraId="56400B3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219CAB1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式</w:t>
                  </w:r>
                </w:p>
              </w:tc>
              <w:tc>
                <w:tcPr>
                  <w:tcW w:w="470" w:type="pct"/>
                  <w:tcBorders>
                    <w:tl2br w:val="nil"/>
                    <w:tr2bl w:val="nil"/>
                  </w:tcBorders>
                  <w:vAlign w:val="center"/>
                </w:tcPr>
                <w:p w14:paraId="5EBA792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E8CE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68C1E8F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w:t>
                  </w:r>
                </w:p>
              </w:tc>
              <w:tc>
                <w:tcPr>
                  <w:tcW w:w="1144" w:type="pct"/>
                  <w:tcBorders>
                    <w:tl2br w:val="nil"/>
                    <w:tr2bl w:val="nil"/>
                  </w:tcBorders>
                  <w:vAlign w:val="center"/>
                </w:tcPr>
                <w:p w14:paraId="65DAAE6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弹性填料</w:t>
                  </w:r>
                </w:p>
              </w:tc>
              <w:tc>
                <w:tcPr>
                  <w:tcW w:w="2418" w:type="pct"/>
                  <w:tcBorders>
                    <w:tl2br w:val="nil"/>
                    <w:tr2bl w:val="nil"/>
                  </w:tcBorders>
                  <w:vAlign w:val="center"/>
                </w:tcPr>
                <w:p w14:paraId="08C80B3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Ф50*2000mm</w:t>
                  </w:r>
                </w:p>
              </w:tc>
              <w:tc>
                <w:tcPr>
                  <w:tcW w:w="444" w:type="pct"/>
                  <w:tcBorders>
                    <w:tl2br w:val="nil"/>
                    <w:tr2bl w:val="nil"/>
                  </w:tcBorders>
                  <w:vAlign w:val="center"/>
                </w:tcPr>
                <w:p w14:paraId="2164FBC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m</w:t>
                  </w:r>
                  <w:r>
                    <w:rPr>
                      <w:rFonts w:hint="eastAsia" w:ascii="Times New Roman" w:hAnsi="Times New Roman" w:eastAsia="仿宋" w:cs="Times New Roman"/>
                      <w:color w:val="auto"/>
                      <w:sz w:val="21"/>
                      <w:szCs w:val="21"/>
                      <w:highlight w:val="none"/>
                      <w:vertAlign w:val="superscript"/>
                      <w:lang w:val="en-US" w:eastAsia="zh-CN"/>
                    </w:rPr>
                    <w:t>3</w:t>
                  </w:r>
                </w:p>
              </w:tc>
              <w:tc>
                <w:tcPr>
                  <w:tcW w:w="470" w:type="pct"/>
                  <w:tcBorders>
                    <w:tl2br w:val="nil"/>
                    <w:tr2bl w:val="nil"/>
                  </w:tcBorders>
                  <w:vAlign w:val="center"/>
                </w:tcPr>
                <w:p w14:paraId="7140DD5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50</w:t>
                  </w:r>
                </w:p>
              </w:tc>
            </w:tr>
            <w:tr w14:paraId="328CA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F2C40F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w:t>
                  </w:r>
                </w:p>
              </w:tc>
              <w:tc>
                <w:tcPr>
                  <w:tcW w:w="1144" w:type="pct"/>
                  <w:tcBorders>
                    <w:tl2br w:val="nil"/>
                    <w:tr2bl w:val="nil"/>
                  </w:tcBorders>
                  <w:vAlign w:val="center"/>
                </w:tcPr>
                <w:p w14:paraId="242022A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弹性填料</w:t>
                  </w:r>
                </w:p>
              </w:tc>
              <w:tc>
                <w:tcPr>
                  <w:tcW w:w="2418" w:type="pct"/>
                  <w:tcBorders>
                    <w:tl2br w:val="nil"/>
                    <w:tr2bl w:val="nil"/>
                  </w:tcBorders>
                  <w:vAlign w:val="center"/>
                </w:tcPr>
                <w:p w14:paraId="475E717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Ф50*2000mm</w:t>
                  </w:r>
                </w:p>
              </w:tc>
              <w:tc>
                <w:tcPr>
                  <w:tcW w:w="444" w:type="pct"/>
                  <w:tcBorders>
                    <w:tl2br w:val="nil"/>
                    <w:tr2bl w:val="nil"/>
                  </w:tcBorders>
                  <w:vAlign w:val="center"/>
                </w:tcPr>
                <w:p w14:paraId="08CCED08">
                  <w:pPr>
                    <w:pStyle w:val="31"/>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m</w:t>
                  </w:r>
                  <w:r>
                    <w:rPr>
                      <w:rFonts w:hint="eastAsia" w:ascii="Times New Roman" w:hAnsi="Times New Roman" w:eastAsia="仿宋" w:cs="Times New Roman"/>
                      <w:color w:val="auto"/>
                      <w:sz w:val="21"/>
                      <w:szCs w:val="21"/>
                      <w:highlight w:val="none"/>
                      <w:vertAlign w:val="superscript"/>
                      <w:lang w:val="en-US" w:eastAsia="zh-CN"/>
                    </w:rPr>
                    <w:t>3</w:t>
                  </w:r>
                </w:p>
              </w:tc>
              <w:tc>
                <w:tcPr>
                  <w:tcW w:w="470" w:type="pct"/>
                  <w:tcBorders>
                    <w:tl2br w:val="nil"/>
                    <w:tr2bl w:val="nil"/>
                  </w:tcBorders>
                  <w:vAlign w:val="center"/>
                </w:tcPr>
                <w:p w14:paraId="19530A5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60</w:t>
                  </w:r>
                </w:p>
              </w:tc>
            </w:tr>
            <w:tr w14:paraId="2039D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786908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9</w:t>
                  </w:r>
                </w:p>
              </w:tc>
              <w:tc>
                <w:tcPr>
                  <w:tcW w:w="1144" w:type="pct"/>
                  <w:tcBorders>
                    <w:tl2br w:val="nil"/>
                    <w:tr2bl w:val="nil"/>
                  </w:tcBorders>
                  <w:vAlign w:val="center"/>
                </w:tcPr>
                <w:p w14:paraId="22F907D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回流泵</w:t>
                  </w:r>
                </w:p>
              </w:tc>
              <w:tc>
                <w:tcPr>
                  <w:tcW w:w="2418" w:type="pct"/>
                  <w:tcBorders>
                    <w:tl2br w:val="nil"/>
                    <w:tr2bl w:val="nil"/>
                  </w:tcBorders>
                  <w:vAlign w:val="center"/>
                </w:tcPr>
                <w:p w14:paraId="32B7EFC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潜污泵</w:t>
                  </w:r>
                </w:p>
              </w:tc>
              <w:tc>
                <w:tcPr>
                  <w:tcW w:w="444" w:type="pct"/>
                  <w:tcBorders>
                    <w:tl2br w:val="nil"/>
                    <w:tr2bl w:val="nil"/>
                  </w:tcBorders>
                  <w:vAlign w:val="center"/>
                </w:tcPr>
                <w:p w14:paraId="0E85F99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33D83A3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0A4E2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B99FC0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w:t>
                  </w:r>
                </w:p>
              </w:tc>
              <w:tc>
                <w:tcPr>
                  <w:tcW w:w="1144" w:type="pct"/>
                  <w:tcBorders>
                    <w:tl2br w:val="nil"/>
                    <w:tr2bl w:val="nil"/>
                  </w:tcBorders>
                  <w:vAlign w:val="center"/>
                </w:tcPr>
                <w:p w14:paraId="060A5F8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配套阀组</w:t>
                  </w:r>
                </w:p>
              </w:tc>
              <w:tc>
                <w:tcPr>
                  <w:tcW w:w="2418" w:type="pct"/>
                  <w:tcBorders>
                    <w:tl2br w:val="nil"/>
                    <w:tr2bl w:val="nil"/>
                  </w:tcBorders>
                  <w:vAlign w:val="center"/>
                </w:tcPr>
                <w:p w14:paraId="1E3CDF6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02826BF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15DD914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r>
            <w:tr w14:paraId="64BE7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22CF683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w:t>
                  </w:r>
                </w:p>
              </w:tc>
              <w:tc>
                <w:tcPr>
                  <w:tcW w:w="1144" w:type="pct"/>
                  <w:tcBorders>
                    <w:tl2br w:val="nil"/>
                    <w:tr2bl w:val="nil"/>
                  </w:tcBorders>
                  <w:vAlign w:val="center"/>
                </w:tcPr>
                <w:p w14:paraId="066951D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液位浮球开关</w:t>
                  </w:r>
                </w:p>
              </w:tc>
              <w:tc>
                <w:tcPr>
                  <w:tcW w:w="2418" w:type="pct"/>
                  <w:tcBorders>
                    <w:tl2br w:val="nil"/>
                    <w:tr2bl w:val="nil"/>
                  </w:tcBorders>
                  <w:vAlign w:val="center"/>
                </w:tcPr>
                <w:p w14:paraId="4CA7F7C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1C21171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2713BCC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0E8BC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000" w:type="pct"/>
                  <w:gridSpan w:val="5"/>
                  <w:tcBorders>
                    <w:tl2br w:val="nil"/>
                    <w:tr2bl w:val="nil"/>
                  </w:tcBorders>
                  <w:vAlign w:val="center"/>
                </w:tcPr>
                <w:p w14:paraId="2F8EF4B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四、电控系统</w:t>
                  </w:r>
                </w:p>
              </w:tc>
            </w:tr>
            <w:tr w14:paraId="674A6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6C4B182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44" w:type="pct"/>
                  <w:tcBorders>
                    <w:tl2br w:val="nil"/>
                    <w:tr2bl w:val="nil"/>
                  </w:tcBorders>
                  <w:vAlign w:val="center"/>
                </w:tcPr>
                <w:p w14:paraId="284EC9F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动力柜</w:t>
                  </w:r>
                </w:p>
              </w:tc>
              <w:tc>
                <w:tcPr>
                  <w:tcW w:w="2418" w:type="pct"/>
                  <w:tcBorders>
                    <w:tl2br w:val="nil"/>
                    <w:tr2bl w:val="nil"/>
                  </w:tcBorders>
                  <w:vAlign w:val="center"/>
                </w:tcPr>
                <w:p w14:paraId="37D1B5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5595F7D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1B111A8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3FE0C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F3B41E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44" w:type="pct"/>
                  <w:tcBorders>
                    <w:tl2br w:val="nil"/>
                    <w:tr2bl w:val="nil"/>
                  </w:tcBorders>
                  <w:vAlign w:val="center"/>
                </w:tcPr>
                <w:p w14:paraId="2201FE3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接触器、断路器等</w:t>
                  </w:r>
                </w:p>
              </w:tc>
              <w:tc>
                <w:tcPr>
                  <w:tcW w:w="2418" w:type="pct"/>
                  <w:tcBorders>
                    <w:tl2br w:val="nil"/>
                    <w:tr2bl w:val="nil"/>
                  </w:tcBorders>
                  <w:vAlign w:val="center"/>
                </w:tcPr>
                <w:p w14:paraId="5F78EC0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4548266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25DD9DF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056C5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CBE6CC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44" w:type="pct"/>
                  <w:tcBorders>
                    <w:tl2br w:val="nil"/>
                    <w:tr2bl w:val="nil"/>
                  </w:tcBorders>
                  <w:vAlign w:val="center"/>
                </w:tcPr>
                <w:p w14:paraId="7BEE809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中间继电器</w:t>
                  </w:r>
                </w:p>
              </w:tc>
              <w:tc>
                <w:tcPr>
                  <w:tcW w:w="2418" w:type="pct"/>
                  <w:tcBorders>
                    <w:tl2br w:val="nil"/>
                    <w:tr2bl w:val="nil"/>
                  </w:tcBorders>
                  <w:vAlign w:val="center"/>
                </w:tcPr>
                <w:p w14:paraId="1CABD28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01B224A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3C71928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3C67E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6A6F97F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宋体" w:hAnsi="宋体" w:eastAsia="宋体" w:cs="宋体"/>
                      <w:i w:val="0"/>
                      <w:iCs w:val="0"/>
                      <w:color w:val="auto"/>
                      <w:kern w:val="0"/>
                      <w:sz w:val="24"/>
                      <w:szCs w:val="24"/>
                      <w:u w:val="none"/>
                      <w:lang w:val="en-US" w:eastAsia="zh-CN" w:bidi="ar"/>
                    </w:rPr>
                  </w:pPr>
                  <w:r>
                    <w:rPr>
                      <w:rFonts w:hint="eastAsia" w:ascii="Times New Roman" w:hAnsi="Times New Roman" w:eastAsia="仿宋" w:cs="Times New Roman"/>
                      <w:color w:val="auto"/>
                      <w:sz w:val="21"/>
                      <w:szCs w:val="21"/>
                      <w:highlight w:val="none"/>
                      <w:lang w:val="en-US" w:eastAsia="zh-CN"/>
                    </w:rPr>
                    <w:t>五、RO系统改造</w:t>
                  </w:r>
                </w:p>
              </w:tc>
            </w:tr>
            <w:tr w14:paraId="3A5AA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9912DC1">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c>
                <w:tcPr>
                  <w:tcW w:w="1144" w:type="pct"/>
                  <w:tcBorders>
                    <w:tl2br w:val="nil"/>
                    <w:tr2bl w:val="nil"/>
                  </w:tcBorders>
                  <w:vAlign w:val="center"/>
                </w:tcPr>
                <w:p w14:paraId="30D7959B">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增加RO膜管</w:t>
                  </w:r>
                </w:p>
              </w:tc>
              <w:tc>
                <w:tcPr>
                  <w:tcW w:w="2418" w:type="pct"/>
                  <w:tcBorders>
                    <w:tl2br w:val="nil"/>
                    <w:tr2bl w:val="nil"/>
                  </w:tcBorders>
                  <w:vAlign w:val="center"/>
                </w:tcPr>
                <w:p w14:paraId="48D344E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1套*3支</w:t>
                  </w:r>
                </w:p>
              </w:tc>
              <w:tc>
                <w:tcPr>
                  <w:tcW w:w="444" w:type="pct"/>
                  <w:tcBorders>
                    <w:tl2br w:val="nil"/>
                    <w:tr2bl w:val="nil"/>
                  </w:tcBorders>
                  <w:vAlign w:val="center"/>
                </w:tcPr>
                <w:p w14:paraId="7384D578">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10FEC766">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C2BB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125EFD3A">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w:t>
                  </w:r>
                </w:p>
              </w:tc>
              <w:tc>
                <w:tcPr>
                  <w:tcW w:w="1144" w:type="pct"/>
                  <w:tcBorders>
                    <w:tl2br w:val="nil"/>
                    <w:tr2bl w:val="nil"/>
                  </w:tcBorders>
                  <w:vAlign w:val="center"/>
                </w:tcPr>
                <w:p w14:paraId="0E843057">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RO膜</w:t>
                  </w:r>
                </w:p>
              </w:tc>
              <w:tc>
                <w:tcPr>
                  <w:tcW w:w="2418" w:type="pct"/>
                  <w:tcBorders>
                    <w:tl2br w:val="nil"/>
                    <w:tr2bl w:val="nil"/>
                  </w:tcBorders>
                  <w:vAlign w:val="center"/>
                </w:tcPr>
                <w:p w14:paraId="6F07868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8040，抗污染膜</w:t>
                  </w:r>
                </w:p>
              </w:tc>
              <w:tc>
                <w:tcPr>
                  <w:tcW w:w="444" w:type="pct"/>
                  <w:tcBorders>
                    <w:tl2br w:val="nil"/>
                    <w:tr2bl w:val="nil"/>
                  </w:tcBorders>
                  <w:vAlign w:val="center"/>
                </w:tcPr>
                <w:p w14:paraId="72C750D9">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支</w:t>
                  </w:r>
                </w:p>
              </w:tc>
              <w:tc>
                <w:tcPr>
                  <w:tcW w:w="470" w:type="pct"/>
                  <w:tcBorders>
                    <w:tl2br w:val="nil"/>
                    <w:tr2bl w:val="nil"/>
                  </w:tcBorders>
                  <w:vAlign w:val="center"/>
                </w:tcPr>
                <w:p w14:paraId="207FEE34">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r>
            <w:tr w14:paraId="32524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090FBA4E">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p>
              </w:tc>
              <w:tc>
                <w:tcPr>
                  <w:tcW w:w="1144" w:type="pct"/>
                  <w:tcBorders>
                    <w:tl2br w:val="nil"/>
                    <w:tr2bl w:val="nil"/>
                  </w:tcBorders>
                  <w:vAlign w:val="center"/>
                </w:tcPr>
                <w:p w14:paraId="06C77852">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RO增压泵</w:t>
                  </w:r>
                </w:p>
              </w:tc>
              <w:tc>
                <w:tcPr>
                  <w:tcW w:w="2418" w:type="pct"/>
                  <w:tcBorders>
                    <w:tl2br w:val="nil"/>
                    <w:tr2bl w:val="nil"/>
                  </w:tcBorders>
                  <w:vAlign w:val="center"/>
                </w:tcPr>
                <w:p w14:paraId="280A6FC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流量：8T/H，功率：2.2KW</w:t>
                  </w:r>
                </w:p>
              </w:tc>
              <w:tc>
                <w:tcPr>
                  <w:tcW w:w="444" w:type="pct"/>
                  <w:tcBorders>
                    <w:tl2br w:val="nil"/>
                    <w:tr2bl w:val="nil"/>
                  </w:tcBorders>
                  <w:vAlign w:val="center"/>
                </w:tcPr>
                <w:p w14:paraId="53890C00">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27B4B34">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72B98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4AFAB446">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w:t>
                  </w:r>
                </w:p>
              </w:tc>
              <w:tc>
                <w:tcPr>
                  <w:tcW w:w="1144" w:type="pct"/>
                  <w:tcBorders>
                    <w:tl2br w:val="nil"/>
                    <w:tr2bl w:val="nil"/>
                  </w:tcBorders>
                  <w:vAlign w:val="center"/>
                </w:tcPr>
                <w:p w14:paraId="68003011">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增压管道整改</w:t>
                  </w:r>
                </w:p>
              </w:tc>
              <w:tc>
                <w:tcPr>
                  <w:tcW w:w="2418" w:type="pct"/>
                  <w:tcBorders>
                    <w:tl2br w:val="nil"/>
                    <w:tr2bl w:val="nil"/>
                  </w:tcBorders>
                  <w:vAlign w:val="center"/>
                </w:tcPr>
                <w:p w14:paraId="0C6C2CF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185137DF">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套</w:t>
                  </w:r>
                </w:p>
              </w:tc>
              <w:tc>
                <w:tcPr>
                  <w:tcW w:w="470" w:type="pct"/>
                  <w:tcBorders>
                    <w:tl2br w:val="nil"/>
                    <w:tr2bl w:val="nil"/>
                  </w:tcBorders>
                  <w:vAlign w:val="center"/>
                </w:tcPr>
                <w:p w14:paraId="607E4CD1">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23920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5506D60A">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w:t>
                  </w:r>
                </w:p>
              </w:tc>
              <w:tc>
                <w:tcPr>
                  <w:tcW w:w="1144" w:type="pct"/>
                  <w:tcBorders>
                    <w:tl2br w:val="nil"/>
                    <w:tr2bl w:val="nil"/>
                  </w:tcBorders>
                  <w:vAlign w:val="center"/>
                </w:tcPr>
                <w:p w14:paraId="46CE4ABD">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排放泵</w:t>
                  </w:r>
                </w:p>
              </w:tc>
              <w:tc>
                <w:tcPr>
                  <w:tcW w:w="2418" w:type="pct"/>
                  <w:tcBorders>
                    <w:tl2br w:val="nil"/>
                    <w:tr2bl w:val="nil"/>
                  </w:tcBorders>
                  <w:vAlign w:val="center"/>
                </w:tcPr>
                <w:p w14:paraId="41F2C86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5105C0DE">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40B8BB2A">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16479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21" w:type="pct"/>
                  <w:tcBorders>
                    <w:tl2br w:val="nil"/>
                    <w:tr2bl w:val="nil"/>
                  </w:tcBorders>
                  <w:vAlign w:val="center"/>
                </w:tcPr>
                <w:p w14:paraId="7366BF45">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1144" w:type="pct"/>
                  <w:tcBorders>
                    <w:tl2br w:val="nil"/>
                    <w:tr2bl w:val="nil"/>
                  </w:tcBorders>
                  <w:vAlign w:val="center"/>
                </w:tcPr>
                <w:p w14:paraId="1C34D4D5">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高浓度废水收集池</w:t>
                  </w:r>
                </w:p>
              </w:tc>
              <w:tc>
                <w:tcPr>
                  <w:tcW w:w="2418" w:type="pct"/>
                  <w:tcBorders>
                    <w:tl2br w:val="nil"/>
                    <w:tr2bl w:val="nil"/>
                  </w:tcBorders>
                  <w:vAlign w:val="center"/>
                </w:tcPr>
                <w:p w14:paraId="58C92C3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444" w:type="pct"/>
                  <w:tcBorders>
                    <w:tl2br w:val="nil"/>
                    <w:tr2bl w:val="nil"/>
                  </w:tcBorders>
                  <w:vAlign w:val="center"/>
                </w:tcPr>
                <w:p w14:paraId="24B2B147">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座</w:t>
                  </w:r>
                </w:p>
              </w:tc>
              <w:tc>
                <w:tcPr>
                  <w:tcW w:w="470" w:type="pct"/>
                  <w:tcBorders>
                    <w:tl2br w:val="nil"/>
                    <w:tr2bl w:val="nil"/>
                  </w:tcBorders>
                  <w:vAlign w:val="center"/>
                </w:tcPr>
                <w:p w14:paraId="528E7043">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r w14:paraId="1DDCC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l2br w:val="nil"/>
                    <w:tr2bl w:val="nil"/>
                  </w:tcBorders>
                  <w:vAlign w:val="center"/>
                </w:tcPr>
                <w:p w14:paraId="755CC4AF">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w:t>
                  </w:r>
                </w:p>
              </w:tc>
              <w:tc>
                <w:tcPr>
                  <w:tcW w:w="1144" w:type="pct"/>
                  <w:tcBorders>
                    <w:tl2br w:val="nil"/>
                    <w:tr2bl w:val="nil"/>
                  </w:tcBorders>
                  <w:vAlign w:val="center"/>
                </w:tcPr>
                <w:p w14:paraId="7EAE9A30">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高浓度提升泵</w:t>
                  </w:r>
                </w:p>
              </w:tc>
              <w:tc>
                <w:tcPr>
                  <w:tcW w:w="2418" w:type="pct"/>
                  <w:tcBorders>
                    <w:tl2br w:val="nil"/>
                    <w:tr2bl w:val="nil"/>
                  </w:tcBorders>
                  <w:vAlign w:val="center"/>
                </w:tcPr>
                <w:p w14:paraId="54AEC9F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流量：5T/H，功率：0.55KW，耐酸碱泵</w:t>
                  </w:r>
                </w:p>
              </w:tc>
              <w:tc>
                <w:tcPr>
                  <w:tcW w:w="444" w:type="pct"/>
                  <w:tcBorders>
                    <w:tl2br w:val="nil"/>
                    <w:tr2bl w:val="nil"/>
                  </w:tcBorders>
                  <w:vAlign w:val="center"/>
                </w:tcPr>
                <w:p w14:paraId="6EF77A6E">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台</w:t>
                  </w:r>
                </w:p>
              </w:tc>
              <w:tc>
                <w:tcPr>
                  <w:tcW w:w="470" w:type="pct"/>
                  <w:tcBorders>
                    <w:tl2br w:val="nil"/>
                    <w:tr2bl w:val="nil"/>
                  </w:tcBorders>
                  <w:vAlign w:val="center"/>
                </w:tcPr>
                <w:p w14:paraId="097C14F3">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w:t>
                  </w:r>
                </w:p>
              </w:tc>
            </w:tr>
          </w:tbl>
          <w:p w14:paraId="3BCA1A5C">
            <w:pPr>
              <w:keepNext w:val="0"/>
              <w:keepLines w:val="0"/>
              <w:suppressLineNumbers w:val="0"/>
              <w:spacing w:before="0" w:beforeAutospacing="0" w:after="0" w:afterAutospacing="0" w:line="360" w:lineRule="auto"/>
              <w:ind w:right="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2.2.4  设计进出水水质</w:t>
            </w:r>
          </w:p>
          <w:p w14:paraId="399EC5B3">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生产废水处理各单元预计去除效果一览表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23"/>
              <w:gridCol w:w="1054"/>
              <w:gridCol w:w="821"/>
              <w:gridCol w:w="770"/>
              <w:gridCol w:w="737"/>
              <w:gridCol w:w="821"/>
              <w:gridCol w:w="836"/>
              <w:gridCol w:w="898"/>
              <w:gridCol w:w="741"/>
              <w:gridCol w:w="873"/>
              <w:gridCol w:w="649"/>
            </w:tblGrid>
            <w:tr w14:paraId="03C21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l2br w:val="nil"/>
                    <w:tr2bl w:val="nil"/>
                  </w:tcBorders>
                  <w:vAlign w:val="center"/>
                </w:tcPr>
                <w:p w14:paraId="221372A3">
                  <w:pPr>
                    <w:pStyle w:val="31"/>
                    <w:keepNext w:val="0"/>
                    <w:keepLines w:val="0"/>
                    <w:pageBreakBefore w:val="0"/>
                    <w:kinsoku/>
                    <w:wordWrap/>
                    <w:overflowPunct/>
                    <w:topLinePunct w:val="0"/>
                    <w:autoSpaceDE/>
                    <w:autoSpaceDN/>
                    <w:bidi w:val="0"/>
                    <w:jc w:val="center"/>
                    <w:rPr>
                      <w:rFonts w:hint="eastAsia"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1、电泳废水处理系统</w:t>
                  </w:r>
                </w:p>
              </w:tc>
            </w:tr>
            <w:tr w14:paraId="53A2E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vAlign w:val="center"/>
                </w:tcPr>
                <w:p w14:paraId="0BFC7997">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序号</w:t>
                  </w:r>
                </w:p>
              </w:tc>
              <w:tc>
                <w:tcPr>
                  <w:tcW w:w="951" w:type="pct"/>
                  <w:gridSpan w:val="2"/>
                  <w:vMerge w:val="restart"/>
                  <w:tcBorders>
                    <w:tl2br w:val="nil"/>
                    <w:tr2bl w:val="nil"/>
                  </w:tcBorders>
                  <w:vAlign w:val="center"/>
                </w:tcPr>
                <w:p w14:paraId="43E4EE20">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名称</w:t>
                  </w:r>
                </w:p>
              </w:tc>
              <w:tc>
                <w:tcPr>
                  <w:tcW w:w="439" w:type="pct"/>
                  <w:tcBorders>
                    <w:tl2br w:val="nil"/>
                    <w:tr2bl w:val="nil"/>
                  </w:tcBorders>
                  <w:vAlign w:val="center"/>
                </w:tcPr>
                <w:p w14:paraId="19C942EA">
                  <w:pPr>
                    <w:keepNext w:val="0"/>
                    <w:keepLines w:val="0"/>
                    <w:widowControl/>
                    <w:suppressLineNumbers w:val="0"/>
                    <w:jc w:val="center"/>
                    <w:textAlignment w:val="center"/>
                    <w:rPr>
                      <w:rFonts w:hint="default" w:ascii="Times New Roman" w:hAnsi="Times New Roman" w:eastAsia="仿宋" w:cs="Times New Roman"/>
                      <w:b/>
                      <w:bCs w:val="0"/>
                      <w:color w:val="auto"/>
                      <w:sz w:val="21"/>
                      <w:szCs w:val="21"/>
                      <w:highlight w:val="none"/>
                      <w:lang w:val="en-US" w:eastAsia="zh-CN"/>
                    </w:rPr>
                  </w:pPr>
                  <w:r>
                    <w:rPr>
                      <w:rFonts w:hint="default" w:ascii="Times New Roman" w:hAnsi="Times New Roman" w:eastAsia="仿宋" w:cs="Times New Roman"/>
                      <w:b/>
                      <w:bCs w:val="0"/>
                      <w:i w:val="0"/>
                      <w:iCs w:val="0"/>
                      <w:color w:val="auto"/>
                      <w:kern w:val="2"/>
                      <w:sz w:val="21"/>
                      <w:szCs w:val="21"/>
                      <w:highlight w:val="none"/>
                      <w:u w:val="none"/>
                      <w:lang w:val="en-US" w:eastAsia="zh-CN" w:bidi="ar"/>
                    </w:rPr>
                    <w:t>COD</w:t>
                  </w:r>
                </w:p>
              </w:tc>
              <w:tc>
                <w:tcPr>
                  <w:tcW w:w="412" w:type="pct"/>
                  <w:tcBorders>
                    <w:tl2br w:val="nil"/>
                    <w:tr2bl w:val="nil"/>
                  </w:tcBorders>
                  <w:vAlign w:val="center"/>
                </w:tcPr>
                <w:p w14:paraId="109002E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val="0"/>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氨氮</w:t>
                  </w:r>
                </w:p>
              </w:tc>
              <w:tc>
                <w:tcPr>
                  <w:tcW w:w="394" w:type="pct"/>
                  <w:tcBorders>
                    <w:tl2br w:val="nil"/>
                    <w:tr2bl w:val="nil"/>
                  </w:tcBorders>
                  <w:vAlign w:val="center"/>
                </w:tcPr>
                <w:p w14:paraId="359EB79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color w:val="auto"/>
                      <w:sz w:val="21"/>
                      <w:szCs w:val="21"/>
                      <w:highlight w:val="none"/>
                      <w:lang w:val="en-US" w:eastAsia="zh-CN"/>
                    </w:rPr>
                    <w:t>总</w:t>
                  </w:r>
                  <w:r>
                    <w:rPr>
                      <w:rFonts w:hint="default" w:ascii="Times New Roman" w:hAnsi="Times New Roman" w:eastAsia="仿宋" w:cs="Times New Roman"/>
                      <w:b/>
                      <w:bCs/>
                      <w:color w:val="auto"/>
                      <w:sz w:val="21"/>
                      <w:szCs w:val="21"/>
                      <w:highlight w:val="none"/>
                      <w:lang w:val="en-US" w:eastAsia="zh-CN"/>
                    </w:rPr>
                    <w:t>氮</w:t>
                  </w:r>
                </w:p>
              </w:tc>
              <w:tc>
                <w:tcPr>
                  <w:tcW w:w="439" w:type="pct"/>
                  <w:tcBorders>
                    <w:tl2br w:val="nil"/>
                    <w:tr2bl w:val="nil"/>
                  </w:tcBorders>
                  <w:vAlign w:val="center"/>
                </w:tcPr>
                <w:p w14:paraId="477540A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color w:val="auto"/>
                      <w:sz w:val="21"/>
                      <w:szCs w:val="21"/>
                      <w:highlight w:val="none"/>
                      <w:lang w:val="en-US" w:eastAsia="zh-CN"/>
                    </w:rPr>
                    <w:t>总磷</w:t>
                  </w:r>
                </w:p>
              </w:tc>
              <w:tc>
                <w:tcPr>
                  <w:tcW w:w="447" w:type="pct"/>
                  <w:tcBorders>
                    <w:tl2br w:val="nil"/>
                    <w:tr2bl w:val="nil"/>
                  </w:tcBorders>
                  <w:vAlign w:val="center"/>
                </w:tcPr>
                <w:p w14:paraId="02D0FF2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val="0"/>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SS</w:t>
                  </w:r>
                </w:p>
              </w:tc>
              <w:tc>
                <w:tcPr>
                  <w:tcW w:w="480" w:type="pct"/>
                  <w:tcBorders>
                    <w:tl2br w:val="nil"/>
                    <w:tr2bl w:val="nil"/>
                  </w:tcBorders>
                  <w:vAlign w:val="center"/>
                </w:tcPr>
                <w:p w14:paraId="6CA64F5B">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石油类</w:t>
                  </w:r>
                </w:p>
              </w:tc>
              <w:tc>
                <w:tcPr>
                  <w:tcW w:w="396" w:type="pct"/>
                  <w:tcBorders>
                    <w:tl2br w:val="nil"/>
                    <w:tr2bl w:val="nil"/>
                  </w:tcBorders>
                  <w:vAlign w:val="center"/>
                </w:tcPr>
                <w:p w14:paraId="164BBDAE">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bCs w:val="0"/>
                      <w:color w:val="auto"/>
                      <w:sz w:val="21"/>
                      <w:szCs w:val="21"/>
                      <w:highlight w:val="none"/>
                      <w:lang w:val="en-US" w:eastAsia="zh-CN"/>
                    </w:rPr>
                  </w:pPr>
                  <w:r>
                    <w:rPr>
                      <w:rFonts w:hint="eastAsia" w:ascii="Times New Roman" w:hAnsi="Times New Roman" w:eastAsia="仿宋" w:cs="Times New Roman"/>
                      <w:b/>
                      <w:bCs w:val="0"/>
                      <w:color w:val="auto"/>
                      <w:sz w:val="21"/>
                      <w:szCs w:val="21"/>
                      <w:highlight w:val="none"/>
                      <w:lang w:val="en-US" w:eastAsia="zh-CN"/>
                    </w:rPr>
                    <w:t>LAS</w:t>
                  </w:r>
                </w:p>
              </w:tc>
              <w:tc>
                <w:tcPr>
                  <w:tcW w:w="467" w:type="pct"/>
                  <w:tcBorders>
                    <w:tl2br w:val="nil"/>
                    <w:tr2bl w:val="nil"/>
                  </w:tcBorders>
                  <w:vAlign w:val="center"/>
                </w:tcPr>
                <w:p w14:paraId="704CBBB4">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pH</w:t>
                  </w:r>
                </w:p>
              </w:tc>
              <w:tc>
                <w:tcPr>
                  <w:tcW w:w="344" w:type="pct"/>
                  <w:tcBorders>
                    <w:tl2br w:val="nil"/>
                    <w:tr2bl w:val="nil"/>
                  </w:tcBorders>
                  <w:vAlign w:val="center"/>
                </w:tcPr>
                <w:p w14:paraId="040A203C">
                  <w:pPr>
                    <w:pStyle w:val="31"/>
                    <w:keepNext w:val="0"/>
                    <w:keepLines w:val="0"/>
                    <w:pageBreakBefore w:val="0"/>
                    <w:kinsoku/>
                    <w:wordWrap/>
                    <w:overflowPunct/>
                    <w:topLinePunct w:val="0"/>
                    <w:autoSpaceDE/>
                    <w:autoSpaceDN/>
                    <w:bidi w:val="0"/>
                    <w:jc w:val="center"/>
                    <w:rPr>
                      <w:rFonts w:hint="default" w:ascii="Times New Roman" w:hAnsi="Times New Roman" w:eastAsia="仿宋" w:cs="Times New Roman"/>
                      <w:b/>
                      <w:bCs w:val="0"/>
                      <w:color w:val="auto"/>
                      <w:sz w:val="21"/>
                      <w:szCs w:val="21"/>
                      <w:highlight w:val="none"/>
                      <w:lang w:val="en-US" w:eastAsia="zh-CN"/>
                    </w:rPr>
                  </w:pPr>
                  <w:r>
                    <w:rPr>
                      <w:rFonts w:hint="eastAsia" w:eastAsia="仿宋" w:cs="Times New Roman"/>
                      <w:b/>
                      <w:bCs w:val="0"/>
                      <w:color w:val="auto"/>
                      <w:sz w:val="21"/>
                      <w:szCs w:val="21"/>
                      <w:highlight w:val="none"/>
                      <w:lang w:val="en-US" w:eastAsia="zh-CN"/>
                    </w:rPr>
                    <w:t>水量</w:t>
                  </w:r>
                </w:p>
              </w:tc>
            </w:tr>
            <w:tr w14:paraId="09F52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0A6575BD">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bCs w:val="0"/>
                      <w:color w:val="auto"/>
                      <w:sz w:val="21"/>
                      <w:szCs w:val="21"/>
                      <w:highlight w:val="none"/>
                      <w:lang w:val="en-US" w:eastAsia="zh-CN"/>
                    </w:rPr>
                  </w:pPr>
                </w:p>
              </w:tc>
              <w:tc>
                <w:tcPr>
                  <w:tcW w:w="951" w:type="pct"/>
                  <w:gridSpan w:val="2"/>
                  <w:vMerge w:val="continue"/>
                  <w:tcBorders>
                    <w:tl2br w:val="nil"/>
                    <w:tr2bl w:val="nil"/>
                  </w:tcBorders>
                  <w:vAlign w:val="center"/>
                </w:tcPr>
                <w:p w14:paraId="40B76741">
                  <w:pPr>
                    <w:pStyle w:val="31"/>
                    <w:keepNext w:val="0"/>
                    <w:keepLines w:val="0"/>
                    <w:pageBreakBefore w:val="0"/>
                    <w:kinsoku/>
                    <w:wordWrap/>
                    <w:overflowPunct/>
                    <w:topLinePunct w:val="0"/>
                    <w:autoSpaceDE/>
                    <w:autoSpaceDN/>
                    <w:bidi w:val="0"/>
                    <w:jc w:val="center"/>
                    <w:rPr>
                      <w:rFonts w:hint="eastAsia" w:ascii="Times New Roman" w:hAnsi="Times New Roman" w:eastAsia="仿宋" w:cs="Times New Roman"/>
                      <w:b/>
                      <w:bCs w:val="0"/>
                      <w:color w:val="auto"/>
                      <w:sz w:val="21"/>
                      <w:szCs w:val="21"/>
                      <w:highlight w:val="none"/>
                      <w:lang w:val="en-US" w:eastAsia="zh-CN"/>
                    </w:rPr>
                  </w:pPr>
                </w:p>
              </w:tc>
              <w:tc>
                <w:tcPr>
                  <w:tcW w:w="439" w:type="pct"/>
                  <w:tcBorders>
                    <w:tl2br w:val="nil"/>
                    <w:tr2bl w:val="nil"/>
                  </w:tcBorders>
                  <w:vAlign w:val="center"/>
                </w:tcPr>
                <w:p w14:paraId="5BEA9E03">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412" w:type="pct"/>
                  <w:tcBorders>
                    <w:tl2br w:val="nil"/>
                    <w:tr2bl w:val="nil"/>
                  </w:tcBorders>
                  <w:vAlign w:val="center"/>
                </w:tcPr>
                <w:p w14:paraId="3AFF1D4D">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394" w:type="pct"/>
                  <w:tcBorders>
                    <w:tl2br w:val="nil"/>
                    <w:tr2bl w:val="nil"/>
                  </w:tcBorders>
                  <w:vAlign w:val="center"/>
                </w:tcPr>
                <w:p w14:paraId="60A359DB">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439" w:type="pct"/>
                  <w:tcBorders>
                    <w:tl2br w:val="nil"/>
                    <w:tr2bl w:val="nil"/>
                  </w:tcBorders>
                  <w:vAlign w:val="center"/>
                </w:tcPr>
                <w:p w14:paraId="72525B3C">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447" w:type="pct"/>
                  <w:tcBorders>
                    <w:tl2br w:val="nil"/>
                    <w:tr2bl w:val="nil"/>
                  </w:tcBorders>
                  <w:vAlign w:val="center"/>
                </w:tcPr>
                <w:p w14:paraId="7D5814EC">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480" w:type="pct"/>
                  <w:tcBorders>
                    <w:tl2br w:val="nil"/>
                    <w:tr2bl w:val="nil"/>
                  </w:tcBorders>
                  <w:vAlign w:val="center"/>
                </w:tcPr>
                <w:p w14:paraId="2C9C473C">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396" w:type="pct"/>
                  <w:tcBorders>
                    <w:tl2br w:val="nil"/>
                    <w:tr2bl w:val="nil"/>
                  </w:tcBorders>
                  <w:vAlign w:val="center"/>
                </w:tcPr>
                <w:p w14:paraId="5BFB824A">
                  <w:pPr>
                    <w:keepNext w:val="0"/>
                    <w:keepLines w:val="0"/>
                    <w:widowControl/>
                    <w:suppressLineNumbers w:val="0"/>
                    <w:jc w:val="center"/>
                    <w:textAlignment w:val="center"/>
                    <w:rPr>
                      <w:rFonts w:hint="eastAsia" w:ascii="Times New Roman" w:hAnsi="Times New Roman"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mg/L</w:t>
                  </w:r>
                </w:p>
              </w:tc>
              <w:tc>
                <w:tcPr>
                  <w:tcW w:w="467" w:type="pct"/>
                  <w:tcBorders>
                    <w:tl2br w:val="nil"/>
                    <w:tr2bl w:val="nil"/>
                  </w:tcBorders>
                  <w:vAlign w:val="center"/>
                </w:tcPr>
                <w:p w14:paraId="2624FB89">
                  <w:pPr>
                    <w:keepNext w:val="0"/>
                    <w:keepLines w:val="0"/>
                    <w:widowControl/>
                    <w:suppressLineNumbers w:val="0"/>
                    <w:jc w:val="center"/>
                    <w:textAlignment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eastAsia" w:cs="Times New Roman"/>
                      <w:b/>
                      <w:bCs w:val="0"/>
                      <w:i w:val="0"/>
                      <w:iCs w:val="0"/>
                      <w:color w:val="auto"/>
                      <w:kern w:val="0"/>
                      <w:sz w:val="21"/>
                      <w:szCs w:val="21"/>
                      <w:u w:val="none"/>
                      <w:lang w:val="en-US" w:eastAsia="zh-CN" w:bidi="ar"/>
                    </w:rPr>
                    <w:t>无量纲</w:t>
                  </w:r>
                </w:p>
              </w:tc>
              <w:tc>
                <w:tcPr>
                  <w:tcW w:w="344" w:type="pct"/>
                  <w:tcBorders>
                    <w:tl2br w:val="nil"/>
                    <w:tr2bl w:val="nil"/>
                  </w:tcBorders>
                  <w:vAlign w:val="center"/>
                </w:tcPr>
                <w:p w14:paraId="48717248">
                  <w:pPr>
                    <w:keepNext w:val="0"/>
                    <w:keepLines w:val="0"/>
                    <w:widowControl/>
                    <w:suppressLineNumbers w:val="0"/>
                    <w:jc w:val="center"/>
                    <w:textAlignment w:val="center"/>
                    <w:rPr>
                      <w:rFonts w:hint="eastAsia" w:eastAsia="仿宋" w:cs="Times New Roman"/>
                      <w:b/>
                      <w:bCs w:val="0"/>
                      <w:color w:val="auto"/>
                      <w:sz w:val="21"/>
                      <w:szCs w:val="21"/>
                      <w:highlight w:val="none"/>
                      <w:lang w:val="en-US" w:eastAsia="zh-CN"/>
                    </w:rPr>
                  </w:pPr>
                  <w:r>
                    <w:rPr>
                      <w:rFonts w:hint="default" w:ascii="Times New Roman" w:hAnsi="Times New Roman" w:eastAsia="宋体" w:cs="Times New Roman"/>
                      <w:b/>
                      <w:bCs w:val="0"/>
                      <w:i w:val="0"/>
                      <w:iCs w:val="0"/>
                      <w:color w:val="auto"/>
                      <w:kern w:val="0"/>
                      <w:sz w:val="21"/>
                      <w:szCs w:val="21"/>
                      <w:u w:val="none"/>
                      <w:lang w:val="en-US" w:eastAsia="zh-CN" w:bidi="ar"/>
                    </w:rPr>
                    <w:t>m³/d</w:t>
                  </w:r>
                </w:p>
              </w:tc>
            </w:tr>
            <w:tr w14:paraId="49DEE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tcBorders>
                    <w:tl2br w:val="nil"/>
                    <w:tr2bl w:val="nil"/>
                  </w:tcBorders>
                  <w:vAlign w:val="center"/>
                </w:tcPr>
                <w:p w14:paraId="2B62CEB5">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387" w:type="pct"/>
                  <w:tcBorders>
                    <w:tl2br w:val="nil"/>
                    <w:tr2bl w:val="nil"/>
                  </w:tcBorders>
                  <w:vAlign w:val="center"/>
                </w:tcPr>
                <w:p w14:paraId="405B4975">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电泳废水</w:t>
                  </w:r>
                </w:p>
              </w:tc>
              <w:tc>
                <w:tcPr>
                  <w:tcW w:w="564" w:type="pct"/>
                  <w:tcBorders>
                    <w:tl2br w:val="nil"/>
                    <w:tr2bl w:val="nil"/>
                  </w:tcBorders>
                  <w:vAlign w:val="center"/>
                </w:tcPr>
                <w:p w14:paraId="35E38EEA">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原水</w:t>
                  </w:r>
                </w:p>
              </w:tc>
              <w:tc>
                <w:tcPr>
                  <w:tcW w:w="439" w:type="pct"/>
                  <w:tcBorders>
                    <w:tl2br w:val="nil"/>
                    <w:tr2bl w:val="nil"/>
                  </w:tcBorders>
                  <w:vAlign w:val="center"/>
                </w:tcPr>
                <w:p w14:paraId="2727B78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948.29</w:t>
                  </w:r>
                </w:p>
              </w:tc>
              <w:tc>
                <w:tcPr>
                  <w:tcW w:w="412" w:type="pct"/>
                  <w:tcBorders>
                    <w:tl2br w:val="nil"/>
                    <w:tr2bl w:val="nil"/>
                  </w:tcBorders>
                  <w:vAlign w:val="center"/>
                </w:tcPr>
                <w:p w14:paraId="7B4B3DC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41.48</w:t>
                  </w:r>
                </w:p>
              </w:tc>
              <w:tc>
                <w:tcPr>
                  <w:tcW w:w="394" w:type="pct"/>
                  <w:tcBorders>
                    <w:tl2br w:val="nil"/>
                    <w:tr2bl w:val="nil"/>
                  </w:tcBorders>
                  <w:vAlign w:val="center"/>
                </w:tcPr>
                <w:p w14:paraId="70E60C4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52.09</w:t>
                  </w:r>
                </w:p>
              </w:tc>
              <w:tc>
                <w:tcPr>
                  <w:tcW w:w="439" w:type="pct"/>
                  <w:tcBorders>
                    <w:tl2br w:val="nil"/>
                    <w:tr2bl w:val="nil"/>
                  </w:tcBorders>
                  <w:vAlign w:val="center"/>
                </w:tcPr>
                <w:p w14:paraId="2AADB9C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3.86</w:t>
                  </w:r>
                </w:p>
              </w:tc>
              <w:tc>
                <w:tcPr>
                  <w:tcW w:w="447" w:type="pct"/>
                  <w:tcBorders>
                    <w:tl2br w:val="nil"/>
                    <w:tr2bl w:val="nil"/>
                  </w:tcBorders>
                  <w:vAlign w:val="center"/>
                </w:tcPr>
                <w:p w14:paraId="228EEE7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430.25</w:t>
                  </w:r>
                </w:p>
              </w:tc>
              <w:tc>
                <w:tcPr>
                  <w:tcW w:w="480" w:type="pct"/>
                  <w:tcBorders>
                    <w:tl2br w:val="nil"/>
                    <w:tr2bl w:val="nil"/>
                  </w:tcBorders>
                  <w:vAlign w:val="center"/>
                </w:tcPr>
                <w:p w14:paraId="7CA2C61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38.59</w:t>
                  </w:r>
                </w:p>
              </w:tc>
              <w:tc>
                <w:tcPr>
                  <w:tcW w:w="396" w:type="pct"/>
                  <w:tcBorders>
                    <w:tl2br w:val="nil"/>
                    <w:tr2bl w:val="nil"/>
                  </w:tcBorders>
                  <w:vAlign w:val="center"/>
                </w:tcPr>
                <w:p w14:paraId="58ED214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19.29</w:t>
                  </w:r>
                </w:p>
              </w:tc>
              <w:tc>
                <w:tcPr>
                  <w:tcW w:w="467" w:type="pct"/>
                  <w:tcBorders>
                    <w:tl2br w:val="nil"/>
                    <w:tr2bl w:val="nil"/>
                  </w:tcBorders>
                  <w:vAlign w:val="center"/>
                </w:tcPr>
                <w:p w14:paraId="35F696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5.5-7.7</w:t>
                  </w:r>
                </w:p>
              </w:tc>
              <w:tc>
                <w:tcPr>
                  <w:tcW w:w="344" w:type="pct"/>
                  <w:tcBorders>
                    <w:tl2br w:val="nil"/>
                    <w:tr2bl w:val="nil"/>
                  </w:tcBorders>
                  <w:vAlign w:val="center"/>
                </w:tcPr>
                <w:p w14:paraId="6D629AD1">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30</w:t>
                  </w:r>
                </w:p>
              </w:tc>
            </w:tr>
            <w:tr w14:paraId="0175F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vAlign w:val="center"/>
                </w:tcPr>
                <w:p w14:paraId="5BC5A9C7">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w:t>
                  </w:r>
                </w:p>
              </w:tc>
              <w:tc>
                <w:tcPr>
                  <w:tcW w:w="387" w:type="pct"/>
                  <w:vMerge w:val="restart"/>
                  <w:tcBorders>
                    <w:tl2br w:val="nil"/>
                    <w:tr2bl w:val="nil"/>
                  </w:tcBorders>
                  <w:vAlign w:val="center"/>
                </w:tcPr>
                <w:p w14:paraId="0F546C40">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气浮池</w:t>
                  </w:r>
                </w:p>
              </w:tc>
              <w:tc>
                <w:tcPr>
                  <w:tcW w:w="564" w:type="pct"/>
                  <w:tcBorders>
                    <w:tl2br w:val="nil"/>
                    <w:tr2bl w:val="nil"/>
                  </w:tcBorders>
                  <w:vAlign w:val="center"/>
                </w:tcPr>
                <w:p w14:paraId="353DA5EC">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进水</w:t>
                  </w:r>
                </w:p>
              </w:tc>
              <w:tc>
                <w:tcPr>
                  <w:tcW w:w="439" w:type="pct"/>
                  <w:tcBorders>
                    <w:tl2br w:val="nil"/>
                    <w:tr2bl w:val="nil"/>
                  </w:tcBorders>
                  <w:vAlign w:val="center"/>
                </w:tcPr>
                <w:p w14:paraId="0592095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948.29</w:t>
                  </w:r>
                </w:p>
              </w:tc>
              <w:tc>
                <w:tcPr>
                  <w:tcW w:w="412" w:type="pct"/>
                  <w:tcBorders>
                    <w:tl2br w:val="nil"/>
                    <w:tr2bl w:val="nil"/>
                  </w:tcBorders>
                  <w:vAlign w:val="center"/>
                </w:tcPr>
                <w:p w14:paraId="6A8DD53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41.48</w:t>
                  </w:r>
                </w:p>
              </w:tc>
              <w:tc>
                <w:tcPr>
                  <w:tcW w:w="394" w:type="pct"/>
                  <w:tcBorders>
                    <w:tl2br w:val="nil"/>
                    <w:tr2bl w:val="nil"/>
                  </w:tcBorders>
                  <w:vAlign w:val="center"/>
                </w:tcPr>
                <w:p w14:paraId="2D0A694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52.09</w:t>
                  </w:r>
                </w:p>
              </w:tc>
              <w:tc>
                <w:tcPr>
                  <w:tcW w:w="439" w:type="pct"/>
                  <w:tcBorders>
                    <w:tl2br w:val="nil"/>
                    <w:tr2bl w:val="nil"/>
                  </w:tcBorders>
                  <w:vAlign w:val="center"/>
                </w:tcPr>
                <w:p w14:paraId="14BFC0C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3.86</w:t>
                  </w:r>
                </w:p>
              </w:tc>
              <w:tc>
                <w:tcPr>
                  <w:tcW w:w="447" w:type="pct"/>
                  <w:tcBorders>
                    <w:tl2br w:val="nil"/>
                    <w:tr2bl w:val="nil"/>
                  </w:tcBorders>
                  <w:vAlign w:val="center"/>
                </w:tcPr>
                <w:p w14:paraId="1A88C66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430.25</w:t>
                  </w:r>
                </w:p>
              </w:tc>
              <w:tc>
                <w:tcPr>
                  <w:tcW w:w="480" w:type="pct"/>
                  <w:tcBorders>
                    <w:tl2br w:val="nil"/>
                    <w:tr2bl w:val="nil"/>
                  </w:tcBorders>
                  <w:vAlign w:val="center"/>
                </w:tcPr>
                <w:p w14:paraId="0A29EC5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38.59</w:t>
                  </w:r>
                </w:p>
              </w:tc>
              <w:tc>
                <w:tcPr>
                  <w:tcW w:w="396" w:type="pct"/>
                  <w:tcBorders>
                    <w:tl2br w:val="nil"/>
                    <w:tr2bl w:val="nil"/>
                  </w:tcBorders>
                  <w:vAlign w:val="center"/>
                </w:tcPr>
                <w:p w14:paraId="6D80708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19.29</w:t>
                  </w:r>
                </w:p>
              </w:tc>
              <w:tc>
                <w:tcPr>
                  <w:tcW w:w="467" w:type="pct"/>
                  <w:tcBorders>
                    <w:tl2br w:val="nil"/>
                    <w:tr2bl w:val="nil"/>
                  </w:tcBorders>
                  <w:vAlign w:val="center"/>
                </w:tcPr>
                <w:p w14:paraId="7853DB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vMerge w:val="restart"/>
                  <w:tcBorders>
                    <w:tl2br w:val="nil"/>
                    <w:tr2bl w:val="nil"/>
                  </w:tcBorders>
                  <w:vAlign w:val="center"/>
                </w:tcPr>
                <w:p w14:paraId="4AF60E5E">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330AB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2F4F752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387" w:type="pct"/>
                  <w:vMerge w:val="continue"/>
                  <w:tcBorders>
                    <w:tl2br w:val="nil"/>
                    <w:tr2bl w:val="nil"/>
                  </w:tcBorders>
                  <w:vAlign w:val="center"/>
                </w:tcPr>
                <w:p w14:paraId="739DE41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564" w:type="pct"/>
                  <w:tcBorders>
                    <w:tl2br w:val="nil"/>
                    <w:tr2bl w:val="nil"/>
                  </w:tcBorders>
                  <w:vAlign w:val="center"/>
                </w:tcPr>
                <w:p w14:paraId="0AECDBB7">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出水</w:t>
                  </w:r>
                </w:p>
              </w:tc>
              <w:tc>
                <w:tcPr>
                  <w:tcW w:w="439" w:type="pct"/>
                  <w:tcBorders>
                    <w:tl2br w:val="nil"/>
                    <w:tr2bl w:val="nil"/>
                  </w:tcBorders>
                  <w:vAlign w:val="center"/>
                </w:tcPr>
                <w:p w14:paraId="0C12841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853.46</w:t>
                  </w:r>
                </w:p>
              </w:tc>
              <w:tc>
                <w:tcPr>
                  <w:tcW w:w="412" w:type="pct"/>
                  <w:tcBorders>
                    <w:tl2br w:val="nil"/>
                    <w:tr2bl w:val="nil"/>
                  </w:tcBorders>
                  <w:vAlign w:val="center"/>
                </w:tcPr>
                <w:p w14:paraId="65B7477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37.33</w:t>
                  </w:r>
                </w:p>
              </w:tc>
              <w:tc>
                <w:tcPr>
                  <w:tcW w:w="394" w:type="pct"/>
                  <w:tcBorders>
                    <w:tl2br w:val="nil"/>
                    <w:tr2bl w:val="nil"/>
                  </w:tcBorders>
                  <w:vAlign w:val="center"/>
                </w:tcPr>
                <w:p w14:paraId="29F3987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46.88</w:t>
                  </w:r>
                </w:p>
              </w:tc>
              <w:tc>
                <w:tcPr>
                  <w:tcW w:w="439" w:type="pct"/>
                  <w:tcBorders>
                    <w:tl2br w:val="nil"/>
                    <w:tr2bl w:val="nil"/>
                  </w:tcBorders>
                  <w:vAlign w:val="center"/>
                </w:tcPr>
                <w:p w14:paraId="395A8AE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3.47</w:t>
                  </w:r>
                </w:p>
              </w:tc>
              <w:tc>
                <w:tcPr>
                  <w:tcW w:w="447" w:type="pct"/>
                  <w:tcBorders>
                    <w:tl2br w:val="nil"/>
                    <w:tr2bl w:val="nil"/>
                  </w:tcBorders>
                  <w:vAlign w:val="center"/>
                </w:tcPr>
                <w:p w14:paraId="30570BD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301.18</w:t>
                  </w:r>
                </w:p>
              </w:tc>
              <w:tc>
                <w:tcPr>
                  <w:tcW w:w="480" w:type="pct"/>
                  <w:tcBorders>
                    <w:tl2br w:val="nil"/>
                    <w:tr2bl w:val="nil"/>
                  </w:tcBorders>
                  <w:vAlign w:val="center"/>
                </w:tcPr>
                <w:p w14:paraId="468472A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27.01</w:t>
                  </w:r>
                </w:p>
              </w:tc>
              <w:tc>
                <w:tcPr>
                  <w:tcW w:w="396" w:type="pct"/>
                  <w:tcBorders>
                    <w:tl2br w:val="nil"/>
                    <w:tr2bl w:val="nil"/>
                  </w:tcBorders>
                  <w:vAlign w:val="center"/>
                </w:tcPr>
                <w:p w14:paraId="7325153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17.36</w:t>
                  </w:r>
                </w:p>
              </w:tc>
              <w:tc>
                <w:tcPr>
                  <w:tcW w:w="467" w:type="pct"/>
                  <w:tcBorders>
                    <w:tl2br w:val="nil"/>
                    <w:tr2bl w:val="nil"/>
                  </w:tcBorders>
                  <w:vAlign w:val="center"/>
                </w:tcPr>
                <w:p w14:paraId="32EB0F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vMerge w:val="continue"/>
                  <w:tcBorders>
                    <w:tl2br w:val="nil"/>
                    <w:tr2bl w:val="nil"/>
                  </w:tcBorders>
                  <w:vAlign w:val="center"/>
                </w:tcPr>
                <w:p w14:paraId="6E47076E">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51205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19363C7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387" w:type="pct"/>
                  <w:vMerge w:val="continue"/>
                  <w:tcBorders>
                    <w:tl2br w:val="nil"/>
                    <w:tr2bl w:val="nil"/>
                  </w:tcBorders>
                  <w:vAlign w:val="center"/>
                </w:tcPr>
                <w:p w14:paraId="30998D2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564" w:type="pct"/>
                  <w:tcBorders>
                    <w:tl2br w:val="nil"/>
                    <w:tr2bl w:val="nil"/>
                  </w:tcBorders>
                  <w:vAlign w:val="center"/>
                </w:tcPr>
                <w:p w14:paraId="56E7A19A">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去除率</w:t>
                  </w:r>
                  <w:r>
                    <w:rPr>
                      <w:rFonts w:hint="eastAsia" w:eastAsia="仿宋" w:cs="Times New Roman"/>
                      <w:color w:val="auto"/>
                      <w:sz w:val="21"/>
                      <w:szCs w:val="21"/>
                      <w:highlight w:val="none"/>
                      <w:lang w:val="en-US" w:eastAsia="zh-CN"/>
                    </w:rPr>
                    <w:t>%</w:t>
                  </w:r>
                </w:p>
              </w:tc>
              <w:tc>
                <w:tcPr>
                  <w:tcW w:w="439" w:type="pct"/>
                  <w:tcBorders>
                    <w:tl2br w:val="nil"/>
                    <w:tr2bl w:val="nil"/>
                  </w:tcBorders>
                  <w:vAlign w:val="center"/>
                </w:tcPr>
                <w:p w14:paraId="2A2D647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12" w:type="pct"/>
                  <w:tcBorders>
                    <w:tl2br w:val="nil"/>
                    <w:tr2bl w:val="nil"/>
                  </w:tcBorders>
                  <w:vAlign w:val="center"/>
                </w:tcPr>
                <w:p w14:paraId="03ED60B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4" w:type="pct"/>
                  <w:tcBorders>
                    <w:tl2br w:val="nil"/>
                    <w:tr2bl w:val="nil"/>
                  </w:tcBorders>
                  <w:vAlign w:val="center"/>
                </w:tcPr>
                <w:p w14:paraId="2E0856F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39" w:type="pct"/>
                  <w:tcBorders>
                    <w:tl2br w:val="nil"/>
                    <w:tr2bl w:val="nil"/>
                  </w:tcBorders>
                  <w:vAlign w:val="center"/>
                </w:tcPr>
                <w:p w14:paraId="33B6422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vAlign w:val="center"/>
                </w:tcPr>
                <w:p w14:paraId="0BC5428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80" w:type="pct"/>
                  <w:tcBorders>
                    <w:tl2br w:val="nil"/>
                    <w:tr2bl w:val="nil"/>
                  </w:tcBorders>
                  <w:vAlign w:val="center"/>
                </w:tcPr>
                <w:p w14:paraId="71A9D7C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396" w:type="pct"/>
                  <w:tcBorders>
                    <w:tl2br w:val="nil"/>
                    <w:tr2bl w:val="nil"/>
                  </w:tcBorders>
                  <w:vAlign w:val="center"/>
                </w:tcPr>
                <w:p w14:paraId="63F827E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vAlign w:val="center"/>
                </w:tcPr>
                <w:p w14:paraId="08AE18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vMerge w:val="continue"/>
                  <w:tcBorders>
                    <w:tl2br w:val="nil"/>
                    <w:tr2bl w:val="nil"/>
                  </w:tcBorders>
                  <w:vAlign w:val="center"/>
                </w:tcPr>
                <w:p w14:paraId="70517386">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315E5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vAlign w:val="center"/>
                </w:tcPr>
                <w:p w14:paraId="26A045F1">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w:t>
                  </w:r>
                </w:p>
              </w:tc>
              <w:tc>
                <w:tcPr>
                  <w:tcW w:w="387" w:type="pct"/>
                  <w:vMerge w:val="restart"/>
                  <w:tcBorders>
                    <w:tl2br w:val="nil"/>
                    <w:tr2bl w:val="nil"/>
                  </w:tcBorders>
                  <w:vAlign w:val="center"/>
                </w:tcPr>
                <w:p w14:paraId="5CCAB9AE">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物化反应池</w:t>
                  </w:r>
                </w:p>
              </w:tc>
              <w:tc>
                <w:tcPr>
                  <w:tcW w:w="564" w:type="pct"/>
                  <w:tcBorders>
                    <w:tl2br w:val="nil"/>
                    <w:tr2bl w:val="nil"/>
                  </w:tcBorders>
                  <w:vAlign w:val="center"/>
                </w:tcPr>
                <w:p w14:paraId="31DF596F">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进水</w:t>
                  </w:r>
                </w:p>
              </w:tc>
              <w:tc>
                <w:tcPr>
                  <w:tcW w:w="439" w:type="pct"/>
                  <w:tcBorders>
                    <w:tl2br w:val="nil"/>
                    <w:tr2bl w:val="nil"/>
                  </w:tcBorders>
                  <w:vAlign w:val="center"/>
                </w:tcPr>
                <w:p w14:paraId="7585442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853.46</w:t>
                  </w:r>
                </w:p>
              </w:tc>
              <w:tc>
                <w:tcPr>
                  <w:tcW w:w="412" w:type="pct"/>
                  <w:tcBorders>
                    <w:tl2br w:val="nil"/>
                    <w:tr2bl w:val="nil"/>
                  </w:tcBorders>
                  <w:vAlign w:val="center"/>
                </w:tcPr>
                <w:p w14:paraId="44A9B2B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37.33</w:t>
                  </w:r>
                </w:p>
              </w:tc>
              <w:tc>
                <w:tcPr>
                  <w:tcW w:w="394" w:type="pct"/>
                  <w:tcBorders>
                    <w:tl2br w:val="nil"/>
                    <w:tr2bl w:val="nil"/>
                  </w:tcBorders>
                  <w:vAlign w:val="center"/>
                </w:tcPr>
                <w:p w14:paraId="707B7C7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46.88</w:t>
                  </w:r>
                </w:p>
              </w:tc>
              <w:tc>
                <w:tcPr>
                  <w:tcW w:w="439" w:type="pct"/>
                  <w:tcBorders>
                    <w:tl2br w:val="nil"/>
                    <w:tr2bl w:val="nil"/>
                  </w:tcBorders>
                  <w:vAlign w:val="center"/>
                </w:tcPr>
                <w:p w14:paraId="16AC4EB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3.47</w:t>
                  </w:r>
                </w:p>
              </w:tc>
              <w:tc>
                <w:tcPr>
                  <w:tcW w:w="447" w:type="pct"/>
                  <w:tcBorders>
                    <w:tl2br w:val="nil"/>
                    <w:tr2bl w:val="nil"/>
                  </w:tcBorders>
                  <w:vAlign w:val="center"/>
                </w:tcPr>
                <w:p w14:paraId="6B510FE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301.18</w:t>
                  </w:r>
                </w:p>
              </w:tc>
              <w:tc>
                <w:tcPr>
                  <w:tcW w:w="480" w:type="pct"/>
                  <w:tcBorders>
                    <w:tl2br w:val="nil"/>
                    <w:tr2bl w:val="nil"/>
                  </w:tcBorders>
                  <w:vAlign w:val="center"/>
                </w:tcPr>
                <w:p w14:paraId="743CFF5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27.01</w:t>
                  </w:r>
                </w:p>
              </w:tc>
              <w:tc>
                <w:tcPr>
                  <w:tcW w:w="396" w:type="pct"/>
                  <w:tcBorders>
                    <w:tl2br w:val="nil"/>
                    <w:tr2bl w:val="nil"/>
                  </w:tcBorders>
                  <w:vAlign w:val="center"/>
                </w:tcPr>
                <w:p w14:paraId="3DAF120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17.36</w:t>
                  </w:r>
                </w:p>
              </w:tc>
              <w:tc>
                <w:tcPr>
                  <w:tcW w:w="467" w:type="pct"/>
                  <w:tcBorders>
                    <w:tl2br w:val="nil"/>
                    <w:tr2bl w:val="nil"/>
                  </w:tcBorders>
                  <w:vAlign w:val="center"/>
                </w:tcPr>
                <w:p w14:paraId="0E476B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7.6-8.5</w:t>
                  </w:r>
                </w:p>
              </w:tc>
              <w:tc>
                <w:tcPr>
                  <w:tcW w:w="344" w:type="pct"/>
                  <w:vMerge w:val="restart"/>
                  <w:tcBorders>
                    <w:tl2br w:val="nil"/>
                    <w:tr2bl w:val="nil"/>
                  </w:tcBorders>
                  <w:vAlign w:val="center"/>
                </w:tcPr>
                <w:p w14:paraId="6792916A">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1195A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5AD9460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387" w:type="pct"/>
                  <w:vMerge w:val="continue"/>
                  <w:tcBorders>
                    <w:tl2br w:val="nil"/>
                    <w:tr2bl w:val="nil"/>
                  </w:tcBorders>
                  <w:vAlign w:val="center"/>
                </w:tcPr>
                <w:p w14:paraId="00DA1D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564" w:type="pct"/>
                  <w:tcBorders>
                    <w:tl2br w:val="nil"/>
                    <w:tr2bl w:val="nil"/>
                  </w:tcBorders>
                  <w:vAlign w:val="center"/>
                </w:tcPr>
                <w:p w14:paraId="504A1597">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出水</w:t>
                  </w:r>
                </w:p>
              </w:tc>
              <w:tc>
                <w:tcPr>
                  <w:tcW w:w="439" w:type="pct"/>
                  <w:tcBorders>
                    <w:tl2br w:val="nil"/>
                    <w:tr2bl w:val="nil"/>
                  </w:tcBorders>
                  <w:vAlign w:val="center"/>
                </w:tcPr>
                <w:p w14:paraId="57FF53E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469.4</w:t>
                  </w:r>
                </w:p>
              </w:tc>
              <w:tc>
                <w:tcPr>
                  <w:tcW w:w="412" w:type="pct"/>
                  <w:tcBorders>
                    <w:tl2br w:val="nil"/>
                    <w:tr2bl w:val="nil"/>
                  </w:tcBorders>
                  <w:vAlign w:val="center"/>
                </w:tcPr>
                <w:p w14:paraId="4EA7F1A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33.6</w:t>
                  </w:r>
                </w:p>
              </w:tc>
              <w:tc>
                <w:tcPr>
                  <w:tcW w:w="394" w:type="pct"/>
                  <w:tcBorders>
                    <w:tl2br w:val="nil"/>
                    <w:tr2bl w:val="nil"/>
                  </w:tcBorders>
                  <w:vAlign w:val="center"/>
                </w:tcPr>
                <w:p w14:paraId="16FB855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25.78</w:t>
                  </w:r>
                </w:p>
              </w:tc>
              <w:tc>
                <w:tcPr>
                  <w:tcW w:w="439" w:type="pct"/>
                  <w:tcBorders>
                    <w:tl2br w:val="nil"/>
                    <w:tr2bl w:val="nil"/>
                  </w:tcBorders>
                  <w:vAlign w:val="center"/>
                </w:tcPr>
                <w:p w14:paraId="74B0433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447" w:type="pct"/>
                  <w:tcBorders>
                    <w:tl2br w:val="nil"/>
                    <w:tr2bl w:val="nil"/>
                  </w:tcBorders>
                  <w:vAlign w:val="center"/>
                </w:tcPr>
                <w:p w14:paraId="4C1212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210.83</w:t>
                  </w:r>
                </w:p>
              </w:tc>
              <w:tc>
                <w:tcPr>
                  <w:tcW w:w="480" w:type="pct"/>
                  <w:tcBorders>
                    <w:tl2br w:val="nil"/>
                    <w:tr2bl w:val="nil"/>
                  </w:tcBorders>
                  <w:vAlign w:val="center"/>
                </w:tcPr>
                <w:p w14:paraId="70E5785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21.61</w:t>
                  </w:r>
                </w:p>
              </w:tc>
              <w:tc>
                <w:tcPr>
                  <w:tcW w:w="396" w:type="pct"/>
                  <w:tcBorders>
                    <w:tl2br w:val="nil"/>
                    <w:tr2bl w:val="nil"/>
                  </w:tcBorders>
                  <w:vAlign w:val="center"/>
                </w:tcPr>
                <w:p w14:paraId="5D4A3C7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15.62</w:t>
                  </w:r>
                </w:p>
              </w:tc>
              <w:tc>
                <w:tcPr>
                  <w:tcW w:w="467" w:type="pct"/>
                  <w:tcBorders>
                    <w:tl2br w:val="nil"/>
                    <w:tr2bl w:val="nil"/>
                  </w:tcBorders>
                  <w:vAlign w:val="center"/>
                </w:tcPr>
                <w:p w14:paraId="0DD994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7-8</w:t>
                  </w:r>
                </w:p>
              </w:tc>
              <w:tc>
                <w:tcPr>
                  <w:tcW w:w="344" w:type="pct"/>
                  <w:vMerge w:val="continue"/>
                  <w:tcBorders>
                    <w:tl2br w:val="nil"/>
                    <w:tr2bl w:val="nil"/>
                  </w:tcBorders>
                  <w:vAlign w:val="center"/>
                </w:tcPr>
                <w:p w14:paraId="58813848">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u w:val="none"/>
                      <w:lang w:val="en-US" w:eastAsia="zh-CN" w:bidi="ar"/>
                    </w:rPr>
                  </w:pPr>
                </w:p>
              </w:tc>
            </w:tr>
            <w:tr w14:paraId="572DE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3CD3BA1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387" w:type="pct"/>
                  <w:vMerge w:val="continue"/>
                  <w:tcBorders>
                    <w:tl2br w:val="nil"/>
                    <w:tr2bl w:val="nil"/>
                  </w:tcBorders>
                  <w:vAlign w:val="center"/>
                </w:tcPr>
                <w:p w14:paraId="728E58D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rPr>
                  </w:pPr>
                </w:p>
              </w:tc>
              <w:tc>
                <w:tcPr>
                  <w:tcW w:w="564" w:type="pct"/>
                  <w:tcBorders>
                    <w:tl2br w:val="nil"/>
                    <w:tr2bl w:val="nil"/>
                  </w:tcBorders>
                  <w:vAlign w:val="center"/>
                </w:tcPr>
                <w:p w14:paraId="757A42D1">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vAlign w:val="center"/>
                </w:tcPr>
                <w:p w14:paraId="3DE46B1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412" w:type="pct"/>
                  <w:tcBorders>
                    <w:tl2br w:val="nil"/>
                    <w:tr2bl w:val="nil"/>
                  </w:tcBorders>
                  <w:vAlign w:val="center"/>
                </w:tcPr>
                <w:p w14:paraId="0F64EC4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4" w:type="pct"/>
                  <w:tcBorders>
                    <w:tl2br w:val="nil"/>
                    <w:tr2bl w:val="nil"/>
                  </w:tcBorders>
                  <w:vAlign w:val="center"/>
                </w:tcPr>
                <w:p w14:paraId="26C5719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439" w:type="pct"/>
                  <w:tcBorders>
                    <w:tl2br w:val="nil"/>
                    <w:tr2bl w:val="nil"/>
                  </w:tcBorders>
                  <w:vAlign w:val="center"/>
                </w:tcPr>
                <w:p w14:paraId="6E80759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vAlign w:val="center"/>
                </w:tcPr>
                <w:p w14:paraId="13DFB8B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80" w:type="pct"/>
                  <w:tcBorders>
                    <w:tl2br w:val="nil"/>
                    <w:tr2bl w:val="nil"/>
                  </w:tcBorders>
                  <w:vAlign w:val="center"/>
                </w:tcPr>
                <w:p w14:paraId="43D287B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96" w:type="pct"/>
                  <w:tcBorders>
                    <w:tl2br w:val="nil"/>
                    <w:tr2bl w:val="nil"/>
                  </w:tcBorders>
                  <w:vAlign w:val="center"/>
                </w:tcPr>
                <w:p w14:paraId="01A8B71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vAlign w:val="center"/>
                </w:tcPr>
                <w:p w14:paraId="7F38D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vMerge w:val="continue"/>
                  <w:tcBorders>
                    <w:tl2br w:val="nil"/>
                    <w:tr2bl w:val="nil"/>
                  </w:tcBorders>
                  <w:vAlign w:val="center"/>
                </w:tcPr>
                <w:p w14:paraId="08C08931">
                  <w:pPr>
                    <w:pStyle w:val="31"/>
                    <w:widowControl w:val="0"/>
                    <w:wordWrap w:val="0"/>
                    <w:adjustRightInd w:val="0"/>
                    <w:snapToGrid w:val="0"/>
                    <w:textAlignment w:val="auto"/>
                    <w:rPr>
                      <w:rFonts w:hint="default" w:ascii="Times New Roman" w:hAnsi="Times New Roman" w:eastAsia="仿宋" w:cs="Times New Roman"/>
                      <w:color w:val="auto"/>
                      <w:sz w:val="21"/>
                      <w:szCs w:val="21"/>
                      <w:highlight w:val="none"/>
                      <w:u w:val="none"/>
                      <w:lang w:val="en-US" w:eastAsia="zh-CN" w:bidi="ar"/>
                    </w:rPr>
                  </w:pPr>
                </w:p>
              </w:tc>
            </w:tr>
            <w:tr w14:paraId="1538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l2br w:val="nil"/>
                    <w:tr2bl w:val="nil"/>
                  </w:tcBorders>
                  <w:shd w:val="clear" w:color="auto" w:fill="auto"/>
                  <w:vAlign w:val="center"/>
                </w:tcPr>
                <w:p w14:paraId="1F65F9E5">
                  <w:pPr>
                    <w:pStyle w:val="31"/>
                    <w:keepNext w:val="0"/>
                    <w:keepLines w:val="0"/>
                    <w:pageBreakBefore w:val="0"/>
                    <w:kinsoku/>
                    <w:wordWrap/>
                    <w:overflowPunct/>
                    <w:topLinePunct w:val="0"/>
                    <w:autoSpaceDE/>
                    <w:autoSpaceDN/>
                    <w:bidi w:val="0"/>
                    <w:jc w:val="center"/>
                    <w:rPr>
                      <w:rFonts w:hint="eastAsia" w:eastAsia="仿宋" w:cs="Times New Roman"/>
                      <w:b/>
                      <w:color w:val="auto"/>
                      <w:sz w:val="21"/>
                      <w:szCs w:val="21"/>
                      <w:highlight w:val="none"/>
                      <w:lang w:val="en-US" w:eastAsia="zh-CN"/>
                    </w:rPr>
                  </w:pPr>
                  <w:r>
                    <w:rPr>
                      <w:rFonts w:hint="eastAsia" w:eastAsia="仿宋" w:cs="Times New Roman"/>
                      <w:b/>
                      <w:color w:val="auto"/>
                      <w:sz w:val="21"/>
                      <w:szCs w:val="21"/>
                      <w:highlight w:val="none"/>
                      <w:lang w:val="en-US" w:eastAsia="zh-CN"/>
                    </w:rPr>
                    <w:t>2、综合废水处理系统</w:t>
                  </w:r>
                </w:p>
              </w:tc>
            </w:tr>
            <w:tr w14:paraId="74DA3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auto"/>
                  <w:vAlign w:val="center"/>
                </w:tcPr>
                <w:p w14:paraId="7C13D6C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序号</w:t>
                  </w:r>
                </w:p>
              </w:tc>
              <w:tc>
                <w:tcPr>
                  <w:tcW w:w="951" w:type="pct"/>
                  <w:gridSpan w:val="2"/>
                  <w:vMerge w:val="restart"/>
                  <w:tcBorders>
                    <w:tl2br w:val="nil"/>
                    <w:tr2bl w:val="nil"/>
                  </w:tcBorders>
                  <w:shd w:val="clear" w:color="auto" w:fill="auto"/>
                  <w:vAlign w:val="center"/>
                </w:tcPr>
                <w:p w14:paraId="78D8BED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名称</w:t>
                  </w:r>
                </w:p>
              </w:tc>
              <w:tc>
                <w:tcPr>
                  <w:tcW w:w="439" w:type="pct"/>
                  <w:tcBorders>
                    <w:tl2br w:val="nil"/>
                    <w:tr2bl w:val="nil"/>
                  </w:tcBorders>
                  <w:shd w:val="clear" w:color="auto" w:fill="auto"/>
                  <w:vAlign w:val="center"/>
                </w:tcPr>
                <w:p w14:paraId="0951AC0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COD</w:t>
                  </w:r>
                </w:p>
              </w:tc>
              <w:tc>
                <w:tcPr>
                  <w:tcW w:w="412" w:type="pct"/>
                  <w:tcBorders>
                    <w:tl2br w:val="nil"/>
                    <w:tr2bl w:val="nil"/>
                  </w:tcBorders>
                  <w:shd w:val="clear" w:color="auto" w:fill="auto"/>
                  <w:vAlign w:val="center"/>
                </w:tcPr>
                <w:p w14:paraId="134C0F9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氨氮</w:t>
                  </w:r>
                </w:p>
              </w:tc>
              <w:tc>
                <w:tcPr>
                  <w:tcW w:w="394" w:type="pct"/>
                  <w:tcBorders>
                    <w:tl2br w:val="nil"/>
                    <w:tr2bl w:val="nil"/>
                  </w:tcBorders>
                  <w:shd w:val="clear" w:color="auto" w:fill="auto"/>
                  <w:vAlign w:val="center"/>
                </w:tcPr>
                <w:p w14:paraId="6B1BBAB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总</w:t>
                  </w:r>
                  <w:r>
                    <w:rPr>
                      <w:rFonts w:hint="default" w:ascii="Times New Roman" w:hAnsi="Times New Roman" w:eastAsia="仿宋" w:cs="Times New Roman"/>
                      <w:b/>
                      <w:bCs/>
                      <w:color w:val="auto"/>
                      <w:sz w:val="21"/>
                      <w:szCs w:val="21"/>
                      <w:highlight w:val="none"/>
                      <w:lang w:val="en-US" w:eastAsia="zh-CN"/>
                    </w:rPr>
                    <w:t>氮</w:t>
                  </w:r>
                </w:p>
              </w:tc>
              <w:tc>
                <w:tcPr>
                  <w:tcW w:w="439" w:type="pct"/>
                  <w:tcBorders>
                    <w:tl2br w:val="nil"/>
                    <w:tr2bl w:val="nil"/>
                  </w:tcBorders>
                  <w:shd w:val="clear" w:color="auto" w:fill="auto"/>
                  <w:vAlign w:val="center"/>
                </w:tcPr>
                <w:p w14:paraId="1AD1C3E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总磷</w:t>
                  </w:r>
                </w:p>
              </w:tc>
              <w:tc>
                <w:tcPr>
                  <w:tcW w:w="447" w:type="pct"/>
                  <w:tcBorders>
                    <w:tl2br w:val="nil"/>
                    <w:tr2bl w:val="nil"/>
                  </w:tcBorders>
                  <w:shd w:val="clear" w:color="auto" w:fill="auto"/>
                  <w:vAlign w:val="center"/>
                </w:tcPr>
                <w:p w14:paraId="506A93E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SS</w:t>
                  </w:r>
                </w:p>
              </w:tc>
              <w:tc>
                <w:tcPr>
                  <w:tcW w:w="480" w:type="pct"/>
                  <w:tcBorders>
                    <w:tl2br w:val="nil"/>
                    <w:tr2bl w:val="nil"/>
                  </w:tcBorders>
                  <w:shd w:val="clear" w:color="auto" w:fill="auto"/>
                  <w:vAlign w:val="center"/>
                </w:tcPr>
                <w:p w14:paraId="1FC78C3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石油类</w:t>
                  </w:r>
                </w:p>
              </w:tc>
              <w:tc>
                <w:tcPr>
                  <w:tcW w:w="396" w:type="pct"/>
                  <w:tcBorders>
                    <w:tl2br w:val="nil"/>
                    <w:tr2bl w:val="nil"/>
                  </w:tcBorders>
                  <w:shd w:val="clear" w:color="auto" w:fill="auto"/>
                  <w:vAlign w:val="center"/>
                </w:tcPr>
                <w:p w14:paraId="14098B0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LAS</w:t>
                  </w:r>
                </w:p>
              </w:tc>
              <w:tc>
                <w:tcPr>
                  <w:tcW w:w="467" w:type="pct"/>
                  <w:tcBorders>
                    <w:tl2br w:val="nil"/>
                    <w:tr2bl w:val="nil"/>
                  </w:tcBorders>
                  <w:shd w:val="clear" w:color="auto" w:fill="auto"/>
                  <w:vAlign w:val="center"/>
                </w:tcPr>
                <w:p w14:paraId="4853803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pH</w:t>
                  </w:r>
                </w:p>
              </w:tc>
              <w:tc>
                <w:tcPr>
                  <w:tcW w:w="344" w:type="pct"/>
                  <w:tcBorders>
                    <w:tl2br w:val="nil"/>
                    <w:tr2bl w:val="nil"/>
                  </w:tcBorders>
                  <w:shd w:val="clear" w:color="auto" w:fill="auto"/>
                  <w:vAlign w:val="center"/>
                </w:tcPr>
                <w:p w14:paraId="2E9AA8D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水量</w:t>
                  </w:r>
                </w:p>
              </w:tc>
            </w:tr>
            <w:tr w14:paraId="2ACD5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682D285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p>
              </w:tc>
              <w:tc>
                <w:tcPr>
                  <w:tcW w:w="951" w:type="pct"/>
                  <w:gridSpan w:val="2"/>
                  <w:vMerge w:val="continue"/>
                  <w:tcBorders>
                    <w:tl2br w:val="nil"/>
                    <w:tr2bl w:val="nil"/>
                  </w:tcBorders>
                  <w:vAlign w:val="center"/>
                </w:tcPr>
                <w:p w14:paraId="4EFFC06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p>
              </w:tc>
              <w:tc>
                <w:tcPr>
                  <w:tcW w:w="439" w:type="pct"/>
                  <w:tcBorders>
                    <w:tl2br w:val="nil"/>
                    <w:tr2bl w:val="nil"/>
                  </w:tcBorders>
                  <w:shd w:val="clear" w:color="auto" w:fill="auto"/>
                  <w:vAlign w:val="center"/>
                </w:tcPr>
                <w:p w14:paraId="4E64999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412" w:type="pct"/>
                  <w:tcBorders>
                    <w:tl2br w:val="nil"/>
                    <w:tr2bl w:val="nil"/>
                  </w:tcBorders>
                  <w:shd w:val="clear" w:color="auto" w:fill="auto"/>
                  <w:vAlign w:val="center"/>
                </w:tcPr>
                <w:p w14:paraId="2C78C25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394" w:type="pct"/>
                  <w:tcBorders>
                    <w:tl2br w:val="nil"/>
                    <w:tr2bl w:val="nil"/>
                  </w:tcBorders>
                  <w:shd w:val="clear" w:color="auto" w:fill="auto"/>
                  <w:vAlign w:val="center"/>
                </w:tcPr>
                <w:p w14:paraId="24D64BC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439" w:type="pct"/>
                  <w:tcBorders>
                    <w:tl2br w:val="nil"/>
                    <w:tr2bl w:val="nil"/>
                  </w:tcBorders>
                  <w:shd w:val="clear" w:color="auto" w:fill="auto"/>
                  <w:vAlign w:val="center"/>
                </w:tcPr>
                <w:p w14:paraId="7C90647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447" w:type="pct"/>
                  <w:tcBorders>
                    <w:tl2br w:val="nil"/>
                    <w:tr2bl w:val="nil"/>
                  </w:tcBorders>
                  <w:shd w:val="clear" w:color="auto" w:fill="auto"/>
                  <w:vAlign w:val="center"/>
                </w:tcPr>
                <w:p w14:paraId="2F6E73B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480" w:type="pct"/>
                  <w:tcBorders>
                    <w:tl2br w:val="nil"/>
                    <w:tr2bl w:val="nil"/>
                  </w:tcBorders>
                  <w:shd w:val="clear" w:color="auto" w:fill="auto"/>
                  <w:vAlign w:val="center"/>
                </w:tcPr>
                <w:p w14:paraId="63926DD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396" w:type="pct"/>
                  <w:tcBorders>
                    <w:tl2br w:val="nil"/>
                    <w:tr2bl w:val="nil"/>
                  </w:tcBorders>
                  <w:shd w:val="clear" w:color="auto" w:fill="auto"/>
                  <w:vAlign w:val="center"/>
                </w:tcPr>
                <w:p w14:paraId="1BC59C6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mg/L</w:t>
                  </w:r>
                </w:p>
              </w:tc>
              <w:tc>
                <w:tcPr>
                  <w:tcW w:w="467" w:type="pct"/>
                  <w:tcBorders>
                    <w:tl2br w:val="nil"/>
                    <w:tr2bl w:val="nil"/>
                  </w:tcBorders>
                  <w:shd w:val="clear" w:color="auto" w:fill="auto"/>
                  <w:vAlign w:val="center"/>
                </w:tcPr>
                <w:p w14:paraId="4BCEBF3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eastAsia" w:eastAsia="仿宋" w:cs="Times New Roman"/>
                      <w:b/>
                      <w:bCs/>
                      <w:color w:val="auto"/>
                      <w:sz w:val="21"/>
                      <w:szCs w:val="21"/>
                      <w:highlight w:val="none"/>
                      <w:lang w:val="en-US" w:eastAsia="zh-CN"/>
                    </w:rPr>
                    <w:t>无量纲</w:t>
                  </w:r>
                </w:p>
              </w:tc>
              <w:tc>
                <w:tcPr>
                  <w:tcW w:w="344" w:type="pct"/>
                  <w:tcBorders>
                    <w:tl2br w:val="nil"/>
                    <w:tr2bl w:val="nil"/>
                  </w:tcBorders>
                  <w:shd w:val="clear" w:color="auto" w:fill="auto"/>
                  <w:vAlign w:val="center"/>
                </w:tcPr>
                <w:p w14:paraId="300BC4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m³/d</w:t>
                  </w:r>
                </w:p>
              </w:tc>
            </w:tr>
            <w:tr w14:paraId="40253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tcBorders>
                    <w:tl2br w:val="nil"/>
                    <w:tr2bl w:val="nil"/>
                  </w:tcBorders>
                  <w:shd w:val="clear" w:color="auto" w:fill="FFFFFF"/>
                  <w:vAlign w:val="center"/>
                </w:tcPr>
                <w:p w14:paraId="321C6B7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387" w:type="pct"/>
                  <w:tcBorders>
                    <w:tl2br w:val="nil"/>
                    <w:tr2bl w:val="nil"/>
                  </w:tcBorders>
                  <w:shd w:val="clear" w:color="auto" w:fill="FFFFFF"/>
                  <w:vAlign w:val="center"/>
                </w:tcPr>
                <w:p w14:paraId="571A993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综合废水</w:t>
                  </w:r>
                </w:p>
              </w:tc>
              <w:tc>
                <w:tcPr>
                  <w:tcW w:w="564" w:type="pct"/>
                  <w:tcBorders>
                    <w:tl2br w:val="nil"/>
                    <w:tr2bl w:val="nil"/>
                  </w:tcBorders>
                  <w:shd w:val="clear" w:color="auto" w:fill="FFFFFF"/>
                  <w:vAlign w:val="center"/>
                </w:tcPr>
                <w:p w14:paraId="300D5C2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原水</w:t>
                  </w:r>
                </w:p>
              </w:tc>
              <w:tc>
                <w:tcPr>
                  <w:tcW w:w="439" w:type="pct"/>
                  <w:tcBorders>
                    <w:tl2br w:val="nil"/>
                    <w:tr2bl w:val="nil"/>
                  </w:tcBorders>
                  <w:shd w:val="clear" w:color="auto" w:fill="FFFFFF"/>
                  <w:vAlign w:val="center"/>
                </w:tcPr>
                <w:p w14:paraId="6C438CE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471.08</w:t>
                  </w:r>
                </w:p>
              </w:tc>
              <w:tc>
                <w:tcPr>
                  <w:tcW w:w="412" w:type="pct"/>
                  <w:tcBorders>
                    <w:tl2br w:val="nil"/>
                    <w:tr2bl w:val="nil"/>
                  </w:tcBorders>
                  <w:shd w:val="clear" w:color="auto" w:fill="FFFFFF"/>
                  <w:vAlign w:val="center"/>
                </w:tcPr>
                <w:p w14:paraId="5B8C4AB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0.309</w:t>
                  </w:r>
                </w:p>
              </w:tc>
              <w:tc>
                <w:tcPr>
                  <w:tcW w:w="394" w:type="pct"/>
                  <w:tcBorders>
                    <w:tl2br w:val="nil"/>
                    <w:tr2bl w:val="nil"/>
                  </w:tcBorders>
                  <w:shd w:val="clear" w:color="auto" w:fill="FFFFFF"/>
                  <w:vAlign w:val="center"/>
                </w:tcPr>
                <w:p w14:paraId="5687421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0.663</w:t>
                  </w:r>
                </w:p>
              </w:tc>
              <w:tc>
                <w:tcPr>
                  <w:tcW w:w="439" w:type="pct"/>
                  <w:tcBorders>
                    <w:tl2br w:val="nil"/>
                    <w:tr2bl w:val="nil"/>
                  </w:tcBorders>
                  <w:shd w:val="clear" w:color="auto" w:fill="FFFFFF"/>
                  <w:vAlign w:val="center"/>
                </w:tcPr>
                <w:p w14:paraId="0BE1C21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0.0287</w:t>
                  </w:r>
                </w:p>
              </w:tc>
              <w:tc>
                <w:tcPr>
                  <w:tcW w:w="447" w:type="pct"/>
                  <w:tcBorders>
                    <w:tl2br w:val="nil"/>
                    <w:tr2bl w:val="nil"/>
                  </w:tcBorders>
                  <w:shd w:val="clear" w:color="auto" w:fill="FFFFFF"/>
                  <w:vAlign w:val="center"/>
                </w:tcPr>
                <w:p w14:paraId="7852889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315.8</w:t>
                  </w:r>
                </w:p>
              </w:tc>
              <w:tc>
                <w:tcPr>
                  <w:tcW w:w="480" w:type="pct"/>
                  <w:tcBorders>
                    <w:tl2br w:val="nil"/>
                    <w:tr2bl w:val="nil"/>
                  </w:tcBorders>
                  <w:shd w:val="clear" w:color="auto" w:fill="FFFFFF"/>
                  <w:vAlign w:val="center"/>
                </w:tcPr>
                <w:p w14:paraId="043C256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24.47</w:t>
                  </w:r>
                </w:p>
              </w:tc>
              <w:tc>
                <w:tcPr>
                  <w:tcW w:w="396" w:type="pct"/>
                  <w:tcBorders>
                    <w:tl2br w:val="nil"/>
                    <w:tr2bl w:val="nil"/>
                  </w:tcBorders>
                  <w:shd w:val="clear" w:color="auto" w:fill="FFFFFF"/>
                  <w:vAlign w:val="center"/>
                </w:tcPr>
                <w:p w14:paraId="55D611C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12.28</w:t>
                  </w:r>
                </w:p>
              </w:tc>
              <w:tc>
                <w:tcPr>
                  <w:tcW w:w="467" w:type="pct"/>
                  <w:tcBorders>
                    <w:tl2br w:val="nil"/>
                    <w:tr2bl w:val="nil"/>
                  </w:tcBorders>
                  <w:vAlign w:val="center"/>
                </w:tcPr>
                <w:p w14:paraId="08365EC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4-10.5</w:t>
                  </w:r>
                </w:p>
              </w:tc>
              <w:tc>
                <w:tcPr>
                  <w:tcW w:w="344" w:type="pct"/>
                  <w:tcBorders>
                    <w:tl2br w:val="nil"/>
                    <w:tr2bl w:val="nil"/>
                  </w:tcBorders>
                  <w:vAlign w:val="center"/>
                </w:tcPr>
                <w:p w14:paraId="5976B91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60</w:t>
                  </w:r>
                </w:p>
              </w:tc>
            </w:tr>
            <w:tr w14:paraId="75DE2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FFFFFF"/>
                  <w:vAlign w:val="center"/>
                </w:tcPr>
                <w:p w14:paraId="257E8ED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387" w:type="pct"/>
                  <w:vMerge w:val="restart"/>
                  <w:tcBorders>
                    <w:tl2br w:val="nil"/>
                    <w:tr2bl w:val="nil"/>
                  </w:tcBorders>
                  <w:shd w:val="clear" w:color="auto" w:fill="FFFFFF"/>
                  <w:vAlign w:val="center"/>
                </w:tcPr>
                <w:p w14:paraId="02093B9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一级反应沉淀</w:t>
                  </w:r>
                </w:p>
              </w:tc>
              <w:tc>
                <w:tcPr>
                  <w:tcW w:w="564" w:type="pct"/>
                  <w:tcBorders>
                    <w:tl2br w:val="nil"/>
                    <w:tr2bl w:val="nil"/>
                  </w:tcBorders>
                  <w:shd w:val="clear" w:color="auto" w:fill="FFFFFF"/>
                  <w:vAlign w:val="center"/>
                </w:tcPr>
                <w:p w14:paraId="799FCF6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进水</w:t>
                  </w:r>
                </w:p>
              </w:tc>
              <w:tc>
                <w:tcPr>
                  <w:tcW w:w="439" w:type="pct"/>
                  <w:tcBorders>
                    <w:tl2br w:val="nil"/>
                    <w:tr2bl w:val="nil"/>
                  </w:tcBorders>
                  <w:shd w:val="clear" w:color="auto" w:fill="FFFFFF"/>
                  <w:vAlign w:val="center"/>
                </w:tcPr>
                <w:p w14:paraId="2663CD6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471.08</w:t>
                  </w:r>
                </w:p>
              </w:tc>
              <w:tc>
                <w:tcPr>
                  <w:tcW w:w="412" w:type="pct"/>
                  <w:tcBorders>
                    <w:tl2br w:val="nil"/>
                    <w:tr2bl w:val="nil"/>
                  </w:tcBorders>
                  <w:shd w:val="clear" w:color="auto" w:fill="FFFFFF"/>
                  <w:vAlign w:val="center"/>
                </w:tcPr>
                <w:p w14:paraId="58F06BD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0.309</w:t>
                  </w:r>
                </w:p>
              </w:tc>
              <w:tc>
                <w:tcPr>
                  <w:tcW w:w="394" w:type="pct"/>
                  <w:tcBorders>
                    <w:tl2br w:val="nil"/>
                    <w:tr2bl w:val="nil"/>
                  </w:tcBorders>
                  <w:shd w:val="clear" w:color="auto" w:fill="FFFFFF"/>
                  <w:vAlign w:val="center"/>
                </w:tcPr>
                <w:p w14:paraId="14358A1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0.663</w:t>
                  </w:r>
                </w:p>
              </w:tc>
              <w:tc>
                <w:tcPr>
                  <w:tcW w:w="439" w:type="pct"/>
                  <w:tcBorders>
                    <w:tl2br w:val="nil"/>
                    <w:tr2bl w:val="nil"/>
                  </w:tcBorders>
                  <w:shd w:val="clear" w:color="auto" w:fill="FFFFFF"/>
                  <w:vAlign w:val="center"/>
                </w:tcPr>
                <w:p w14:paraId="08D874A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0.0287</w:t>
                  </w:r>
                </w:p>
              </w:tc>
              <w:tc>
                <w:tcPr>
                  <w:tcW w:w="447" w:type="pct"/>
                  <w:tcBorders>
                    <w:tl2br w:val="nil"/>
                    <w:tr2bl w:val="nil"/>
                  </w:tcBorders>
                  <w:shd w:val="clear" w:color="auto" w:fill="FFFFFF"/>
                  <w:vAlign w:val="center"/>
                </w:tcPr>
                <w:p w14:paraId="7D04FAC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315.8</w:t>
                  </w:r>
                </w:p>
              </w:tc>
              <w:tc>
                <w:tcPr>
                  <w:tcW w:w="480" w:type="pct"/>
                  <w:tcBorders>
                    <w:tl2br w:val="nil"/>
                    <w:tr2bl w:val="nil"/>
                  </w:tcBorders>
                  <w:shd w:val="clear" w:color="auto" w:fill="FFFFFF"/>
                  <w:vAlign w:val="center"/>
                </w:tcPr>
                <w:p w14:paraId="6EE357A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24.47</w:t>
                  </w:r>
                </w:p>
              </w:tc>
              <w:tc>
                <w:tcPr>
                  <w:tcW w:w="396" w:type="pct"/>
                  <w:tcBorders>
                    <w:tl2br w:val="nil"/>
                    <w:tr2bl w:val="nil"/>
                  </w:tcBorders>
                  <w:shd w:val="clear" w:color="auto" w:fill="FFFFFF"/>
                  <w:vAlign w:val="center"/>
                </w:tcPr>
                <w:p w14:paraId="34770C5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12.28</w:t>
                  </w:r>
                </w:p>
              </w:tc>
              <w:tc>
                <w:tcPr>
                  <w:tcW w:w="467" w:type="pct"/>
                  <w:tcBorders>
                    <w:tl2br w:val="nil"/>
                    <w:tr2bl w:val="nil"/>
                  </w:tcBorders>
                  <w:vAlign w:val="center"/>
                </w:tcPr>
                <w:p w14:paraId="47F9D47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44" w:type="pct"/>
                  <w:vMerge w:val="restart"/>
                  <w:tcBorders>
                    <w:tl2br w:val="nil"/>
                    <w:tr2bl w:val="nil"/>
                  </w:tcBorders>
                  <w:vAlign w:val="center"/>
                </w:tcPr>
                <w:p w14:paraId="368F833B">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r>
            <w:tr w14:paraId="55546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629356C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0F2C7AB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FFFFFF"/>
                  <w:vAlign w:val="center"/>
                </w:tcPr>
                <w:p w14:paraId="2B5A34A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出水</w:t>
                  </w:r>
                </w:p>
              </w:tc>
              <w:tc>
                <w:tcPr>
                  <w:tcW w:w="439" w:type="pct"/>
                  <w:tcBorders>
                    <w:tl2br w:val="nil"/>
                    <w:tr2bl w:val="nil"/>
                  </w:tcBorders>
                  <w:shd w:val="clear" w:color="auto" w:fill="FFFFFF"/>
                  <w:vAlign w:val="center"/>
                </w:tcPr>
                <w:p w14:paraId="10BBB31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353.31</w:t>
                  </w:r>
                </w:p>
              </w:tc>
              <w:tc>
                <w:tcPr>
                  <w:tcW w:w="412" w:type="pct"/>
                  <w:tcBorders>
                    <w:tl2br w:val="nil"/>
                    <w:tr2bl w:val="nil"/>
                  </w:tcBorders>
                  <w:shd w:val="clear" w:color="auto" w:fill="FFFFFF"/>
                  <w:vAlign w:val="center"/>
                </w:tcPr>
                <w:p w14:paraId="0F9B093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0.278</w:t>
                  </w:r>
                </w:p>
              </w:tc>
              <w:tc>
                <w:tcPr>
                  <w:tcW w:w="394" w:type="pct"/>
                  <w:tcBorders>
                    <w:tl2br w:val="nil"/>
                    <w:tr2bl w:val="nil"/>
                  </w:tcBorders>
                  <w:shd w:val="clear" w:color="auto" w:fill="FFFFFF"/>
                  <w:vAlign w:val="center"/>
                </w:tcPr>
                <w:p w14:paraId="508CDF4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0.597</w:t>
                  </w:r>
                </w:p>
              </w:tc>
              <w:tc>
                <w:tcPr>
                  <w:tcW w:w="439" w:type="pct"/>
                  <w:tcBorders>
                    <w:tl2br w:val="nil"/>
                    <w:tr2bl w:val="nil"/>
                  </w:tcBorders>
                  <w:shd w:val="clear" w:color="auto" w:fill="FFFFFF"/>
                  <w:vAlign w:val="center"/>
                </w:tcPr>
                <w:p w14:paraId="74CB23A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0.0258</w:t>
                  </w:r>
                </w:p>
              </w:tc>
              <w:tc>
                <w:tcPr>
                  <w:tcW w:w="447" w:type="pct"/>
                  <w:tcBorders>
                    <w:tl2br w:val="nil"/>
                    <w:tr2bl w:val="nil"/>
                  </w:tcBorders>
                  <w:shd w:val="clear" w:color="auto" w:fill="FFFFFF"/>
                  <w:vAlign w:val="center"/>
                </w:tcPr>
                <w:p w14:paraId="04DB30D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221.06</w:t>
                  </w:r>
                </w:p>
              </w:tc>
              <w:tc>
                <w:tcPr>
                  <w:tcW w:w="480" w:type="pct"/>
                  <w:tcBorders>
                    <w:tl2br w:val="nil"/>
                    <w:tr2bl w:val="nil"/>
                  </w:tcBorders>
                  <w:shd w:val="clear" w:color="auto" w:fill="FFFFFF"/>
                  <w:vAlign w:val="center"/>
                </w:tcPr>
                <w:p w14:paraId="758D353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17.13</w:t>
                  </w:r>
                </w:p>
              </w:tc>
              <w:tc>
                <w:tcPr>
                  <w:tcW w:w="396" w:type="pct"/>
                  <w:tcBorders>
                    <w:tl2br w:val="nil"/>
                    <w:tr2bl w:val="nil"/>
                  </w:tcBorders>
                  <w:shd w:val="clear" w:color="auto" w:fill="FFFFFF"/>
                  <w:vAlign w:val="center"/>
                </w:tcPr>
                <w:p w14:paraId="326EAE6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11.05</w:t>
                  </w:r>
                </w:p>
              </w:tc>
              <w:tc>
                <w:tcPr>
                  <w:tcW w:w="467" w:type="pct"/>
                  <w:tcBorders>
                    <w:tl2br w:val="nil"/>
                    <w:tr2bl w:val="nil"/>
                  </w:tcBorders>
                  <w:vAlign w:val="center"/>
                </w:tcPr>
                <w:p w14:paraId="137FDAE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7.8-8.6</w:t>
                  </w:r>
                </w:p>
              </w:tc>
              <w:tc>
                <w:tcPr>
                  <w:tcW w:w="344" w:type="pct"/>
                  <w:vMerge w:val="continue"/>
                  <w:tcBorders>
                    <w:tl2br w:val="nil"/>
                    <w:tr2bl w:val="nil"/>
                  </w:tcBorders>
                  <w:vAlign w:val="center"/>
                </w:tcPr>
                <w:p w14:paraId="7CB1A3E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56028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0AA2768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17E8634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FFFFFF"/>
                  <w:vAlign w:val="center"/>
                </w:tcPr>
                <w:p w14:paraId="2D2493B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shd w:val="clear" w:color="auto" w:fill="FFFFFF"/>
                  <w:vAlign w:val="center"/>
                </w:tcPr>
                <w:p w14:paraId="189438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25</w:t>
                  </w:r>
                </w:p>
              </w:tc>
              <w:tc>
                <w:tcPr>
                  <w:tcW w:w="412" w:type="pct"/>
                  <w:tcBorders>
                    <w:tl2br w:val="nil"/>
                    <w:tr2bl w:val="nil"/>
                  </w:tcBorders>
                  <w:shd w:val="clear" w:color="auto" w:fill="FFFFFF"/>
                  <w:vAlign w:val="center"/>
                </w:tcPr>
                <w:p w14:paraId="4DF717D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4" w:type="pct"/>
                  <w:tcBorders>
                    <w:tl2br w:val="nil"/>
                    <w:tr2bl w:val="nil"/>
                  </w:tcBorders>
                  <w:shd w:val="clear" w:color="auto" w:fill="FFFFFF"/>
                  <w:vAlign w:val="center"/>
                </w:tcPr>
                <w:p w14:paraId="6A59336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39" w:type="pct"/>
                  <w:tcBorders>
                    <w:tl2br w:val="nil"/>
                    <w:tr2bl w:val="nil"/>
                  </w:tcBorders>
                  <w:shd w:val="clear" w:color="auto" w:fill="FFFFFF"/>
                  <w:vAlign w:val="center"/>
                </w:tcPr>
                <w:p w14:paraId="0435BC4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shd w:val="clear" w:color="auto" w:fill="FFFFFF"/>
                  <w:vAlign w:val="center"/>
                </w:tcPr>
                <w:p w14:paraId="5DB0F47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80" w:type="pct"/>
                  <w:tcBorders>
                    <w:tl2br w:val="nil"/>
                    <w:tr2bl w:val="nil"/>
                  </w:tcBorders>
                  <w:shd w:val="clear" w:color="auto" w:fill="FFFFFF"/>
                  <w:vAlign w:val="center"/>
                </w:tcPr>
                <w:p w14:paraId="6757367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396" w:type="pct"/>
                  <w:tcBorders>
                    <w:tl2br w:val="nil"/>
                    <w:tr2bl w:val="nil"/>
                  </w:tcBorders>
                  <w:shd w:val="clear" w:color="auto" w:fill="FFFFFF"/>
                  <w:vAlign w:val="center"/>
                </w:tcPr>
                <w:p w14:paraId="1102F18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vAlign w:val="center"/>
                </w:tcPr>
                <w:p w14:paraId="2E08F2D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34F1393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3EFD5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FFFFFF"/>
                  <w:vAlign w:val="center"/>
                </w:tcPr>
                <w:p w14:paraId="62879FC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387" w:type="pct"/>
                  <w:vMerge w:val="restart"/>
                  <w:tcBorders>
                    <w:tl2br w:val="nil"/>
                    <w:tr2bl w:val="nil"/>
                  </w:tcBorders>
                  <w:shd w:val="clear" w:color="auto" w:fill="FFFFFF"/>
                  <w:vAlign w:val="center"/>
                </w:tcPr>
                <w:p w14:paraId="3C98403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厌氧池</w:t>
                  </w:r>
                </w:p>
              </w:tc>
              <w:tc>
                <w:tcPr>
                  <w:tcW w:w="564" w:type="pct"/>
                  <w:tcBorders>
                    <w:tl2br w:val="nil"/>
                    <w:tr2bl w:val="nil"/>
                  </w:tcBorders>
                  <w:shd w:val="clear" w:color="auto" w:fill="FFFFFF"/>
                  <w:vAlign w:val="center"/>
                </w:tcPr>
                <w:p w14:paraId="086C2F5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进水</w:t>
                  </w:r>
                </w:p>
              </w:tc>
              <w:tc>
                <w:tcPr>
                  <w:tcW w:w="439" w:type="pct"/>
                  <w:tcBorders>
                    <w:tl2br w:val="nil"/>
                    <w:tr2bl w:val="nil"/>
                  </w:tcBorders>
                  <w:shd w:val="clear" w:color="auto" w:fill="FFFFFF"/>
                  <w:vAlign w:val="center"/>
                </w:tcPr>
                <w:p w14:paraId="6EB1FCE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353.31</w:t>
                  </w:r>
                </w:p>
              </w:tc>
              <w:tc>
                <w:tcPr>
                  <w:tcW w:w="412" w:type="pct"/>
                  <w:tcBorders>
                    <w:tl2br w:val="nil"/>
                    <w:tr2bl w:val="nil"/>
                  </w:tcBorders>
                  <w:shd w:val="clear" w:color="auto" w:fill="FFFFFF"/>
                  <w:vAlign w:val="center"/>
                </w:tcPr>
                <w:p w14:paraId="38AD3B4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0.278</w:t>
                  </w:r>
                </w:p>
              </w:tc>
              <w:tc>
                <w:tcPr>
                  <w:tcW w:w="394" w:type="pct"/>
                  <w:tcBorders>
                    <w:tl2br w:val="nil"/>
                    <w:tr2bl w:val="nil"/>
                  </w:tcBorders>
                  <w:shd w:val="clear" w:color="auto" w:fill="FFFFFF"/>
                  <w:vAlign w:val="center"/>
                </w:tcPr>
                <w:p w14:paraId="75C000D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0.597</w:t>
                  </w:r>
                </w:p>
              </w:tc>
              <w:tc>
                <w:tcPr>
                  <w:tcW w:w="439" w:type="pct"/>
                  <w:tcBorders>
                    <w:tl2br w:val="nil"/>
                    <w:tr2bl w:val="nil"/>
                  </w:tcBorders>
                  <w:shd w:val="clear" w:color="auto" w:fill="FFFFFF"/>
                  <w:vAlign w:val="center"/>
                </w:tcPr>
                <w:p w14:paraId="5EF73EC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0.026</w:t>
                  </w:r>
                </w:p>
              </w:tc>
              <w:tc>
                <w:tcPr>
                  <w:tcW w:w="447" w:type="pct"/>
                  <w:tcBorders>
                    <w:tl2br w:val="nil"/>
                    <w:tr2bl w:val="nil"/>
                  </w:tcBorders>
                  <w:shd w:val="clear" w:color="auto" w:fill="FFFFFF"/>
                  <w:vAlign w:val="center"/>
                </w:tcPr>
                <w:p w14:paraId="272B448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221.06</w:t>
                  </w:r>
                </w:p>
              </w:tc>
              <w:tc>
                <w:tcPr>
                  <w:tcW w:w="480" w:type="pct"/>
                  <w:tcBorders>
                    <w:tl2br w:val="nil"/>
                    <w:tr2bl w:val="nil"/>
                  </w:tcBorders>
                  <w:shd w:val="clear" w:color="auto" w:fill="FFFFFF"/>
                  <w:vAlign w:val="center"/>
                </w:tcPr>
                <w:p w14:paraId="2077A9D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17.13</w:t>
                  </w:r>
                </w:p>
              </w:tc>
              <w:tc>
                <w:tcPr>
                  <w:tcW w:w="396" w:type="pct"/>
                  <w:tcBorders>
                    <w:tl2br w:val="nil"/>
                    <w:tr2bl w:val="nil"/>
                  </w:tcBorders>
                  <w:shd w:val="clear" w:color="auto" w:fill="FFFFFF"/>
                  <w:vAlign w:val="center"/>
                </w:tcPr>
                <w:p w14:paraId="2BD3347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11.05</w:t>
                  </w:r>
                </w:p>
              </w:tc>
              <w:tc>
                <w:tcPr>
                  <w:tcW w:w="467" w:type="pct"/>
                  <w:tcBorders>
                    <w:tl2br w:val="nil"/>
                    <w:tr2bl w:val="nil"/>
                  </w:tcBorders>
                  <w:vAlign w:val="center"/>
                </w:tcPr>
                <w:p w14:paraId="18D901E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7.8-8.6</w:t>
                  </w:r>
                </w:p>
              </w:tc>
              <w:tc>
                <w:tcPr>
                  <w:tcW w:w="344" w:type="pct"/>
                  <w:vMerge w:val="restart"/>
                  <w:tcBorders>
                    <w:tl2br w:val="nil"/>
                    <w:tr2bl w:val="nil"/>
                  </w:tcBorders>
                  <w:vAlign w:val="center"/>
                </w:tcPr>
                <w:p w14:paraId="3EE26DC0">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r>
            <w:tr w14:paraId="7B33E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14A009D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654D626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FFFFFF"/>
                  <w:vAlign w:val="center"/>
                </w:tcPr>
                <w:p w14:paraId="66956A5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出水</w:t>
                  </w:r>
                </w:p>
              </w:tc>
              <w:tc>
                <w:tcPr>
                  <w:tcW w:w="439" w:type="pct"/>
                  <w:tcBorders>
                    <w:tl2br w:val="nil"/>
                    <w:tr2bl w:val="nil"/>
                  </w:tcBorders>
                  <w:shd w:val="clear" w:color="auto" w:fill="FFFFFF"/>
                  <w:vAlign w:val="center"/>
                </w:tcPr>
                <w:p w14:paraId="7B01959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318</w:t>
                  </w:r>
                </w:p>
              </w:tc>
              <w:tc>
                <w:tcPr>
                  <w:tcW w:w="412" w:type="pct"/>
                  <w:tcBorders>
                    <w:tl2br w:val="nil"/>
                    <w:tr2bl w:val="nil"/>
                  </w:tcBorders>
                  <w:shd w:val="clear" w:color="auto" w:fill="FFFFFF"/>
                  <w:vAlign w:val="center"/>
                </w:tcPr>
                <w:p w14:paraId="3153871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394" w:type="pct"/>
                  <w:tcBorders>
                    <w:tl2br w:val="nil"/>
                    <w:tr2bl w:val="nil"/>
                  </w:tcBorders>
                  <w:shd w:val="clear" w:color="auto" w:fill="FFFFFF"/>
                  <w:vAlign w:val="center"/>
                </w:tcPr>
                <w:p w14:paraId="63A02CE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0.448</w:t>
                  </w:r>
                </w:p>
              </w:tc>
              <w:tc>
                <w:tcPr>
                  <w:tcW w:w="439" w:type="pct"/>
                  <w:tcBorders>
                    <w:tl2br w:val="nil"/>
                    <w:tr2bl w:val="nil"/>
                  </w:tcBorders>
                  <w:shd w:val="clear" w:color="auto" w:fill="FFFFFF"/>
                  <w:vAlign w:val="center"/>
                </w:tcPr>
                <w:p w14:paraId="6B80F57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0.0232</w:t>
                  </w:r>
                </w:p>
              </w:tc>
              <w:tc>
                <w:tcPr>
                  <w:tcW w:w="447" w:type="pct"/>
                  <w:tcBorders>
                    <w:tl2br w:val="nil"/>
                    <w:tr2bl w:val="nil"/>
                  </w:tcBorders>
                  <w:shd w:val="clear" w:color="auto" w:fill="FFFFFF"/>
                  <w:vAlign w:val="center"/>
                </w:tcPr>
                <w:p w14:paraId="180524C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198.95</w:t>
                  </w:r>
                </w:p>
              </w:tc>
              <w:tc>
                <w:tcPr>
                  <w:tcW w:w="480" w:type="pct"/>
                  <w:tcBorders>
                    <w:tl2br w:val="nil"/>
                    <w:tr2bl w:val="nil"/>
                  </w:tcBorders>
                  <w:shd w:val="clear" w:color="auto" w:fill="FFFFFF"/>
                  <w:vAlign w:val="center"/>
                </w:tcPr>
                <w:p w14:paraId="2253646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15.42</w:t>
                  </w:r>
                </w:p>
              </w:tc>
              <w:tc>
                <w:tcPr>
                  <w:tcW w:w="396" w:type="pct"/>
                  <w:tcBorders>
                    <w:tl2br w:val="nil"/>
                    <w:tr2bl w:val="nil"/>
                  </w:tcBorders>
                  <w:shd w:val="clear" w:color="auto" w:fill="FFFFFF"/>
                  <w:vAlign w:val="center"/>
                </w:tcPr>
                <w:p w14:paraId="4235A47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10.5</w:t>
                  </w:r>
                </w:p>
              </w:tc>
              <w:tc>
                <w:tcPr>
                  <w:tcW w:w="467" w:type="pct"/>
                  <w:tcBorders>
                    <w:tl2br w:val="nil"/>
                    <w:tr2bl w:val="nil"/>
                  </w:tcBorders>
                  <w:shd w:val="clear" w:color="auto" w:fill="auto"/>
                  <w:vAlign w:val="center"/>
                </w:tcPr>
                <w:p w14:paraId="206AC65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45EB1AF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2219A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43BF7F3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21BDDEC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FFFFFF"/>
                  <w:vAlign w:val="center"/>
                </w:tcPr>
                <w:p w14:paraId="14DA33A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shd w:val="clear" w:color="auto" w:fill="FFFFFF"/>
                  <w:vAlign w:val="center"/>
                </w:tcPr>
                <w:p w14:paraId="107AFAD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12" w:type="pct"/>
                  <w:tcBorders>
                    <w:tl2br w:val="nil"/>
                    <w:tr2bl w:val="nil"/>
                  </w:tcBorders>
                  <w:shd w:val="clear" w:color="auto" w:fill="FFFFFF"/>
                  <w:vAlign w:val="center"/>
                </w:tcPr>
                <w:p w14:paraId="4CDF73A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4" w:type="pct"/>
                  <w:tcBorders>
                    <w:tl2br w:val="nil"/>
                    <w:tr2bl w:val="nil"/>
                  </w:tcBorders>
                  <w:shd w:val="clear" w:color="auto" w:fill="FFFFFF"/>
                  <w:vAlign w:val="center"/>
                </w:tcPr>
                <w:p w14:paraId="2DA8907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25</w:t>
                  </w:r>
                </w:p>
              </w:tc>
              <w:tc>
                <w:tcPr>
                  <w:tcW w:w="439" w:type="pct"/>
                  <w:tcBorders>
                    <w:tl2br w:val="nil"/>
                    <w:tr2bl w:val="nil"/>
                  </w:tcBorders>
                  <w:shd w:val="clear" w:color="auto" w:fill="FFFFFF"/>
                  <w:vAlign w:val="center"/>
                </w:tcPr>
                <w:p w14:paraId="5D20CF9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shd w:val="clear" w:color="auto" w:fill="FFFFFF"/>
                  <w:vAlign w:val="center"/>
                </w:tcPr>
                <w:p w14:paraId="602E4ED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80" w:type="pct"/>
                  <w:tcBorders>
                    <w:tl2br w:val="nil"/>
                    <w:tr2bl w:val="nil"/>
                  </w:tcBorders>
                  <w:shd w:val="clear" w:color="auto" w:fill="FFFFFF"/>
                  <w:vAlign w:val="center"/>
                </w:tcPr>
                <w:p w14:paraId="315640D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6" w:type="pct"/>
                  <w:tcBorders>
                    <w:tl2br w:val="nil"/>
                    <w:tr2bl w:val="nil"/>
                  </w:tcBorders>
                  <w:shd w:val="clear" w:color="auto" w:fill="FFFFFF"/>
                  <w:vAlign w:val="center"/>
                </w:tcPr>
                <w:p w14:paraId="261E7D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5</w:t>
                  </w:r>
                </w:p>
              </w:tc>
              <w:tc>
                <w:tcPr>
                  <w:tcW w:w="467" w:type="pct"/>
                  <w:tcBorders>
                    <w:tl2br w:val="nil"/>
                    <w:tr2bl w:val="nil"/>
                  </w:tcBorders>
                  <w:shd w:val="clear" w:color="auto" w:fill="auto"/>
                  <w:vAlign w:val="center"/>
                </w:tcPr>
                <w:p w14:paraId="21DE7FA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5D54422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69B89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auto"/>
                  <w:vAlign w:val="center"/>
                </w:tcPr>
                <w:p w14:paraId="1D12DF7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387" w:type="pct"/>
                  <w:vMerge w:val="restart"/>
                  <w:tcBorders>
                    <w:tl2br w:val="nil"/>
                    <w:tr2bl w:val="nil"/>
                  </w:tcBorders>
                  <w:shd w:val="clear" w:color="auto" w:fill="auto"/>
                  <w:vAlign w:val="center"/>
                </w:tcPr>
                <w:p w14:paraId="0169E38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好氧池</w:t>
                  </w:r>
                </w:p>
              </w:tc>
              <w:tc>
                <w:tcPr>
                  <w:tcW w:w="564" w:type="pct"/>
                  <w:tcBorders>
                    <w:tl2br w:val="nil"/>
                    <w:tr2bl w:val="nil"/>
                  </w:tcBorders>
                  <w:shd w:val="clear" w:color="auto" w:fill="auto"/>
                  <w:vAlign w:val="center"/>
                </w:tcPr>
                <w:p w14:paraId="1EC2400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进水</w:t>
                  </w:r>
                </w:p>
              </w:tc>
              <w:tc>
                <w:tcPr>
                  <w:tcW w:w="439" w:type="pct"/>
                  <w:tcBorders>
                    <w:tl2br w:val="nil"/>
                    <w:tr2bl w:val="nil"/>
                  </w:tcBorders>
                  <w:shd w:val="clear" w:color="auto" w:fill="auto"/>
                  <w:vAlign w:val="center"/>
                </w:tcPr>
                <w:p w14:paraId="1FD4529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317.98</w:t>
                  </w:r>
                </w:p>
              </w:tc>
              <w:tc>
                <w:tcPr>
                  <w:tcW w:w="412" w:type="pct"/>
                  <w:tcBorders>
                    <w:tl2br w:val="nil"/>
                    <w:tr2bl w:val="nil"/>
                  </w:tcBorders>
                  <w:shd w:val="clear" w:color="auto" w:fill="auto"/>
                  <w:vAlign w:val="center"/>
                </w:tcPr>
                <w:p w14:paraId="13E44FC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394" w:type="pct"/>
                  <w:tcBorders>
                    <w:tl2br w:val="nil"/>
                    <w:tr2bl w:val="nil"/>
                  </w:tcBorders>
                  <w:shd w:val="clear" w:color="auto" w:fill="auto"/>
                  <w:vAlign w:val="center"/>
                </w:tcPr>
                <w:p w14:paraId="12A45E0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0.448</w:t>
                  </w:r>
                </w:p>
              </w:tc>
              <w:tc>
                <w:tcPr>
                  <w:tcW w:w="439" w:type="pct"/>
                  <w:tcBorders>
                    <w:tl2br w:val="nil"/>
                    <w:tr2bl w:val="nil"/>
                  </w:tcBorders>
                  <w:shd w:val="clear" w:color="auto" w:fill="auto"/>
                  <w:vAlign w:val="center"/>
                </w:tcPr>
                <w:p w14:paraId="171EE67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0.0232</w:t>
                  </w:r>
                </w:p>
              </w:tc>
              <w:tc>
                <w:tcPr>
                  <w:tcW w:w="447" w:type="pct"/>
                  <w:tcBorders>
                    <w:tl2br w:val="nil"/>
                    <w:tr2bl w:val="nil"/>
                  </w:tcBorders>
                  <w:shd w:val="clear" w:color="auto" w:fill="FFFFFF"/>
                  <w:vAlign w:val="center"/>
                </w:tcPr>
                <w:p w14:paraId="6D21224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198.95</w:t>
                  </w:r>
                </w:p>
              </w:tc>
              <w:tc>
                <w:tcPr>
                  <w:tcW w:w="480" w:type="pct"/>
                  <w:tcBorders>
                    <w:tl2br w:val="nil"/>
                    <w:tr2bl w:val="nil"/>
                  </w:tcBorders>
                  <w:shd w:val="clear" w:color="auto" w:fill="FFFFFF"/>
                  <w:vAlign w:val="center"/>
                </w:tcPr>
                <w:p w14:paraId="53E60DF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15.42</w:t>
                  </w:r>
                </w:p>
              </w:tc>
              <w:tc>
                <w:tcPr>
                  <w:tcW w:w="396" w:type="pct"/>
                  <w:tcBorders>
                    <w:tl2br w:val="nil"/>
                    <w:tr2bl w:val="nil"/>
                  </w:tcBorders>
                  <w:shd w:val="clear" w:color="auto" w:fill="FFFFFF"/>
                  <w:vAlign w:val="center"/>
                </w:tcPr>
                <w:p w14:paraId="566B034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10.50</w:t>
                  </w:r>
                </w:p>
              </w:tc>
              <w:tc>
                <w:tcPr>
                  <w:tcW w:w="467" w:type="pct"/>
                  <w:tcBorders>
                    <w:tl2br w:val="nil"/>
                    <w:tr2bl w:val="nil"/>
                  </w:tcBorders>
                  <w:vAlign w:val="center"/>
                </w:tcPr>
                <w:p w14:paraId="7458F97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7.8-8.6</w:t>
                  </w:r>
                </w:p>
              </w:tc>
              <w:tc>
                <w:tcPr>
                  <w:tcW w:w="344" w:type="pct"/>
                  <w:vMerge w:val="restart"/>
                  <w:tcBorders>
                    <w:tl2br w:val="nil"/>
                    <w:tr2bl w:val="nil"/>
                  </w:tcBorders>
                  <w:vAlign w:val="center"/>
                </w:tcPr>
                <w:p w14:paraId="0809430E">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r>
            <w:tr w14:paraId="5152F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73E12C1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44EFDF2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7E8CAAD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出水</w:t>
                  </w:r>
                </w:p>
              </w:tc>
              <w:tc>
                <w:tcPr>
                  <w:tcW w:w="439" w:type="pct"/>
                  <w:tcBorders>
                    <w:tl2br w:val="nil"/>
                    <w:tr2bl w:val="nil"/>
                  </w:tcBorders>
                  <w:shd w:val="clear" w:color="auto" w:fill="auto"/>
                  <w:vAlign w:val="center"/>
                </w:tcPr>
                <w:p w14:paraId="7D4F122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158.99</w:t>
                  </w:r>
                </w:p>
              </w:tc>
              <w:tc>
                <w:tcPr>
                  <w:tcW w:w="412" w:type="pct"/>
                  <w:tcBorders>
                    <w:tl2br w:val="nil"/>
                    <w:tr2bl w:val="nil"/>
                  </w:tcBorders>
                  <w:shd w:val="clear" w:color="auto" w:fill="auto"/>
                  <w:vAlign w:val="center"/>
                </w:tcPr>
                <w:p w14:paraId="0CF4028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w:t>
                  </w:r>
                </w:p>
              </w:tc>
              <w:tc>
                <w:tcPr>
                  <w:tcW w:w="394" w:type="pct"/>
                  <w:tcBorders>
                    <w:tl2br w:val="nil"/>
                    <w:tr2bl w:val="nil"/>
                  </w:tcBorders>
                  <w:shd w:val="clear" w:color="auto" w:fill="auto"/>
                  <w:vAlign w:val="center"/>
                </w:tcPr>
                <w:p w14:paraId="6AD8A9A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0.314</w:t>
                  </w:r>
                </w:p>
              </w:tc>
              <w:tc>
                <w:tcPr>
                  <w:tcW w:w="439" w:type="pct"/>
                  <w:tcBorders>
                    <w:tl2br w:val="nil"/>
                    <w:tr2bl w:val="nil"/>
                  </w:tcBorders>
                  <w:shd w:val="clear" w:color="auto" w:fill="auto"/>
                  <w:vAlign w:val="center"/>
                </w:tcPr>
                <w:p w14:paraId="70783BB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447" w:type="pct"/>
                  <w:tcBorders>
                    <w:tl2br w:val="nil"/>
                    <w:tr2bl w:val="nil"/>
                  </w:tcBorders>
                  <w:shd w:val="clear" w:color="auto" w:fill="auto"/>
                  <w:vAlign w:val="center"/>
                </w:tcPr>
                <w:p w14:paraId="0D1427F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179.06</w:t>
                  </w:r>
                </w:p>
              </w:tc>
              <w:tc>
                <w:tcPr>
                  <w:tcW w:w="480" w:type="pct"/>
                  <w:tcBorders>
                    <w:tl2br w:val="nil"/>
                    <w:tr2bl w:val="nil"/>
                  </w:tcBorders>
                  <w:shd w:val="clear" w:color="auto" w:fill="auto"/>
                  <w:vAlign w:val="center"/>
                </w:tcPr>
                <w:p w14:paraId="77B09B1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12.34</w:t>
                  </w:r>
                </w:p>
              </w:tc>
              <w:tc>
                <w:tcPr>
                  <w:tcW w:w="396" w:type="pct"/>
                  <w:tcBorders>
                    <w:tl2br w:val="nil"/>
                    <w:tr2bl w:val="nil"/>
                  </w:tcBorders>
                  <w:shd w:val="clear" w:color="auto" w:fill="auto"/>
                  <w:vAlign w:val="center"/>
                </w:tcPr>
                <w:p w14:paraId="2A190B9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9.45</w:t>
                  </w:r>
                </w:p>
              </w:tc>
              <w:tc>
                <w:tcPr>
                  <w:tcW w:w="467" w:type="pct"/>
                  <w:tcBorders>
                    <w:tl2br w:val="nil"/>
                    <w:tr2bl w:val="nil"/>
                  </w:tcBorders>
                  <w:shd w:val="clear" w:color="auto" w:fill="auto"/>
                  <w:vAlign w:val="center"/>
                </w:tcPr>
                <w:p w14:paraId="15333A6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040D3D5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31391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7A9DEE9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49745EF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2EF04CFC">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shd w:val="clear" w:color="auto" w:fill="auto"/>
                  <w:vAlign w:val="center"/>
                </w:tcPr>
                <w:p w14:paraId="6290D42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50</w:t>
                  </w:r>
                </w:p>
              </w:tc>
              <w:tc>
                <w:tcPr>
                  <w:tcW w:w="412" w:type="pct"/>
                  <w:tcBorders>
                    <w:tl2br w:val="nil"/>
                    <w:tr2bl w:val="nil"/>
                  </w:tcBorders>
                  <w:shd w:val="clear" w:color="auto" w:fill="auto"/>
                  <w:vAlign w:val="center"/>
                </w:tcPr>
                <w:p w14:paraId="4DB2CF4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94" w:type="pct"/>
                  <w:tcBorders>
                    <w:tl2br w:val="nil"/>
                    <w:tr2bl w:val="nil"/>
                  </w:tcBorders>
                  <w:shd w:val="clear" w:color="auto" w:fill="auto"/>
                  <w:vAlign w:val="center"/>
                </w:tcPr>
                <w:p w14:paraId="6471902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39" w:type="pct"/>
                  <w:tcBorders>
                    <w:tl2br w:val="nil"/>
                    <w:tr2bl w:val="nil"/>
                  </w:tcBorders>
                  <w:shd w:val="clear" w:color="auto" w:fill="auto"/>
                  <w:vAlign w:val="center"/>
                </w:tcPr>
                <w:p w14:paraId="462AB7E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shd w:val="clear" w:color="auto" w:fill="auto"/>
                  <w:vAlign w:val="center"/>
                </w:tcPr>
                <w:p w14:paraId="650A3C3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80" w:type="pct"/>
                  <w:tcBorders>
                    <w:tl2br w:val="nil"/>
                    <w:tr2bl w:val="nil"/>
                  </w:tcBorders>
                  <w:shd w:val="clear" w:color="auto" w:fill="auto"/>
                  <w:vAlign w:val="center"/>
                </w:tcPr>
                <w:p w14:paraId="1E692FA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96" w:type="pct"/>
                  <w:tcBorders>
                    <w:tl2br w:val="nil"/>
                    <w:tr2bl w:val="nil"/>
                  </w:tcBorders>
                  <w:shd w:val="clear" w:color="auto" w:fill="auto"/>
                  <w:vAlign w:val="center"/>
                </w:tcPr>
                <w:p w14:paraId="550C0D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shd w:val="clear" w:color="auto" w:fill="auto"/>
                  <w:vAlign w:val="center"/>
                </w:tcPr>
                <w:p w14:paraId="634468C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6C7663D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5E897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auto"/>
                  <w:vAlign w:val="center"/>
                </w:tcPr>
                <w:p w14:paraId="396B853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387" w:type="pct"/>
                  <w:vMerge w:val="restart"/>
                  <w:tcBorders>
                    <w:tl2br w:val="nil"/>
                    <w:tr2bl w:val="nil"/>
                  </w:tcBorders>
                  <w:shd w:val="clear" w:color="auto" w:fill="auto"/>
                  <w:vAlign w:val="center"/>
                </w:tcPr>
                <w:p w14:paraId="4E413AF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MBR</w:t>
                  </w:r>
                </w:p>
              </w:tc>
              <w:tc>
                <w:tcPr>
                  <w:tcW w:w="564" w:type="pct"/>
                  <w:tcBorders>
                    <w:tl2br w:val="nil"/>
                    <w:tr2bl w:val="nil"/>
                  </w:tcBorders>
                  <w:shd w:val="clear" w:color="auto" w:fill="auto"/>
                  <w:vAlign w:val="center"/>
                </w:tcPr>
                <w:p w14:paraId="02D1E3C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进水</w:t>
                  </w:r>
                </w:p>
              </w:tc>
              <w:tc>
                <w:tcPr>
                  <w:tcW w:w="439" w:type="pct"/>
                  <w:tcBorders>
                    <w:tl2br w:val="nil"/>
                    <w:tr2bl w:val="nil"/>
                  </w:tcBorders>
                  <w:shd w:val="clear" w:color="auto" w:fill="auto"/>
                  <w:vAlign w:val="center"/>
                </w:tcPr>
                <w:p w14:paraId="1A708E5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158.99</w:t>
                  </w:r>
                </w:p>
              </w:tc>
              <w:tc>
                <w:tcPr>
                  <w:tcW w:w="412" w:type="pct"/>
                  <w:tcBorders>
                    <w:tl2br w:val="nil"/>
                    <w:tr2bl w:val="nil"/>
                  </w:tcBorders>
                  <w:shd w:val="clear" w:color="auto" w:fill="auto"/>
                  <w:vAlign w:val="center"/>
                </w:tcPr>
                <w:p w14:paraId="3FB54F9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w:t>
                  </w:r>
                </w:p>
              </w:tc>
              <w:tc>
                <w:tcPr>
                  <w:tcW w:w="394" w:type="pct"/>
                  <w:tcBorders>
                    <w:tl2br w:val="nil"/>
                    <w:tr2bl w:val="nil"/>
                  </w:tcBorders>
                  <w:shd w:val="clear" w:color="auto" w:fill="auto"/>
                  <w:vAlign w:val="center"/>
                </w:tcPr>
                <w:p w14:paraId="42EBBB9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0.314</w:t>
                  </w:r>
                </w:p>
              </w:tc>
              <w:tc>
                <w:tcPr>
                  <w:tcW w:w="439" w:type="pct"/>
                  <w:tcBorders>
                    <w:tl2br w:val="nil"/>
                    <w:tr2bl w:val="nil"/>
                  </w:tcBorders>
                  <w:shd w:val="clear" w:color="auto" w:fill="auto"/>
                  <w:vAlign w:val="center"/>
                </w:tcPr>
                <w:p w14:paraId="7CFC1E4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447" w:type="pct"/>
                  <w:tcBorders>
                    <w:tl2br w:val="nil"/>
                    <w:tr2bl w:val="nil"/>
                  </w:tcBorders>
                  <w:shd w:val="clear" w:color="auto" w:fill="auto"/>
                  <w:vAlign w:val="center"/>
                </w:tcPr>
                <w:p w14:paraId="437D63E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179.06</w:t>
                  </w:r>
                </w:p>
              </w:tc>
              <w:tc>
                <w:tcPr>
                  <w:tcW w:w="480" w:type="pct"/>
                  <w:tcBorders>
                    <w:tl2br w:val="nil"/>
                    <w:tr2bl w:val="nil"/>
                  </w:tcBorders>
                  <w:shd w:val="clear" w:color="auto" w:fill="auto"/>
                  <w:vAlign w:val="center"/>
                </w:tcPr>
                <w:p w14:paraId="0303DD7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12.34</w:t>
                  </w:r>
                </w:p>
              </w:tc>
              <w:tc>
                <w:tcPr>
                  <w:tcW w:w="396" w:type="pct"/>
                  <w:tcBorders>
                    <w:tl2br w:val="nil"/>
                    <w:tr2bl w:val="nil"/>
                  </w:tcBorders>
                  <w:shd w:val="clear" w:color="auto" w:fill="auto"/>
                  <w:vAlign w:val="center"/>
                </w:tcPr>
                <w:p w14:paraId="4983EBD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9.45</w:t>
                  </w:r>
                </w:p>
              </w:tc>
              <w:tc>
                <w:tcPr>
                  <w:tcW w:w="467" w:type="pct"/>
                  <w:tcBorders>
                    <w:tl2br w:val="nil"/>
                    <w:tr2bl w:val="nil"/>
                  </w:tcBorders>
                  <w:vAlign w:val="center"/>
                </w:tcPr>
                <w:p w14:paraId="4195558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7.2-8.2</w:t>
                  </w:r>
                </w:p>
              </w:tc>
              <w:tc>
                <w:tcPr>
                  <w:tcW w:w="344" w:type="pct"/>
                  <w:vMerge w:val="restart"/>
                  <w:tcBorders>
                    <w:tl2br w:val="nil"/>
                    <w:tr2bl w:val="nil"/>
                  </w:tcBorders>
                  <w:vAlign w:val="center"/>
                </w:tcPr>
                <w:p w14:paraId="0582D9A0">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r>
            <w:tr w14:paraId="45EC2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0563400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08BE3D5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221E58E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出水</w:t>
                  </w:r>
                </w:p>
              </w:tc>
              <w:tc>
                <w:tcPr>
                  <w:tcW w:w="439" w:type="pct"/>
                  <w:tcBorders>
                    <w:tl2br w:val="nil"/>
                    <w:tr2bl w:val="nil"/>
                  </w:tcBorders>
                  <w:shd w:val="clear" w:color="auto" w:fill="auto"/>
                  <w:vAlign w:val="center"/>
                </w:tcPr>
                <w:p w14:paraId="1245A1D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158.99</w:t>
                  </w:r>
                </w:p>
              </w:tc>
              <w:tc>
                <w:tcPr>
                  <w:tcW w:w="412" w:type="pct"/>
                  <w:tcBorders>
                    <w:tl2br w:val="nil"/>
                    <w:tr2bl w:val="nil"/>
                  </w:tcBorders>
                  <w:shd w:val="clear" w:color="auto" w:fill="auto"/>
                  <w:vAlign w:val="center"/>
                </w:tcPr>
                <w:p w14:paraId="029B906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w:t>
                  </w:r>
                </w:p>
              </w:tc>
              <w:tc>
                <w:tcPr>
                  <w:tcW w:w="394" w:type="pct"/>
                  <w:tcBorders>
                    <w:tl2br w:val="nil"/>
                    <w:tr2bl w:val="nil"/>
                  </w:tcBorders>
                  <w:shd w:val="clear" w:color="auto" w:fill="auto"/>
                  <w:vAlign w:val="center"/>
                </w:tcPr>
                <w:p w14:paraId="57EC639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0.314</w:t>
                  </w:r>
                </w:p>
              </w:tc>
              <w:tc>
                <w:tcPr>
                  <w:tcW w:w="439" w:type="pct"/>
                  <w:tcBorders>
                    <w:tl2br w:val="nil"/>
                    <w:tr2bl w:val="nil"/>
                  </w:tcBorders>
                  <w:shd w:val="clear" w:color="auto" w:fill="auto"/>
                  <w:vAlign w:val="center"/>
                </w:tcPr>
                <w:p w14:paraId="1D1C9F1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447" w:type="pct"/>
                  <w:tcBorders>
                    <w:tl2br w:val="nil"/>
                    <w:tr2bl w:val="nil"/>
                  </w:tcBorders>
                  <w:shd w:val="clear" w:color="auto" w:fill="auto"/>
                  <w:vAlign w:val="center"/>
                </w:tcPr>
                <w:p w14:paraId="492D683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125.34</w:t>
                  </w:r>
                </w:p>
              </w:tc>
              <w:tc>
                <w:tcPr>
                  <w:tcW w:w="480" w:type="pct"/>
                  <w:tcBorders>
                    <w:tl2br w:val="nil"/>
                    <w:tr2bl w:val="nil"/>
                  </w:tcBorders>
                  <w:shd w:val="clear" w:color="auto" w:fill="auto"/>
                  <w:vAlign w:val="center"/>
                </w:tcPr>
                <w:p w14:paraId="072C24C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11.11</w:t>
                  </w:r>
                </w:p>
              </w:tc>
              <w:tc>
                <w:tcPr>
                  <w:tcW w:w="396" w:type="pct"/>
                  <w:tcBorders>
                    <w:tl2br w:val="nil"/>
                    <w:tr2bl w:val="nil"/>
                  </w:tcBorders>
                  <w:shd w:val="clear" w:color="auto" w:fill="auto"/>
                  <w:vAlign w:val="center"/>
                </w:tcPr>
                <w:p w14:paraId="37981B8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8.51</w:t>
                  </w:r>
                </w:p>
              </w:tc>
              <w:tc>
                <w:tcPr>
                  <w:tcW w:w="467" w:type="pct"/>
                  <w:tcBorders>
                    <w:tl2br w:val="nil"/>
                    <w:tr2bl w:val="nil"/>
                  </w:tcBorders>
                  <w:shd w:val="clear" w:color="auto" w:fill="auto"/>
                  <w:vAlign w:val="center"/>
                </w:tcPr>
                <w:p w14:paraId="73B0282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0CD5AB95">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4DD3A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4E0BAFD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70F5DE7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487FC30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shd w:val="clear" w:color="auto" w:fill="auto"/>
                  <w:vAlign w:val="center"/>
                </w:tcPr>
                <w:p w14:paraId="5F66A01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412" w:type="pct"/>
                  <w:tcBorders>
                    <w:tl2br w:val="nil"/>
                    <w:tr2bl w:val="nil"/>
                  </w:tcBorders>
                  <w:shd w:val="clear" w:color="auto" w:fill="auto"/>
                  <w:vAlign w:val="center"/>
                </w:tcPr>
                <w:p w14:paraId="0A853FB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394" w:type="pct"/>
                  <w:tcBorders>
                    <w:tl2br w:val="nil"/>
                    <w:tr2bl w:val="nil"/>
                  </w:tcBorders>
                  <w:shd w:val="clear" w:color="auto" w:fill="auto"/>
                  <w:vAlign w:val="center"/>
                </w:tcPr>
                <w:p w14:paraId="69C0536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439" w:type="pct"/>
                  <w:tcBorders>
                    <w:tl2br w:val="nil"/>
                    <w:tr2bl w:val="nil"/>
                  </w:tcBorders>
                  <w:shd w:val="clear" w:color="auto" w:fill="auto"/>
                  <w:vAlign w:val="center"/>
                </w:tcPr>
                <w:p w14:paraId="692EB9FE">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447" w:type="pct"/>
                  <w:tcBorders>
                    <w:tl2br w:val="nil"/>
                    <w:tr2bl w:val="nil"/>
                  </w:tcBorders>
                  <w:shd w:val="clear" w:color="auto" w:fill="auto"/>
                  <w:vAlign w:val="center"/>
                </w:tcPr>
                <w:p w14:paraId="7E23868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80" w:type="pct"/>
                  <w:tcBorders>
                    <w:tl2br w:val="nil"/>
                    <w:tr2bl w:val="nil"/>
                  </w:tcBorders>
                  <w:shd w:val="clear" w:color="auto" w:fill="auto"/>
                  <w:vAlign w:val="center"/>
                </w:tcPr>
                <w:p w14:paraId="38D3235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396" w:type="pct"/>
                  <w:tcBorders>
                    <w:tl2br w:val="nil"/>
                    <w:tr2bl w:val="nil"/>
                  </w:tcBorders>
                  <w:shd w:val="clear" w:color="auto" w:fill="auto"/>
                  <w:vAlign w:val="center"/>
                </w:tcPr>
                <w:p w14:paraId="0D54098A">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shd w:val="clear" w:color="auto" w:fill="auto"/>
                  <w:vAlign w:val="center"/>
                </w:tcPr>
                <w:p w14:paraId="3A931FE0">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kern w:val="0"/>
                      <w:sz w:val="21"/>
                      <w:szCs w:val="21"/>
                      <w:highlight w:val="none"/>
                      <w:lang w:val="en-US" w:eastAsia="zh-CN" w:bidi="ar-SA"/>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772E486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1292F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tcBorders>
                    <w:tl2br w:val="nil"/>
                    <w:tr2bl w:val="nil"/>
                  </w:tcBorders>
                  <w:shd w:val="clear" w:color="auto" w:fill="auto"/>
                  <w:vAlign w:val="center"/>
                </w:tcPr>
                <w:p w14:paraId="27B3304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387" w:type="pct"/>
                  <w:vMerge w:val="restart"/>
                  <w:tcBorders>
                    <w:tl2br w:val="nil"/>
                    <w:tr2bl w:val="nil"/>
                  </w:tcBorders>
                  <w:shd w:val="clear" w:color="auto" w:fill="auto"/>
                  <w:vAlign w:val="center"/>
                </w:tcPr>
                <w:p w14:paraId="238EE07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RO系统</w:t>
                  </w:r>
                </w:p>
              </w:tc>
              <w:tc>
                <w:tcPr>
                  <w:tcW w:w="564" w:type="pct"/>
                  <w:tcBorders>
                    <w:tl2br w:val="nil"/>
                    <w:tr2bl w:val="nil"/>
                  </w:tcBorders>
                  <w:shd w:val="clear" w:color="auto" w:fill="auto"/>
                  <w:vAlign w:val="center"/>
                </w:tcPr>
                <w:p w14:paraId="399DFCB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进水</w:t>
                  </w:r>
                </w:p>
              </w:tc>
              <w:tc>
                <w:tcPr>
                  <w:tcW w:w="439" w:type="pct"/>
                  <w:tcBorders>
                    <w:tl2br w:val="nil"/>
                    <w:tr2bl w:val="nil"/>
                  </w:tcBorders>
                  <w:shd w:val="clear" w:color="auto" w:fill="auto"/>
                  <w:vAlign w:val="center"/>
                </w:tcPr>
                <w:p w14:paraId="21FB251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158.99</w:t>
                  </w:r>
                </w:p>
              </w:tc>
              <w:tc>
                <w:tcPr>
                  <w:tcW w:w="412" w:type="pct"/>
                  <w:tcBorders>
                    <w:tl2br w:val="nil"/>
                    <w:tr2bl w:val="nil"/>
                  </w:tcBorders>
                  <w:shd w:val="clear" w:color="auto" w:fill="auto"/>
                  <w:vAlign w:val="center"/>
                </w:tcPr>
                <w:p w14:paraId="7ED9B30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w:t>
                  </w:r>
                </w:p>
              </w:tc>
              <w:tc>
                <w:tcPr>
                  <w:tcW w:w="394" w:type="pct"/>
                  <w:tcBorders>
                    <w:tl2br w:val="nil"/>
                    <w:tr2bl w:val="nil"/>
                  </w:tcBorders>
                  <w:shd w:val="clear" w:color="auto" w:fill="auto"/>
                  <w:vAlign w:val="center"/>
                </w:tcPr>
                <w:p w14:paraId="11D8B14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0.314</w:t>
                  </w:r>
                </w:p>
              </w:tc>
              <w:tc>
                <w:tcPr>
                  <w:tcW w:w="439" w:type="pct"/>
                  <w:tcBorders>
                    <w:tl2br w:val="nil"/>
                    <w:tr2bl w:val="nil"/>
                  </w:tcBorders>
                  <w:shd w:val="clear" w:color="auto" w:fill="auto"/>
                  <w:vAlign w:val="center"/>
                </w:tcPr>
                <w:p w14:paraId="1DAF861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447" w:type="pct"/>
                  <w:tcBorders>
                    <w:tl2br w:val="nil"/>
                    <w:tr2bl w:val="nil"/>
                  </w:tcBorders>
                  <w:shd w:val="clear" w:color="auto" w:fill="auto"/>
                  <w:vAlign w:val="center"/>
                </w:tcPr>
                <w:p w14:paraId="1872844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125.34</w:t>
                  </w:r>
                </w:p>
              </w:tc>
              <w:tc>
                <w:tcPr>
                  <w:tcW w:w="480" w:type="pct"/>
                  <w:tcBorders>
                    <w:tl2br w:val="nil"/>
                    <w:tr2bl w:val="nil"/>
                  </w:tcBorders>
                  <w:shd w:val="clear" w:color="auto" w:fill="auto"/>
                  <w:vAlign w:val="center"/>
                </w:tcPr>
                <w:p w14:paraId="6896C55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11.11</w:t>
                  </w:r>
                </w:p>
              </w:tc>
              <w:tc>
                <w:tcPr>
                  <w:tcW w:w="396" w:type="pct"/>
                  <w:tcBorders>
                    <w:tl2br w:val="nil"/>
                    <w:tr2bl w:val="nil"/>
                  </w:tcBorders>
                  <w:shd w:val="clear" w:color="auto" w:fill="auto"/>
                  <w:vAlign w:val="center"/>
                </w:tcPr>
                <w:p w14:paraId="2F185AD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8.51</w:t>
                  </w:r>
                </w:p>
              </w:tc>
              <w:tc>
                <w:tcPr>
                  <w:tcW w:w="467" w:type="pct"/>
                  <w:tcBorders>
                    <w:tl2br w:val="nil"/>
                    <w:tr2bl w:val="nil"/>
                  </w:tcBorders>
                  <w:vAlign w:val="center"/>
                </w:tcPr>
                <w:p w14:paraId="172642D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7.2-8.2</w:t>
                  </w:r>
                </w:p>
              </w:tc>
              <w:tc>
                <w:tcPr>
                  <w:tcW w:w="344" w:type="pct"/>
                  <w:vMerge w:val="restart"/>
                  <w:tcBorders>
                    <w:tl2br w:val="nil"/>
                    <w:tr2bl w:val="nil"/>
                  </w:tcBorders>
                  <w:vAlign w:val="center"/>
                </w:tcPr>
                <w:p w14:paraId="52F3249F">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r>
            <w:tr w14:paraId="46040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62304F6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0397DE5E">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1C635D8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出水</w:t>
                  </w:r>
                </w:p>
              </w:tc>
              <w:tc>
                <w:tcPr>
                  <w:tcW w:w="439" w:type="pct"/>
                  <w:tcBorders>
                    <w:tl2br w:val="nil"/>
                    <w:tr2bl w:val="nil"/>
                  </w:tcBorders>
                  <w:shd w:val="clear" w:color="auto" w:fill="auto"/>
                  <w:vAlign w:val="center"/>
                </w:tcPr>
                <w:p w14:paraId="4069322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95.39</w:t>
                  </w:r>
                </w:p>
              </w:tc>
              <w:tc>
                <w:tcPr>
                  <w:tcW w:w="412" w:type="pct"/>
                  <w:tcBorders>
                    <w:tl2br w:val="nil"/>
                    <w:tr2bl w:val="nil"/>
                  </w:tcBorders>
                  <w:shd w:val="clear" w:color="auto" w:fill="auto"/>
                  <w:vAlign w:val="center"/>
                </w:tcPr>
                <w:p w14:paraId="700760C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0.14</w:t>
                  </w:r>
                </w:p>
              </w:tc>
              <w:tc>
                <w:tcPr>
                  <w:tcW w:w="394" w:type="pct"/>
                  <w:tcBorders>
                    <w:tl2br w:val="nil"/>
                    <w:tr2bl w:val="nil"/>
                  </w:tcBorders>
                  <w:shd w:val="clear" w:color="auto" w:fill="auto"/>
                  <w:vAlign w:val="center"/>
                </w:tcPr>
                <w:p w14:paraId="7A3344F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0.22</w:t>
                  </w:r>
                </w:p>
              </w:tc>
              <w:tc>
                <w:tcPr>
                  <w:tcW w:w="439" w:type="pct"/>
                  <w:tcBorders>
                    <w:tl2br w:val="nil"/>
                    <w:tr2bl w:val="nil"/>
                  </w:tcBorders>
                  <w:shd w:val="clear" w:color="auto" w:fill="auto"/>
                  <w:vAlign w:val="center"/>
                </w:tcPr>
                <w:p w14:paraId="79FD977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0.019</w:t>
                  </w:r>
                </w:p>
              </w:tc>
              <w:tc>
                <w:tcPr>
                  <w:tcW w:w="447" w:type="pct"/>
                  <w:tcBorders>
                    <w:tl2br w:val="nil"/>
                    <w:tr2bl w:val="nil"/>
                  </w:tcBorders>
                  <w:shd w:val="clear" w:color="auto" w:fill="auto"/>
                  <w:vAlign w:val="center"/>
                </w:tcPr>
                <w:p w14:paraId="27E732D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100.27</w:t>
                  </w:r>
                </w:p>
              </w:tc>
              <w:tc>
                <w:tcPr>
                  <w:tcW w:w="480" w:type="pct"/>
                  <w:tcBorders>
                    <w:tl2br w:val="nil"/>
                    <w:tr2bl w:val="nil"/>
                  </w:tcBorders>
                  <w:shd w:val="clear" w:color="auto" w:fill="auto"/>
                  <w:vAlign w:val="center"/>
                </w:tcPr>
                <w:p w14:paraId="314D7B6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8.89</w:t>
                  </w:r>
                </w:p>
              </w:tc>
              <w:tc>
                <w:tcPr>
                  <w:tcW w:w="396" w:type="pct"/>
                  <w:tcBorders>
                    <w:tl2br w:val="nil"/>
                    <w:tr2bl w:val="nil"/>
                  </w:tcBorders>
                  <w:shd w:val="clear" w:color="auto" w:fill="auto"/>
                  <w:vAlign w:val="center"/>
                </w:tcPr>
                <w:p w14:paraId="730A3E1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7.66</w:t>
                  </w:r>
                </w:p>
              </w:tc>
              <w:tc>
                <w:tcPr>
                  <w:tcW w:w="467" w:type="pct"/>
                  <w:tcBorders>
                    <w:tl2br w:val="nil"/>
                    <w:tr2bl w:val="nil"/>
                  </w:tcBorders>
                  <w:vAlign w:val="center"/>
                </w:tcPr>
                <w:p w14:paraId="4E9FF64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6.5-7.5</w:t>
                  </w:r>
                </w:p>
              </w:tc>
              <w:tc>
                <w:tcPr>
                  <w:tcW w:w="344" w:type="pct"/>
                  <w:vMerge w:val="continue"/>
                  <w:tcBorders>
                    <w:tl2br w:val="nil"/>
                    <w:tr2bl w:val="nil"/>
                  </w:tcBorders>
                  <w:vAlign w:val="center"/>
                </w:tcPr>
                <w:p w14:paraId="5D660321">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657F6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tcBorders>
                    <w:tl2br w:val="nil"/>
                    <w:tr2bl w:val="nil"/>
                  </w:tcBorders>
                  <w:vAlign w:val="center"/>
                </w:tcPr>
                <w:p w14:paraId="0013843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387" w:type="pct"/>
                  <w:vMerge w:val="continue"/>
                  <w:tcBorders>
                    <w:tl2br w:val="nil"/>
                    <w:tr2bl w:val="nil"/>
                  </w:tcBorders>
                  <w:vAlign w:val="center"/>
                </w:tcPr>
                <w:p w14:paraId="309555B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c>
                <w:tcPr>
                  <w:tcW w:w="564" w:type="pct"/>
                  <w:tcBorders>
                    <w:tl2br w:val="nil"/>
                    <w:tr2bl w:val="nil"/>
                  </w:tcBorders>
                  <w:shd w:val="clear" w:color="auto" w:fill="auto"/>
                  <w:vAlign w:val="center"/>
                </w:tcPr>
                <w:p w14:paraId="7058C34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去除率%</w:t>
                  </w:r>
                </w:p>
              </w:tc>
              <w:tc>
                <w:tcPr>
                  <w:tcW w:w="439" w:type="pct"/>
                  <w:tcBorders>
                    <w:tl2br w:val="nil"/>
                    <w:tr2bl w:val="nil"/>
                  </w:tcBorders>
                  <w:shd w:val="clear" w:color="auto" w:fill="auto"/>
                  <w:vAlign w:val="center"/>
                </w:tcPr>
                <w:p w14:paraId="0FDDFC8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40</w:t>
                  </w:r>
                </w:p>
              </w:tc>
              <w:tc>
                <w:tcPr>
                  <w:tcW w:w="412" w:type="pct"/>
                  <w:tcBorders>
                    <w:tl2br w:val="nil"/>
                    <w:tr2bl w:val="nil"/>
                  </w:tcBorders>
                  <w:shd w:val="clear" w:color="auto" w:fill="auto"/>
                  <w:vAlign w:val="center"/>
                </w:tcPr>
                <w:p w14:paraId="5049A7F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394" w:type="pct"/>
                  <w:tcBorders>
                    <w:tl2br w:val="nil"/>
                    <w:tr2bl w:val="nil"/>
                  </w:tcBorders>
                  <w:shd w:val="clear" w:color="auto" w:fill="auto"/>
                  <w:vAlign w:val="center"/>
                </w:tcPr>
                <w:p w14:paraId="7FA2327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439" w:type="pct"/>
                  <w:tcBorders>
                    <w:tl2br w:val="nil"/>
                    <w:tr2bl w:val="nil"/>
                  </w:tcBorders>
                  <w:shd w:val="clear" w:color="auto" w:fill="auto"/>
                  <w:vAlign w:val="center"/>
                </w:tcPr>
                <w:p w14:paraId="5A92DFD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47" w:type="pct"/>
                  <w:tcBorders>
                    <w:tl2br w:val="nil"/>
                    <w:tr2bl w:val="nil"/>
                  </w:tcBorders>
                  <w:shd w:val="clear" w:color="auto" w:fill="auto"/>
                  <w:vAlign w:val="center"/>
                </w:tcPr>
                <w:p w14:paraId="4F6BEC5B">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480" w:type="pct"/>
                  <w:tcBorders>
                    <w:tl2br w:val="nil"/>
                    <w:tr2bl w:val="nil"/>
                  </w:tcBorders>
                  <w:shd w:val="clear" w:color="auto" w:fill="auto"/>
                  <w:vAlign w:val="center"/>
                </w:tcPr>
                <w:p w14:paraId="64F6D9C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396" w:type="pct"/>
                  <w:tcBorders>
                    <w:tl2br w:val="nil"/>
                    <w:tr2bl w:val="nil"/>
                  </w:tcBorders>
                  <w:shd w:val="clear" w:color="auto" w:fill="auto"/>
                  <w:vAlign w:val="center"/>
                </w:tcPr>
                <w:p w14:paraId="075A793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467" w:type="pct"/>
                  <w:tcBorders>
                    <w:tl2br w:val="nil"/>
                    <w:tr2bl w:val="nil"/>
                  </w:tcBorders>
                  <w:vAlign w:val="center"/>
                </w:tcPr>
                <w:p w14:paraId="4D9A972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344" w:type="pct"/>
                  <w:vMerge w:val="continue"/>
                  <w:tcBorders>
                    <w:tl2br w:val="nil"/>
                    <w:tr2bl w:val="nil"/>
                  </w:tcBorders>
                  <w:vAlign w:val="center"/>
                </w:tcPr>
                <w:p w14:paraId="30B51957">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p>
              </w:tc>
            </w:tr>
            <w:tr w14:paraId="55237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tcBorders>
                    <w:tl2br w:val="nil"/>
                    <w:tr2bl w:val="nil"/>
                  </w:tcBorders>
                  <w:vAlign w:val="center"/>
                </w:tcPr>
                <w:p w14:paraId="781C2356">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7</w:t>
                  </w:r>
                </w:p>
              </w:tc>
              <w:tc>
                <w:tcPr>
                  <w:tcW w:w="951" w:type="pct"/>
                  <w:gridSpan w:val="2"/>
                  <w:tcBorders>
                    <w:tl2br w:val="nil"/>
                    <w:tr2bl w:val="nil"/>
                  </w:tcBorders>
                  <w:vAlign w:val="center"/>
                </w:tcPr>
                <w:p w14:paraId="71B3A485">
                  <w:pPr>
                    <w:pStyle w:val="31"/>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排放标准</w:t>
                  </w:r>
                </w:p>
              </w:tc>
              <w:tc>
                <w:tcPr>
                  <w:tcW w:w="439" w:type="pct"/>
                  <w:tcBorders>
                    <w:tl2br w:val="nil"/>
                    <w:tr2bl w:val="nil"/>
                  </w:tcBorders>
                  <w:shd w:val="clear" w:color="auto" w:fill="auto"/>
                  <w:vAlign w:val="center"/>
                </w:tcPr>
                <w:p w14:paraId="2A525D62">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≤400</w:t>
                  </w:r>
                </w:p>
              </w:tc>
              <w:tc>
                <w:tcPr>
                  <w:tcW w:w="412" w:type="pct"/>
                  <w:tcBorders>
                    <w:tl2br w:val="nil"/>
                    <w:tr2bl w:val="nil"/>
                  </w:tcBorders>
                  <w:shd w:val="clear" w:color="auto" w:fill="auto"/>
                  <w:vAlign w:val="center"/>
                </w:tcPr>
                <w:p w14:paraId="17ADAC6A">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≤45</w:t>
                  </w:r>
                </w:p>
              </w:tc>
              <w:tc>
                <w:tcPr>
                  <w:tcW w:w="394" w:type="pct"/>
                  <w:tcBorders>
                    <w:tl2br w:val="nil"/>
                    <w:tr2bl w:val="nil"/>
                  </w:tcBorders>
                  <w:shd w:val="clear" w:color="auto" w:fill="auto"/>
                  <w:vAlign w:val="center"/>
                </w:tcPr>
                <w:p w14:paraId="66C9F019">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≤6</w:t>
                  </w:r>
                </w:p>
              </w:tc>
              <w:tc>
                <w:tcPr>
                  <w:tcW w:w="439" w:type="pct"/>
                  <w:tcBorders>
                    <w:tl2br w:val="nil"/>
                    <w:tr2bl w:val="nil"/>
                  </w:tcBorders>
                  <w:shd w:val="clear" w:color="auto" w:fill="auto"/>
                  <w:vAlign w:val="center"/>
                </w:tcPr>
                <w:p w14:paraId="17B60408">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≤35</w:t>
                  </w:r>
                </w:p>
              </w:tc>
              <w:tc>
                <w:tcPr>
                  <w:tcW w:w="447" w:type="pct"/>
                  <w:tcBorders>
                    <w:tl2br w:val="nil"/>
                    <w:tr2bl w:val="nil"/>
                  </w:tcBorders>
                  <w:shd w:val="clear" w:color="auto" w:fill="auto"/>
                  <w:vAlign w:val="center"/>
                </w:tcPr>
                <w:p w14:paraId="13532B2D">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≤250</w:t>
                  </w:r>
                </w:p>
              </w:tc>
              <w:tc>
                <w:tcPr>
                  <w:tcW w:w="480" w:type="pct"/>
                  <w:tcBorders>
                    <w:tl2br w:val="nil"/>
                    <w:tr2bl w:val="nil"/>
                  </w:tcBorders>
                  <w:shd w:val="clear" w:color="auto" w:fill="auto"/>
                  <w:vAlign w:val="center"/>
                </w:tcPr>
                <w:p w14:paraId="5414E13B">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w:t>
                  </w:r>
                </w:p>
              </w:tc>
              <w:tc>
                <w:tcPr>
                  <w:tcW w:w="396" w:type="pct"/>
                  <w:tcBorders>
                    <w:tl2br w:val="nil"/>
                    <w:tr2bl w:val="nil"/>
                  </w:tcBorders>
                  <w:shd w:val="clear" w:color="auto" w:fill="auto"/>
                  <w:vAlign w:val="center"/>
                </w:tcPr>
                <w:p w14:paraId="6772366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w:t>
                  </w:r>
                </w:p>
              </w:tc>
              <w:tc>
                <w:tcPr>
                  <w:tcW w:w="467" w:type="pct"/>
                  <w:tcBorders>
                    <w:tl2br w:val="nil"/>
                    <w:tr2bl w:val="nil"/>
                  </w:tcBorders>
                  <w:vAlign w:val="center"/>
                </w:tcPr>
                <w:p w14:paraId="08D003E3">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6-9</w:t>
                  </w:r>
                </w:p>
              </w:tc>
              <w:tc>
                <w:tcPr>
                  <w:tcW w:w="344" w:type="pct"/>
                  <w:tcBorders>
                    <w:tl2br w:val="nil"/>
                    <w:tr2bl w:val="nil"/>
                  </w:tcBorders>
                  <w:vAlign w:val="center"/>
                </w:tcPr>
                <w:p w14:paraId="24F2BA84">
                  <w:pPr>
                    <w:pStyle w:val="31"/>
                    <w:keepNext w:val="0"/>
                    <w:keepLines w:val="0"/>
                    <w:pageBreakBefore w:val="0"/>
                    <w:widowControl w:val="0"/>
                    <w:kinsoku/>
                    <w:wordWrap w:val="0"/>
                    <w:overflowPunct/>
                    <w:topLinePunct w:val="0"/>
                    <w:autoSpaceDE/>
                    <w:autoSpaceDN/>
                    <w:bidi w:val="0"/>
                    <w:adjustRightInd w:val="0"/>
                    <w:snapToGrid w:val="0"/>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r>
          </w:tbl>
          <w:p w14:paraId="685D677D">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处理能力的可行性分析</w:t>
            </w:r>
            <w:r>
              <w:rPr>
                <w:rFonts w:hint="eastAsia" w:ascii="Times New Roman" w:hAnsi="Times New Roman" w:eastAsia="宋体" w:cs="Times New Roman"/>
                <w:b/>
                <w:bCs/>
                <w:color w:val="auto"/>
                <w:sz w:val="24"/>
                <w:lang w:val="en-US" w:eastAsia="zh-CN"/>
              </w:rPr>
              <w:t>：</w:t>
            </w:r>
          </w:p>
          <w:p w14:paraId="226984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进电泳预处理的水量</w:t>
            </w:r>
            <w:r>
              <w:rPr>
                <w:rFonts w:hint="default" w:ascii="Times New Roman" w:hAnsi="Times New Roman" w:eastAsia="宋体" w:cs="Times New Roman"/>
                <w:color w:val="auto"/>
                <w:sz w:val="24"/>
                <w:lang w:val="en-US" w:eastAsia="zh-CN"/>
              </w:rPr>
              <w:t>约为</w:t>
            </w:r>
            <w:r>
              <w:rPr>
                <w:rFonts w:hint="eastAsia" w:cs="Times New Roman"/>
                <w:color w:val="auto"/>
                <w:sz w:val="24"/>
                <w:lang w:val="en-US" w:eastAsia="zh-CN"/>
              </w:rPr>
              <w:t>1654.58</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约</w:t>
            </w:r>
            <w:r>
              <w:rPr>
                <w:rFonts w:hint="eastAsia" w:cs="Times New Roman"/>
                <w:color w:val="auto"/>
                <w:sz w:val="24"/>
                <w:lang w:val="en-US" w:eastAsia="zh-CN"/>
              </w:rPr>
              <w:t>5.52</w:t>
            </w:r>
            <w:r>
              <w:rPr>
                <w:rFonts w:hint="eastAsia"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进综合废水处理设施的水量为11255.736</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约</w:t>
            </w:r>
            <w:r>
              <w:rPr>
                <w:rFonts w:hint="eastAsia" w:cs="Times New Roman"/>
                <w:color w:val="auto"/>
                <w:sz w:val="24"/>
                <w:lang w:val="en-US" w:eastAsia="zh-CN"/>
              </w:rPr>
              <w:t>37.52</w:t>
            </w:r>
            <w:r>
              <w:rPr>
                <w:rFonts w:hint="eastAsia"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电泳预处理</w:t>
            </w:r>
            <w:r>
              <w:rPr>
                <w:rFonts w:hint="default" w:ascii="Times New Roman" w:hAnsi="Times New Roman" w:eastAsia="宋体" w:cs="Times New Roman"/>
                <w:color w:val="auto"/>
                <w:sz w:val="24"/>
                <w:lang w:val="en-US" w:eastAsia="zh-CN"/>
              </w:rPr>
              <w:t>设施设计处理能力为</w:t>
            </w:r>
            <w:r>
              <w:rPr>
                <w:rFonts w:hint="eastAsia" w:cs="Times New Roman"/>
                <w:color w:val="auto"/>
                <w:sz w:val="24"/>
                <w:lang w:val="en-US" w:eastAsia="zh-CN"/>
              </w:rPr>
              <w:t>30</w:t>
            </w:r>
            <w:r>
              <w:rPr>
                <w:rFonts w:hint="default" w:ascii="Times New Roman" w:hAnsi="Times New Roman" w:eastAsia="宋体" w:cs="Times New Roman"/>
                <w:color w:val="auto"/>
                <w:sz w:val="24"/>
                <w:lang w:val="en-US" w:eastAsia="zh-CN"/>
              </w:rPr>
              <w:t>t/d，</w:t>
            </w:r>
            <w:r>
              <w:rPr>
                <w:rFonts w:hint="eastAsia" w:cs="Times New Roman"/>
                <w:color w:val="auto"/>
                <w:sz w:val="24"/>
                <w:lang w:val="en-US" w:eastAsia="zh-CN"/>
              </w:rPr>
              <w:t>综合废水处理设施设计处理能力为60t/d，</w:t>
            </w:r>
            <w:r>
              <w:rPr>
                <w:rFonts w:hint="default" w:ascii="Times New Roman" w:hAnsi="Times New Roman" w:eastAsia="宋体" w:cs="Times New Roman"/>
                <w:color w:val="auto"/>
                <w:sz w:val="24"/>
                <w:lang w:val="en-US" w:eastAsia="zh-CN"/>
              </w:rPr>
              <w:t>废水处理设施设计处理能力能满足本项目需求。</w:t>
            </w:r>
          </w:p>
          <w:p w14:paraId="40F7764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处理工艺的可行性分析</w:t>
            </w:r>
            <w:r>
              <w:rPr>
                <w:rFonts w:hint="eastAsia" w:ascii="Times New Roman" w:hAnsi="Times New Roman" w:eastAsia="宋体" w:cs="Times New Roman"/>
                <w:b/>
                <w:bCs/>
                <w:color w:val="auto"/>
                <w:sz w:val="24"/>
                <w:lang w:val="en-US" w:eastAsia="zh-CN"/>
              </w:rPr>
              <w:t>：</w:t>
            </w:r>
          </w:p>
          <w:p w14:paraId="2E8B04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进电泳预处理设施的</w:t>
            </w:r>
            <w:r>
              <w:rPr>
                <w:rFonts w:hint="default" w:ascii="Times New Roman" w:hAnsi="Times New Roman" w:eastAsia="宋体" w:cs="Times New Roman"/>
                <w:color w:val="auto"/>
                <w:sz w:val="24"/>
                <w:lang w:val="en-US" w:eastAsia="zh-CN"/>
              </w:rPr>
              <w:t>生产废水污染物主要为pH、COD、SS、氨氮、总</w:t>
            </w:r>
            <w:r>
              <w:rPr>
                <w:rFonts w:hint="eastAsia" w:cs="Times New Roman"/>
                <w:color w:val="auto"/>
                <w:sz w:val="24"/>
                <w:lang w:val="en-US" w:eastAsia="zh-CN"/>
              </w:rPr>
              <w:t>氮</w:t>
            </w:r>
            <w:r>
              <w:rPr>
                <w:rFonts w:hint="default" w:ascii="Times New Roman" w:hAnsi="Times New Roman" w:eastAsia="宋体" w:cs="Times New Roman"/>
                <w:color w:val="auto"/>
                <w:sz w:val="24"/>
                <w:lang w:val="en-US" w:eastAsia="zh-CN"/>
              </w:rPr>
              <w:t>、石油类</w:t>
            </w:r>
            <w:r>
              <w:rPr>
                <w:rFonts w:hint="eastAsia" w:cs="Times New Roman"/>
                <w:color w:val="auto"/>
                <w:sz w:val="24"/>
                <w:lang w:val="en-US" w:eastAsia="zh-CN"/>
              </w:rPr>
              <w:t>、LAS，</w:t>
            </w:r>
            <w:r>
              <w:rPr>
                <w:rFonts w:hint="default" w:ascii="Times New Roman" w:hAnsi="Times New Roman" w:eastAsia="宋体" w:cs="Times New Roman"/>
                <w:color w:val="auto"/>
                <w:sz w:val="24"/>
                <w:lang w:val="en-US" w:eastAsia="zh-CN"/>
              </w:rPr>
              <w:t>废水处理设施工艺主要为</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气浮+</w:t>
            </w:r>
            <w:r>
              <w:rPr>
                <w:rFonts w:hint="eastAsia" w:cs="Times New Roman"/>
                <w:color w:val="auto"/>
                <w:sz w:val="24"/>
                <w:lang w:val="en-US" w:eastAsia="zh-CN"/>
              </w:rPr>
              <w:t>物化反应池”</w:t>
            </w:r>
            <w:r>
              <w:rPr>
                <w:rFonts w:hint="default" w:ascii="Times New Roman" w:hAnsi="Times New Roman" w:eastAsia="宋体" w:cs="Times New Roman"/>
                <w:color w:val="auto"/>
                <w:sz w:val="24"/>
                <w:lang w:val="en-US" w:eastAsia="zh-CN"/>
              </w:rPr>
              <w:t>本项目废水处理工艺对废水中的有机物、</w:t>
            </w:r>
            <w:r>
              <w:rPr>
                <w:rFonts w:hint="eastAsia" w:cs="Times New Roman"/>
                <w:color w:val="auto"/>
                <w:sz w:val="24"/>
                <w:lang w:val="en-US" w:eastAsia="zh-CN"/>
              </w:rPr>
              <w:t>石油类</w:t>
            </w:r>
            <w:r>
              <w:rPr>
                <w:rFonts w:hint="default" w:ascii="Times New Roman" w:hAnsi="Times New Roman" w:eastAsia="宋体" w:cs="Times New Roman"/>
                <w:color w:val="auto"/>
                <w:sz w:val="24"/>
                <w:lang w:val="en-US" w:eastAsia="zh-CN"/>
              </w:rPr>
              <w:t>等物质的去除具有良好的效果</w:t>
            </w:r>
            <w:r>
              <w:rPr>
                <w:rFonts w:hint="eastAsia" w:cs="Times New Roman"/>
                <w:color w:val="auto"/>
                <w:sz w:val="24"/>
                <w:lang w:val="en-US" w:eastAsia="zh-CN"/>
              </w:rPr>
              <w:t>；进综合废水处理设施的生产废水主要污染物为</w:t>
            </w:r>
            <w:r>
              <w:rPr>
                <w:rFonts w:hint="default" w:ascii="Times New Roman" w:hAnsi="Times New Roman" w:eastAsia="宋体" w:cs="Times New Roman"/>
                <w:color w:val="auto"/>
                <w:sz w:val="24"/>
                <w:lang w:val="en-US" w:eastAsia="zh-CN"/>
              </w:rPr>
              <w:t>pH、COD、SS、氨氮、总</w:t>
            </w:r>
            <w:r>
              <w:rPr>
                <w:rFonts w:hint="eastAsia" w:cs="Times New Roman"/>
                <w:color w:val="auto"/>
                <w:sz w:val="24"/>
                <w:lang w:val="en-US" w:eastAsia="zh-CN"/>
              </w:rPr>
              <w:t>氮</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总磷、</w:t>
            </w:r>
            <w:r>
              <w:rPr>
                <w:rFonts w:hint="default" w:ascii="Times New Roman" w:hAnsi="Times New Roman" w:eastAsia="宋体" w:cs="Times New Roman"/>
                <w:color w:val="auto"/>
                <w:sz w:val="24"/>
                <w:lang w:val="en-US" w:eastAsia="zh-CN"/>
              </w:rPr>
              <w:t>石油类</w:t>
            </w:r>
            <w:r>
              <w:rPr>
                <w:rFonts w:hint="eastAsia" w:cs="Times New Roman"/>
                <w:color w:val="auto"/>
                <w:sz w:val="24"/>
                <w:lang w:val="en-US" w:eastAsia="zh-CN"/>
              </w:rPr>
              <w:t>、LAS，</w:t>
            </w:r>
            <w:r>
              <w:rPr>
                <w:rFonts w:hint="default" w:ascii="Times New Roman" w:hAnsi="Times New Roman" w:eastAsia="宋体" w:cs="Times New Roman"/>
                <w:color w:val="auto"/>
                <w:sz w:val="24"/>
                <w:lang w:val="en-US" w:eastAsia="zh-CN"/>
              </w:rPr>
              <w:t>废水处理设施工艺主要为</w:t>
            </w:r>
            <w:r>
              <w:rPr>
                <w:rFonts w:hint="eastAsia" w:cs="Times New Roman"/>
                <w:color w:val="auto"/>
                <w:sz w:val="24"/>
                <w:lang w:val="en-US" w:eastAsia="zh-CN"/>
              </w:rPr>
              <w:t>“反应沉淀池+厌氧池+好氧池+MBR+RO系统”</w:t>
            </w:r>
            <w:r>
              <w:rPr>
                <w:rFonts w:hint="default" w:ascii="Times New Roman" w:hAnsi="Times New Roman" w:eastAsia="宋体" w:cs="Times New Roman"/>
                <w:color w:val="auto"/>
                <w:sz w:val="24"/>
                <w:lang w:val="en-US" w:eastAsia="zh-CN"/>
              </w:rPr>
              <w:t>本项目废水处理工艺对废水中的有机物、</w:t>
            </w:r>
            <w:r>
              <w:rPr>
                <w:rFonts w:hint="eastAsia" w:ascii="Times New Roman" w:hAnsi="Times New Roman" w:eastAsia="宋体" w:cs="Times New Roman"/>
                <w:color w:val="auto"/>
                <w:sz w:val="24"/>
                <w:lang w:val="en-US" w:eastAsia="zh-CN"/>
              </w:rPr>
              <w:t>氨氮、SS、</w:t>
            </w:r>
            <w:r>
              <w:rPr>
                <w:rFonts w:hint="eastAsia" w:cs="Times New Roman"/>
                <w:color w:val="auto"/>
                <w:sz w:val="24"/>
                <w:lang w:val="en-US" w:eastAsia="zh-CN"/>
              </w:rPr>
              <w:t>石油类</w:t>
            </w:r>
            <w:r>
              <w:rPr>
                <w:rFonts w:hint="default" w:ascii="Times New Roman" w:hAnsi="Times New Roman" w:eastAsia="宋体" w:cs="Times New Roman"/>
                <w:color w:val="auto"/>
                <w:sz w:val="24"/>
                <w:lang w:val="en-US" w:eastAsia="zh-CN"/>
              </w:rPr>
              <w:t>等物质的去除具有良好的效果</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根据</w:t>
            </w:r>
            <w:r>
              <w:rPr>
                <w:rFonts w:hint="eastAsia" w:cs="Times New Roman"/>
                <w:color w:val="auto"/>
                <w:sz w:val="24"/>
                <w:lang w:val="en-US" w:eastAsia="zh-CN"/>
              </w:rPr>
              <w:t>上表</w:t>
            </w:r>
            <w:r>
              <w:rPr>
                <w:rFonts w:hint="default" w:ascii="Times New Roman" w:hAnsi="Times New Roman" w:eastAsia="宋体" w:cs="Times New Roman"/>
                <w:color w:val="auto"/>
                <w:sz w:val="24"/>
                <w:lang w:val="en-US" w:eastAsia="zh-CN"/>
              </w:rPr>
              <w:t>可知，处理后的污水中各项指标可以达到污水厂接管标准。根据《排污许可证申请与核发技术规范</w:t>
            </w:r>
            <w:r>
              <w:rPr>
                <w:rFonts w:hint="eastAsia" w:cs="Times New Roman"/>
                <w:color w:val="auto"/>
                <w:sz w:val="24"/>
                <w:lang w:val="en-US" w:eastAsia="zh-CN"/>
              </w:rPr>
              <w:t xml:space="preserve"> </w:t>
            </w:r>
            <w:r>
              <w:rPr>
                <w:rFonts w:hint="default" w:ascii="Times New Roman" w:hAnsi="Times New Roman" w:eastAsia="宋体" w:cs="Times New Roman"/>
                <w:color w:val="auto"/>
                <w:sz w:val="24"/>
                <w:lang w:val="en-US" w:eastAsia="zh-CN"/>
              </w:rPr>
              <w:t>汽车制造业》</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HJ971-2018</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，针对全厂生产废水处理设施</w:t>
            </w:r>
            <w:r>
              <w:rPr>
                <w:rFonts w:hint="eastAsia" w:cs="Times New Roman"/>
                <w:color w:val="auto"/>
                <w:sz w:val="24"/>
                <w:lang w:val="en-US" w:eastAsia="zh-CN"/>
              </w:rPr>
              <w:t>，污染物类型为“石油类、动植物油、化学需氧量、五日生化需氧量、悬浮物、氨氮、磷酸盐”，</w:t>
            </w:r>
            <w:r>
              <w:rPr>
                <w:rFonts w:hint="default" w:ascii="Times New Roman" w:hAnsi="Times New Roman" w:eastAsia="宋体" w:cs="Times New Roman"/>
                <w:color w:val="auto"/>
                <w:sz w:val="24"/>
                <w:lang w:val="en-US" w:eastAsia="zh-CN"/>
              </w:rPr>
              <w:t>推荐可行性技术为</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格栅、调节、</w:t>
            </w:r>
            <w:r>
              <w:rPr>
                <w:rFonts w:hint="eastAsia" w:cs="Times New Roman"/>
                <w:color w:val="auto"/>
                <w:sz w:val="24"/>
                <w:lang w:val="en-US" w:eastAsia="zh-CN"/>
              </w:rPr>
              <w:t>混凝</w:t>
            </w:r>
            <w:r>
              <w:rPr>
                <w:rFonts w:hint="default" w:ascii="Times New Roman" w:hAnsi="Times New Roman" w:eastAsia="宋体" w:cs="Times New Roman"/>
                <w:color w:val="auto"/>
                <w:sz w:val="24"/>
                <w:lang w:val="en-US" w:eastAsia="zh-CN"/>
              </w:rPr>
              <w:t>、水解酸化、生化、沉淀</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二级生化、砂滤、消毒、反渗透、</w:t>
            </w:r>
            <w:r>
              <w:rPr>
                <w:rFonts w:hint="eastAsia" w:cs="Times New Roman"/>
                <w:color w:val="auto"/>
                <w:sz w:val="24"/>
                <w:lang w:val="en-US" w:eastAsia="zh-CN"/>
              </w:rPr>
              <w:t>浓缩</w:t>
            </w:r>
            <w:r>
              <w:rPr>
                <w:rFonts w:hint="default" w:ascii="Times New Roman" w:hAnsi="Times New Roman" w:eastAsia="宋体" w:cs="Times New Roman"/>
                <w:color w:val="auto"/>
                <w:sz w:val="24"/>
                <w:lang w:val="en-US" w:eastAsia="zh-CN"/>
              </w:rPr>
              <w:t>蒸发</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，因此本项目生产废水处理设施技术可行。</w:t>
            </w:r>
          </w:p>
          <w:p w14:paraId="79704198">
            <w:pPr>
              <w:spacing w:line="360" w:lineRule="auto"/>
              <w:rPr>
                <w:b/>
                <w:bCs/>
                <w:color w:val="auto"/>
                <w:sz w:val="24"/>
                <w:szCs w:val="24"/>
                <w:highlight w:val="none"/>
              </w:rPr>
            </w:pPr>
            <w:r>
              <w:rPr>
                <w:rFonts w:hint="eastAsia"/>
                <w:b/>
                <w:bCs/>
                <w:color w:val="auto"/>
                <w:sz w:val="24"/>
                <w:szCs w:val="24"/>
                <w:highlight w:val="none"/>
                <w:lang w:val="en-US" w:eastAsia="zh-CN"/>
              </w:rPr>
              <w:t>2.3  项目</w:t>
            </w:r>
            <w:r>
              <w:rPr>
                <w:b/>
                <w:bCs/>
                <w:color w:val="auto"/>
                <w:sz w:val="24"/>
                <w:szCs w:val="24"/>
                <w:highlight w:val="none"/>
              </w:rPr>
              <w:t>依托</w:t>
            </w:r>
            <w:r>
              <w:rPr>
                <w:rFonts w:hint="eastAsia"/>
                <w:b/>
                <w:bCs/>
                <w:color w:val="auto"/>
                <w:sz w:val="24"/>
                <w:szCs w:val="24"/>
                <w:highlight w:val="none"/>
              </w:rPr>
              <w:t>苏州高铁苏水水务有限公司</w:t>
            </w:r>
            <w:r>
              <w:rPr>
                <w:rFonts w:hint="eastAsia"/>
                <w:b/>
                <w:bCs/>
                <w:color w:val="auto"/>
                <w:sz w:val="24"/>
                <w:szCs w:val="24"/>
                <w:highlight w:val="none"/>
                <w:lang w:eastAsia="zh-CN"/>
              </w:rPr>
              <w:t>（</w:t>
            </w:r>
            <w:r>
              <w:rPr>
                <w:rFonts w:hint="eastAsia"/>
                <w:b/>
                <w:bCs/>
                <w:color w:val="auto"/>
                <w:sz w:val="24"/>
                <w:szCs w:val="24"/>
                <w:highlight w:val="none"/>
              </w:rPr>
              <w:t>苏州高铁新城污水厂</w:t>
            </w:r>
            <w:r>
              <w:rPr>
                <w:rFonts w:hint="eastAsia"/>
                <w:b/>
                <w:bCs/>
                <w:color w:val="auto"/>
                <w:sz w:val="24"/>
                <w:szCs w:val="24"/>
                <w:highlight w:val="none"/>
                <w:lang w:eastAsia="zh-CN"/>
              </w:rPr>
              <w:t>）</w:t>
            </w:r>
            <w:r>
              <w:rPr>
                <w:b/>
                <w:bCs/>
                <w:color w:val="auto"/>
                <w:sz w:val="24"/>
                <w:szCs w:val="24"/>
                <w:highlight w:val="none"/>
              </w:rPr>
              <w:t>可行性分析</w:t>
            </w:r>
          </w:p>
          <w:p w14:paraId="7930558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（1）污水厂基本情况介绍</w:t>
            </w:r>
          </w:p>
          <w:p w14:paraId="3FC9F15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苏州高铁苏水水务有限公司</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苏州市高铁新城污水厂</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位于苏州市相城区永昌泾以北、民乐路以东、澄乐路以南区域，一期工程占地面积约67.2亩，设计规模为4万m</w:t>
            </w:r>
            <w:r>
              <w:rPr>
                <w:rFonts w:hint="eastAsia" w:cs="Times New Roman"/>
                <w:color w:val="auto"/>
                <w:sz w:val="24"/>
                <w:vertAlign w:val="superscript"/>
                <w:lang w:val="en-US" w:eastAsia="zh-CN"/>
              </w:rPr>
              <w:t>3</w:t>
            </w:r>
            <w:r>
              <w:rPr>
                <w:rFonts w:hint="eastAsia" w:ascii="Times New Roman" w:hAnsi="Times New Roman" w:cs="Times New Roman"/>
                <w:color w:val="auto"/>
                <w:sz w:val="24"/>
                <w:lang w:val="en-US" w:eastAsia="zh-CN"/>
              </w:rPr>
              <w:t>/d</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污水处理采用组合式分点进水倒置A</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O</w:t>
            </w:r>
            <w:r>
              <w:rPr>
                <w:rFonts w:hint="eastAsia" w:ascii="Times New Roman" w:hAnsi="Times New Roman" w:cs="Times New Roman"/>
                <w:color w:val="auto"/>
                <w:sz w:val="24"/>
                <w:lang w:val="en-US" w:eastAsia="zh-CN"/>
              </w:rPr>
              <w:t>处理工艺，出水执行《苏州市关于高质量推进城乡生活污水治理三年行动计划的实施意见》</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苏委办发</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2018</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77号</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苏州特别排放限值标准</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和《城镇污水处理厂污染物排放标准》</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GB</w:t>
            </w:r>
            <w:r>
              <w:rPr>
                <w:rFonts w:hint="eastAsia" w:cs="Times New Roman"/>
                <w:color w:val="auto"/>
                <w:sz w:val="24"/>
                <w:lang w:val="en-US" w:eastAsia="zh-CN"/>
              </w:rPr>
              <w:t xml:space="preserve"> </w:t>
            </w:r>
            <w:r>
              <w:rPr>
                <w:rFonts w:hint="eastAsia" w:ascii="Times New Roman" w:hAnsi="Times New Roman" w:cs="Times New Roman"/>
                <w:color w:val="auto"/>
                <w:sz w:val="24"/>
                <w:lang w:val="en-US" w:eastAsia="zh-CN"/>
              </w:rPr>
              <w:t>18918-2002</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的一级A标准。目前一期4万m</w:t>
            </w:r>
            <w:r>
              <w:rPr>
                <w:rFonts w:hint="eastAsia" w:cs="Times New Roman"/>
                <w:color w:val="auto"/>
                <w:sz w:val="24"/>
                <w:vertAlign w:val="superscript"/>
                <w:lang w:val="en-US" w:eastAsia="zh-CN"/>
              </w:rPr>
              <w:t>3</w:t>
            </w:r>
            <w:r>
              <w:rPr>
                <w:rFonts w:hint="eastAsia" w:ascii="Times New Roman" w:hAnsi="Times New Roman" w:cs="Times New Roman"/>
                <w:color w:val="auto"/>
                <w:sz w:val="24"/>
                <w:lang w:val="en-US" w:eastAsia="zh-CN"/>
              </w:rPr>
              <w:t>/d已建成投运</w:t>
            </w:r>
            <w:r>
              <w:rPr>
                <w:rFonts w:hint="eastAsia" w:cs="Times New Roman"/>
                <w:color w:val="auto"/>
                <w:sz w:val="24"/>
                <w:lang w:val="en-US" w:eastAsia="zh-CN"/>
              </w:rPr>
              <w:t>。</w:t>
            </w:r>
          </w:p>
          <w:p w14:paraId="429CB99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污水厂服务范围</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包括高铁新城、渭塘镇以及太平街道。其中高铁新城区服务范围为东至聚金路、西至元和塘，北至渭泾塘，南至太阳路，面积约28.9平方公里，其中建设用地约23.8平方公里</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渭塘镇服务范围为元和塘以东、绕城高速以南、盛泽荡绿岸风貌游览区以西、永昌经以北地区，面积约18.7平方公里，其中建设用地约12.0平方公里</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太平街道服务范围为苏嘉杭高速公路以西，聚金路以东，渭泾塘以南，太阳路以北区域，面积约8</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5平方公里，其中建设用地约7.3平方公里。</w:t>
            </w:r>
          </w:p>
          <w:p w14:paraId="74A748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szCs w:val="24"/>
                <w:highlight w:val="none"/>
              </w:rPr>
            </w:pPr>
            <w:r>
              <w:rPr>
                <w:rFonts w:hint="eastAsia" w:ascii="Times New Roman" w:hAnsi="Times New Roman" w:cs="Times New Roman"/>
                <w:color w:val="auto"/>
                <w:sz w:val="24"/>
                <w:lang w:val="en-US" w:eastAsia="zh-CN"/>
              </w:rPr>
              <w:t>苏州高铁苏水水务有限公司</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苏州市高铁新城污水厂</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一期工程处理工艺为</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粗格栅及提升泵房+细格栅及曝气沉砂池+初沉池及A</w:t>
            </w:r>
            <w:r>
              <w:rPr>
                <w:rFonts w:hint="eastAsia" w:ascii="Times New Roman" w:hAnsi="Times New Roman" w:cs="Times New Roman"/>
                <w:color w:val="auto"/>
                <w:sz w:val="24"/>
                <w:vertAlign w:val="superscript"/>
                <w:lang w:val="en-US" w:eastAsia="zh-CN"/>
              </w:rPr>
              <w:t>2</w:t>
            </w:r>
            <w:r>
              <w:rPr>
                <w:rFonts w:hint="eastAsia" w:cs="Times New Roman"/>
                <w:color w:val="auto"/>
                <w:sz w:val="24"/>
                <w:lang w:val="en-US" w:eastAsia="zh-CN"/>
              </w:rPr>
              <w:t>/O</w:t>
            </w:r>
            <w:r>
              <w:rPr>
                <w:rFonts w:hint="eastAsia" w:ascii="Times New Roman" w:hAnsi="Times New Roman" w:cs="Times New Roman"/>
                <w:color w:val="auto"/>
                <w:sz w:val="24"/>
                <w:lang w:val="en-US" w:eastAsia="zh-CN"/>
              </w:rPr>
              <w:t>生化池+滤布滤池+消毒池</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。污泥处理采用</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重力浓缩池+离心脱水机</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的处理工艺，消毒处理采用二氧化氯消毒工艺，出水达到GB</w:t>
            </w:r>
            <w:r>
              <w:rPr>
                <w:rFonts w:hint="eastAsia" w:cs="Times New Roman"/>
                <w:color w:val="auto"/>
                <w:sz w:val="24"/>
                <w:lang w:val="en-US" w:eastAsia="zh-CN"/>
              </w:rPr>
              <w:t xml:space="preserve"> </w:t>
            </w:r>
            <w:r>
              <w:rPr>
                <w:rFonts w:hint="eastAsia" w:ascii="Times New Roman" w:hAnsi="Times New Roman" w:cs="Times New Roman"/>
                <w:color w:val="auto"/>
                <w:sz w:val="24"/>
                <w:lang w:val="en-US" w:eastAsia="zh-CN"/>
              </w:rPr>
              <w:t>18918-2002</w:t>
            </w:r>
            <w:r>
              <w:rPr>
                <w:rFonts w:hint="eastAsia" w:cs="Times New Roman"/>
                <w:color w:val="auto"/>
                <w:sz w:val="24"/>
                <w:lang w:val="en-US" w:eastAsia="zh-CN"/>
              </w:rPr>
              <w:t>一</w:t>
            </w:r>
            <w:r>
              <w:rPr>
                <w:rFonts w:hint="eastAsia" w:ascii="Times New Roman" w:hAnsi="Times New Roman" w:cs="Times New Roman"/>
                <w:color w:val="auto"/>
                <w:sz w:val="24"/>
                <w:lang w:val="en-US" w:eastAsia="zh-CN"/>
              </w:rPr>
              <w:t>级A标准。</w:t>
            </w:r>
          </w:p>
          <w:p w14:paraId="26C75D4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w:t>
            </w:r>
            <w:r>
              <w:rPr>
                <w:rFonts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接管可行性分析</w:t>
            </w:r>
          </w:p>
          <w:p w14:paraId="6133D86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auto"/>
              <w:rPr>
                <w:rFonts w:hint="eastAsia" w:eastAsia="宋体"/>
                <w:color w:val="auto"/>
                <w:sz w:val="24"/>
                <w:szCs w:val="24"/>
                <w:highlight w:val="none"/>
                <w:lang w:eastAsia="zh-CN"/>
              </w:rPr>
            </w:pPr>
            <w:r>
              <w:rPr>
                <w:b/>
                <w:bCs/>
                <w:color w:val="auto"/>
                <w:sz w:val="24"/>
                <w:szCs w:val="24"/>
                <w:highlight w:val="none"/>
              </w:rPr>
              <w:t>水质接管的可行性</w:t>
            </w:r>
            <w:r>
              <w:rPr>
                <w:rFonts w:hint="eastAsia"/>
                <w:b/>
                <w:bCs/>
                <w:color w:val="auto"/>
                <w:sz w:val="24"/>
                <w:szCs w:val="24"/>
                <w:highlight w:val="none"/>
                <w:lang w:eastAsia="zh-CN"/>
              </w:rPr>
              <w:t>：</w:t>
            </w:r>
            <w:r>
              <w:rPr>
                <w:rFonts w:hint="eastAsia"/>
                <w:color w:val="auto"/>
                <w:sz w:val="24"/>
                <w:szCs w:val="24"/>
                <w:highlight w:val="none"/>
                <w:lang w:eastAsia="zh-CN"/>
              </w:rPr>
              <w:t>本项目</w:t>
            </w:r>
            <w:r>
              <w:rPr>
                <w:rFonts w:hint="eastAsia"/>
                <w:color w:val="auto"/>
                <w:sz w:val="24"/>
                <w:szCs w:val="24"/>
                <w:highlight w:val="none"/>
                <w:lang w:val="en-US" w:eastAsia="zh-CN"/>
              </w:rPr>
              <w:t>废水</w:t>
            </w:r>
            <w:r>
              <w:rPr>
                <w:rFonts w:hint="eastAsia"/>
                <w:color w:val="auto"/>
                <w:sz w:val="24"/>
                <w:szCs w:val="24"/>
                <w:highlight w:val="none"/>
                <w:lang w:eastAsia="zh-CN"/>
              </w:rPr>
              <w:t>水质简单，污水浓度符合</w:t>
            </w:r>
            <w:r>
              <w:rPr>
                <w:rFonts w:hint="eastAsia" w:ascii="Times New Roman" w:hAnsi="Times New Roman" w:cs="Times New Roman"/>
                <w:color w:val="auto"/>
                <w:sz w:val="24"/>
                <w:lang w:val="en-US" w:eastAsia="zh-CN"/>
              </w:rPr>
              <w:t>苏州高铁苏水水务有限公司</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苏州市高铁新城污水厂</w:t>
            </w:r>
            <w:r>
              <w:rPr>
                <w:rFonts w:hint="eastAsia" w:cs="Times New Roman"/>
                <w:color w:val="auto"/>
                <w:sz w:val="24"/>
                <w:lang w:val="en-US" w:eastAsia="zh-CN"/>
              </w:rPr>
              <w:t>）</w:t>
            </w:r>
            <w:r>
              <w:rPr>
                <w:rFonts w:hint="eastAsia"/>
                <w:color w:val="auto"/>
                <w:sz w:val="24"/>
                <w:szCs w:val="24"/>
                <w:highlight w:val="none"/>
                <w:lang w:eastAsia="zh-CN"/>
              </w:rPr>
              <w:t>的接管标准，不会对污水处理厂的正常运行造成不利的影响，其水质完全可以满足污水处理厂的接管要求。</w:t>
            </w:r>
          </w:p>
          <w:p w14:paraId="3ED04480">
            <w:pPr>
              <w:pStyle w:val="29"/>
              <w:spacing w:line="360" w:lineRule="auto"/>
              <w:ind w:firstLine="482" w:firstLineChars="200"/>
              <w:jc w:val="both"/>
              <w:rPr>
                <w:rFonts w:hint="eastAsia" w:ascii="Times New Roman" w:eastAsia="宋体" w:cs="Times New Roman"/>
                <w:color w:val="auto"/>
                <w:sz w:val="24"/>
                <w:szCs w:val="24"/>
                <w:highlight w:val="none"/>
                <w:lang w:eastAsia="zh-CN"/>
              </w:rPr>
            </w:pPr>
            <w:r>
              <w:rPr>
                <w:rFonts w:ascii="Times New Roman" w:cs="Times New Roman"/>
                <w:b/>
                <w:bCs/>
                <w:color w:val="auto"/>
                <w:sz w:val="24"/>
                <w:szCs w:val="24"/>
                <w:highlight w:val="none"/>
              </w:rPr>
              <w:t>水量接管的可行性</w:t>
            </w:r>
            <w:r>
              <w:rPr>
                <w:rFonts w:hint="eastAsia" w:ascii="Times New Roman" w:cs="Times New Roman"/>
                <w:b/>
                <w:bCs/>
                <w:color w:val="auto"/>
                <w:sz w:val="24"/>
                <w:szCs w:val="24"/>
                <w:highlight w:val="none"/>
                <w:lang w:eastAsia="zh-CN"/>
              </w:rPr>
              <w:t>：</w:t>
            </w:r>
            <w:r>
              <w:rPr>
                <w:rFonts w:ascii="Times New Roman" w:cs="Times New Roman"/>
                <w:color w:val="auto"/>
                <w:sz w:val="24"/>
                <w:szCs w:val="24"/>
                <w:highlight w:val="none"/>
              </w:rPr>
              <w:t>目前，</w:t>
            </w:r>
            <w:r>
              <w:rPr>
                <w:rFonts w:hint="eastAsia" w:ascii="Times New Roman" w:hAnsi="Times New Roman" w:cs="Times New Roman"/>
                <w:color w:val="auto"/>
                <w:sz w:val="24"/>
                <w:lang w:val="en-US" w:eastAsia="zh-CN"/>
              </w:rPr>
              <w:t>苏州高铁苏水水务有限公司</w:t>
            </w:r>
            <w:r>
              <w:rPr>
                <w:rFonts w:hint="eastAsia" w:ascii="Times New Roman" w:cs="Times New Roman"/>
                <w:color w:val="auto"/>
                <w:sz w:val="24"/>
                <w:lang w:val="en-US" w:eastAsia="zh-CN"/>
              </w:rPr>
              <w:t>（</w:t>
            </w:r>
            <w:r>
              <w:rPr>
                <w:rFonts w:hint="eastAsia" w:ascii="Times New Roman" w:hAnsi="Times New Roman" w:cs="Times New Roman"/>
                <w:color w:val="auto"/>
                <w:sz w:val="24"/>
                <w:lang w:val="en-US" w:eastAsia="zh-CN"/>
              </w:rPr>
              <w:t>苏州高铁新城污水厂</w:t>
            </w:r>
            <w:r>
              <w:rPr>
                <w:rFonts w:hint="eastAsia" w:ascii="Times New Roman" w:cs="Times New Roman"/>
                <w:color w:val="auto"/>
                <w:sz w:val="24"/>
                <w:lang w:val="en-US" w:eastAsia="zh-CN"/>
              </w:rPr>
              <w:t>）</w:t>
            </w:r>
            <w:r>
              <w:rPr>
                <w:rFonts w:ascii="Times New Roman" w:cs="Times New Roman"/>
                <w:color w:val="auto"/>
                <w:sz w:val="24"/>
                <w:szCs w:val="24"/>
                <w:highlight w:val="none"/>
              </w:rPr>
              <w:t>处理能力为</w:t>
            </w:r>
            <w:r>
              <w:rPr>
                <w:rFonts w:hint="eastAsia" w:ascii="Times New Roman" w:cs="Times New Roman"/>
                <w:color w:val="auto"/>
                <w:sz w:val="24"/>
                <w:szCs w:val="24"/>
                <w:highlight w:val="none"/>
                <w:lang w:val="en-US" w:eastAsia="zh-CN"/>
              </w:rPr>
              <w:t>4</w:t>
            </w:r>
            <w:r>
              <w:rPr>
                <w:rFonts w:ascii="Times New Roman" w:cs="Times New Roman"/>
                <w:color w:val="auto"/>
                <w:sz w:val="24"/>
                <w:szCs w:val="24"/>
                <w:highlight w:val="none"/>
              </w:rPr>
              <w:t>万t/d，现该污水处理厂的接管总量约</w:t>
            </w:r>
            <w:r>
              <w:rPr>
                <w:rFonts w:hint="eastAsia" w:ascii="Times New Roman" w:cs="Times New Roman"/>
                <w:color w:val="auto"/>
                <w:sz w:val="24"/>
                <w:szCs w:val="24"/>
                <w:highlight w:val="none"/>
                <w:lang w:val="en-US" w:eastAsia="zh-CN"/>
              </w:rPr>
              <w:t>2.16</w:t>
            </w:r>
            <w:r>
              <w:rPr>
                <w:rFonts w:ascii="Times New Roman" w:cs="Times New Roman"/>
                <w:color w:val="auto"/>
                <w:sz w:val="24"/>
                <w:szCs w:val="24"/>
                <w:highlight w:val="none"/>
              </w:rPr>
              <w:t>万t/d，尚有</w:t>
            </w:r>
            <w:r>
              <w:rPr>
                <w:rFonts w:hint="eastAsia" w:ascii="Times New Roman" w:cs="Times New Roman"/>
                <w:color w:val="auto"/>
                <w:sz w:val="24"/>
                <w:szCs w:val="24"/>
                <w:highlight w:val="none"/>
                <w:lang w:val="en-US" w:eastAsia="zh-CN"/>
              </w:rPr>
              <w:t>1.84</w:t>
            </w:r>
            <w:r>
              <w:rPr>
                <w:rFonts w:ascii="Times New Roman" w:cs="Times New Roman"/>
                <w:color w:val="auto"/>
                <w:sz w:val="24"/>
                <w:szCs w:val="24"/>
                <w:highlight w:val="none"/>
              </w:rPr>
              <w:t>万t/d余量。本项目废水排放量</w:t>
            </w:r>
            <w:r>
              <w:rPr>
                <w:rFonts w:hint="eastAsia" w:ascii="Times New Roman" w:cs="Times New Roman"/>
                <w:color w:val="auto"/>
                <w:sz w:val="24"/>
                <w:szCs w:val="24"/>
                <w:highlight w:val="none"/>
                <w:lang w:val="en-US" w:eastAsia="zh-CN"/>
              </w:rPr>
              <w:t>16788.186</w:t>
            </w:r>
            <w:r>
              <w:rPr>
                <w:rFonts w:ascii="Times New Roman" w:cs="Times New Roman"/>
                <w:color w:val="auto"/>
                <w:sz w:val="24"/>
                <w:szCs w:val="24"/>
                <w:highlight w:val="none"/>
              </w:rPr>
              <w:t>t/a（</w:t>
            </w:r>
            <w:r>
              <w:rPr>
                <w:rFonts w:hint="eastAsia" w:ascii="Times New Roman" w:cs="Times New Roman"/>
                <w:color w:val="auto"/>
                <w:sz w:val="24"/>
                <w:szCs w:val="24"/>
                <w:highlight w:val="none"/>
                <w:lang w:val="en-US" w:eastAsia="zh-CN"/>
              </w:rPr>
              <w:t>约55.96062</w:t>
            </w:r>
            <w:r>
              <w:rPr>
                <w:rFonts w:ascii="Times New Roman" w:cs="Times New Roman"/>
                <w:color w:val="auto"/>
                <w:sz w:val="24"/>
                <w:szCs w:val="24"/>
                <w:highlight w:val="none"/>
              </w:rPr>
              <w:t>t/d），约占</w:t>
            </w:r>
            <w:r>
              <w:rPr>
                <w:rFonts w:hint="eastAsia" w:ascii="Times New Roman" w:hAnsi="Times New Roman" w:cs="Times New Roman"/>
                <w:color w:val="auto"/>
                <w:sz w:val="24"/>
                <w:lang w:val="en-US" w:eastAsia="zh-CN"/>
              </w:rPr>
              <w:t>苏州高铁苏水水务有限公司</w:t>
            </w:r>
            <w:r>
              <w:rPr>
                <w:rFonts w:hint="eastAsia" w:ascii="Times New Roman" w:cs="Times New Roman"/>
                <w:color w:val="auto"/>
                <w:sz w:val="24"/>
                <w:lang w:val="en-US" w:eastAsia="zh-CN"/>
              </w:rPr>
              <w:t>（</w:t>
            </w:r>
            <w:r>
              <w:rPr>
                <w:rFonts w:hint="eastAsia" w:ascii="Times New Roman" w:hAnsi="Times New Roman" w:cs="Times New Roman"/>
                <w:color w:val="auto"/>
                <w:sz w:val="24"/>
                <w:lang w:val="en-US" w:eastAsia="zh-CN"/>
              </w:rPr>
              <w:t>苏州高铁新城污水厂</w:t>
            </w:r>
            <w:r>
              <w:rPr>
                <w:rFonts w:hint="eastAsia" w:ascii="Times New Roman" w:cs="Times New Roman"/>
                <w:color w:val="auto"/>
                <w:sz w:val="24"/>
                <w:lang w:val="en-US" w:eastAsia="zh-CN"/>
              </w:rPr>
              <w:t>）</w:t>
            </w:r>
            <w:r>
              <w:rPr>
                <w:rFonts w:ascii="Times New Roman" w:cs="Times New Roman"/>
                <w:color w:val="auto"/>
                <w:sz w:val="24"/>
                <w:szCs w:val="24"/>
                <w:highlight w:val="none"/>
              </w:rPr>
              <w:t>接管余量的</w:t>
            </w:r>
            <w:r>
              <w:rPr>
                <w:rFonts w:hint="eastAsia" w:ascii="Times New Roman" w:cs="Times New Roman"/>
                <w:color w:val="auto"/>
                <w:sz w:val="24"/>
                <w:szCs w:val="24"/>
                <w:highlight w:val="none"/>
                <w:lang w:val="en-US" w:eastAsia="zh-CN"/>
              </w:rPr>
              <w:t>0.30</w:t>
            </w:r>
            <w:r>
              <w:rPr>
                <w:rFonts w:ascii="Times New Roman" w:cs="Times New Roman"/>
                <w:color w:val="auto"/>
                <w:sz w:val="24"/>
                <w:szCs w:val="24"/>
                <w:highlight w:val="none"/>
              </w:rPr>
              <w:t>%左右，因此，</w:t>
            </w:r>
            <w:r>
              <w:rPr>
                <w:rFonts w:hint="eastAsia" w:ascii="Times New Roman" w:hAnsi="Times New Roman" w:cs="Times New Roman"/>
                <w:color w:val="auto"/>
                <w:sz w:val="24"/>
                <w:lang w:val="en-US" w:eastAsia="zh-CN"/>
              </w:rPr>
              <w:t>苏州高铁苏水水务有限公司</w:t>
            </w:r>
            <w:r>
              <w:rPr>
                <w:rFonts w:hint="eastAsia" w:ascii="Times New Roman" w:cs="Times New Roman"/>
                <w:color w:val="auto"/>
                <w:sz w:val="24"/>
                <w:lang w:val="en-US" w:eastAsia="zh-CN"/>
              </w:rPr>
              <w:t>（</w:t>
            </w:r>
            <w:r>
              <w:rPr>
                <w:rFonts w:hint="eastAsia" w:ascii="Times New Roman" w:hAnsi="Times New Roman" w:cs="Times New Roman"/>
                <w:color w:val="auto"/>
                <w:sz w:val="24"/>
                <w:lang w:val="en-US" w:eastAsia="zh-CN"/>
              </w:rPr>
              <w:t>苏州高铁新城污水厂</w:t>
            </w:r>
            <w:r>
              <w:rPr>
                <w:rFonts w:hint="eastAsia" w:ascii="Times New Roman" w:cs="Times New Roman"/>
                <w:color w:val="auto"/>
                <w:sz w:val="24"/>
                <w:lang w:val="en-US" w:eastAsia="zh-CN"/>
              </w:rPr>
              <w:t>）</w:t>
            </w:r>
            <w:r>
              <w:rPr>
                <w:rFonts w:ascii="Times New Roman" w:cs="Times New Roman"/>
                <w:color w:val="auto"/>
                <w:sz w:val="24"/>
                <w:szCs w:val="24"/>
                <w:highlight w:val="none"/>
              </w:rPr>
              <w:t>有足够的余量接纳本项目排放的污水</w:t>
            </w:r>
            <w:r>
              <w:rPr>
                <w:rFonts w:hint="eastAsia" w:ascii="Times New Roman" w:cs="Times New Roman"/>
                <w:color w:val="auto"/>
                <w:sz w:val="24"/>
                <w:szCs w:val="24"/>
                <w:highlight w:val="none"/>
                <w:lang w:eastAsia="zh-CN"/>
              </w:rPr>
              <w:t>。</w:t>
            </w:r>
          </w:p>
          <w:p w14:paraId="4D2B7B07">
            <w:pPr>
              <w:pStyle w:val="29"/>
              <w:numPr>
                <w:ilvl w:val="0"/>
                <w:numId w:val="0"/>
              </w:numPr>
              <w:spacing w:line="360" w:lineRule="auto"/>
              <w:ind w:firstLine="482" w:firstLineChars="200"/>
              <w:jc w:val="both"/>
              <w:rPr>
                <w:rFonts w:ascii="Times New Roman" w:cs="Times New Roman"/>
                <w:color w:val="auto"/>
                <w:sz w:val="24"/>
                <w:szCs w:val="24"/>
                <w:highlight w:val="none"/>
              </w:rPr>
            </w:pPr>
            <w:r>
              <w:rPr>
                <w:rFonts w:ascii="Times New Roman" w:cs="Times New Roman"/>
                <w:b/>
                <w:bCs/>
                <w:color w:val="auto"/>
                <w:sz w:val="24"/>
                <w:szCs w:val="24"/>
                <w:highlight w:val="none"/>
              </w:rPr>
              <w:t>管网建设情况</w:t>
            </w:r>
            <w:r>
              <w:rPr>
                <w:rFonts w:hint="eastAsia" w:ascii="Times New Roman" w:cs="Times New Roman"/>
                <w:b/>
                <w:bCs/>
                <w:color w:val="auto"/>
                <w:sz w:val="24"/>
                <w:szCs w:val="24"/>
                <w:highlight w:val="none"/>
                <w:lang w:eastAsia="zh-CN"/>
              </w:rPr>
              <w:t>：</w:t>
            </w:r>
            <w:r>
              <w:rPr>
                <w:rFonts w:ascii="Times New Roman" w:cs="Times New Roman"/>
                <w:color w:val="auto"/>
                <w:sz w:val="24"/>
                <w:szCs w:val="24"/>
                <w:highlight w:val="none"/>
              </w:rPr>
              <w:t>经核实，市政污水管网已铺设至本项目附近，本项目已接管，因此本项目污水可直接排入市政污水管网。</w:t>
            </w:r>
          </w:p>
          <w:p w14:paraId="0C493616">
            <w:pPr>
              <w:pStyle w:val="29"/>
              <w:spacing w:line="360" w:lineRule="auto"/>
              <w:ind w:firstLine="480" w:firstLineChars="200"/>
              <w:jc w:val="both"/>
              <w:rPr>
                <w:rFonts w:ascii="Times New Roman" w:cs="Times New Roman"/>
                <w:color w:val="auto"/>
                <w:sz w:val="24"/>
                <w:szCs w:val="24"/>
                <w:highlight w:val="none"/>
              </w:rPr>
            </w:pPr>
            <w:r>
              <w:rPr>
                <w:rFonts w:ascii="Times New Roman" w:cs="Times New Roman"/>
                <w:color w:val="auto"/>
                <w:sz w:val="24"/>
                <w:szCs w:val="24"/>
                <w:highlight w:val="none"/>
              </w:rPr>
              <w:t>综上所述，本项目废水排入</w:t>
            </w:r>
            <w:r>
              <w:rPr>
                <w:rFonts w:hint="eastAsia" w:ascii="Times New Roman" w:hAnsi="Times New Roman" w:cs="Times New Roman"/>
                <w:color w:val="auto"/>
                <w:sz w:val="24"/>
                <w:lang w:val="en-US" w:eastAsia="zh-CN"/>
              </w:rPr>
              <w:t>苏州高铁苏水水务有限公司</w:t>
            </w:r>
            <w:r>
              <w:rPr>
                <w:rFonts w:hint="eastAsia" w:ascii="Times New Roman" w:cs="Times New Roman"/>
                <w:color w:val="auto"/>
                <w:sz w:val="24"/>
                <w:lang w:val="en-US" w:eastAsia="zh-CN"/>
              </w:rPr>
              <w:t>（</w:t>
            </w:r>
            <w:r>
              <w:rPr>
                <w:rFonts w:hint="eastAsia" w:ascii="Times New Roman" w:hAnsi="Times New Roman" w:cs="Times New Roman"/>
                <w:color w:val="auto"/>
                <w:sz w:val="24"/>
                <w:lang w:val="en-US" w:eastAsia="zh-CN"/>
              </w:rPr>
              <w:t>苏州高铁新城污水厂</w:t>
            </w:r>
            <w:r>
              <w:rPr>
                <w:rFonts w:hint="eastAsia" w:ascii="Times New Roman" w:cs="Times New Roman"/>
                <w:color w:val="auto"/>
                <w:sz w:val="24"/>
                <w:lang w:val="en-US" w:eastAsia="zh-CN"/>
              </w:rPr>
              <w:t>）</w:t>
            </w:r>
            <w:r>
              <w:rPr>
                <w:rFonts w:ascii="Times New Roman" w:cs="Times New Roman"/>
                <w:color w:val="auto"/>
                <w:sz w:val="24"/>
                <w:szCs w:val="24"/>
                <w:highlight w:val="none"/>
              </w:rPr>
              <w:t>处理从接管水量</w:t>
            </w:r>
            <w:r>
              <w:rPr>
                <w:rFonts w:hint="eastAsia" w:ascii="Times New Roman" w:cs="Times New Roman"/>
                <w:color w:val="auto"/>
                <w:sz w:val="24"/>
                <w:szCs w:val="24"/>
                <w:highlight w:val="none"/>
                <w:lang w:eastAsia="zh-CN"/>
              </w:rPr>
              <w:t>、</w:t>
            </w:r>
            <w:r>
              <w:rPr>
                <w:rFonts w:ascii="Times New Roman" w:cs="Times New Roman"/>
                <w:color w:val="auto"/>
                <w:sz w:val="24"/>
                <w:szCs w:val="24"/>
                <w:highlight w:val="none"/>
              </w:rPr>
              <w:t>水质、管网铺设等方面均是可行的。</w:t>
            </w:r>
          </w:p>
          <w:p w14:paraId="054744F7">
            <w:pPr>
              <w:pStyle w:val="29"/>
              <w:spacing w:line="360" w:lineRule="auto"/>
              <w:ind w:firstLine="482" w:firstLineChars="200"/>
              <w:jc w:val="both"/>
              <w:rPr>
                <w:rFonts w:hint="default" w:ascii="Times New Roman" w:eastAsia="宋体" w:cs="Times New Roman"/>
                <w:b/>
                <w:bCs/>
                <w:color w:val="auto"/>
                <w:sz w:val="24"/>
                <w:szCs w:val="24"/>
                <w:highlight w:val="none"/>
                <w:lang w:val="en-US" w:eastAsia="zh-CN"/>
              </w:rPr>
            </w:pPr>
            <w:r>
              <w:rPr>
                <w:rFonts w:hint="eastAsia" w:ascii="Times New Roman" w:cs="Times New Roman"/>
                <w:b/>
                <w:bCs/>
                <w:color w:val="auto"/>
                <w:sz w:val="24"/>
                <w:szCs w:val="24"/>
                <w:highlight w:val="none"/>
                <w:lang w:eastAsia="zh-CN"/>
              </w:rPr>
              <w:t>（</w:t>
            </w:r>
            <w:r>
              <w:rPr>
                <w:rFonts w:hint="eastAsia" w:ascii="Times New Roman" w:cs="Times New Roman"/>
                <w:b/>
                <w:bCs/>
                <w:color w:val="auto"/>
                <w:sz w:val="24"/>
                <w:szCs w:val="24"/>
                <w:highlight w:val="none"/>
                <w:lang w:val="en-US" w:eastAsia="zh-CN"/>
              </w:rPr>
              <w:t>3</w:t>
            </w:r>
            <w:r>
              <w:rPr>
                <w:rFonts w:hint="eastAsia" w:ascii="Times New Roman" w:cs="Times New Roman"/>
                <w:b/>
                <w:bCs/>
                <w:color w:val="auto"/>
                <w:sz w:val="24"/>
                <w:szCs w:val="24"/>
                <w:highlight w:val="none"/>
                <w:lang w:eastAsia="zh-CN"/>
              </w:rPr>
              <w:t>）</w:t>
            </w:r>
            <w:r>
              <w:rPr>
                <w:rFonts w:hint="eastAsia" w:ascii="Times New Roman" w:cs="Times New Roman"/>
                <w:b/>
                <w:bCs/>
                <w:color w:val="auto"/>
                <w:sz w:val="24"/>
                <w:szCs w:val="24"/>
                <w:highlight w:val="none"/>
                <w:lang w:val="en-US" w:eastAsia="zh-CN"/>
              </w:rPr>
              <w:t>处理工艺分析</w:t>
            </w:r>
          </w:p>
          <w:p w14:paraId="64F63610">
            <w:pPr>
              <w:pStyle w:val="29"/>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苏州高铁新城污水厂废水处理工艺如下图所示</w:t>
            </w:r>
            <w:r>
              <w:rPr>
                <w:rFonts w:hint="eastAsia" w:ascii="Times New Roman" w:hAnsi="Times New Roman" w:eastAsia="宋体" w:cs="Times New Roman"/>
                <w:color w:val="auto"/>
                <w:sz w:val="24"/>
                <w:szCs w:val="24"/>
                <w:highlight w:val="none"/>
                <w:lang w:eastAsia="zh-CN"/>
              </w:rPr>
              <w:t>：</w:t>
            </w:r>
          </w:p>
          <w:p w14:paraId="0AAFB931">
            <w:pPr>
              <w:pStyle w:val="29"/>
              <w:spacing w:line="360" w:lineRule="auto"/>
              <w:jc w:val="center"/>
              <w:rPr>
                <w:rFonts w:hint="eastAsia" w:ascii="Times New Roman" w:hAnsi="Times New Roman" w:eastAsia="宋体" w:cs="Times New Roman"/>
                <w:color w:val="auto"/>
                <w:sz w:val="24"/>
                <w:szCs w:val="24"/>
                <w:highlight w:val="none"/>
                <w:lang w:eastAsia="zh-CN"/>
              </w:rPr>
            </w:pPr>
            <w:r>
              <w:rPr>
                <w:color w:val="auto"/>
              </w:rPr>
              <w:drawing>
                <wp:inline distT="0" distB="0" distL="114300" distR="114300">
                  <wp:extent cx="4988560" cy="5167630"/>
                  <wp:effectExtent l="0" t="0" r="2540" b="1397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37"/>
                          <a:stretch>
                            <a:fillRect/>
                          </a:stretch>
                        </pic:blipFill>
                        <pic:spPr>
                          <a:xfrm>
                            <a:off x="0" y="0"/>
                            <a:ext cx="4988560" cy="5167630"/>
                          </a:xfrm>
                          <a:prstGeom prst="rect">
                            <a:avLst/>
                          </a:prstGeom>
                          <a:noFill/>
                          <a:ln>
                            <a:noFill/>
                          </a:ln>
                        </pic:spPr>
                      </pic:pic>
                    </a:graphicData>
                  </a:graphic>
                </wp:inline>
              </w:drawing>
            </w:r>
          </w:p>
          <w:p w14:paraId="02DCCA2E">
            <w:pPr>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highlight w:val="none"/>
              </w:rPr>
              <w:t>图4-</w:t>
            </w:r>
            <w:r>
              <w:rPr>
                <w:rFonts w:hint="eastAsia"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苏州高铁新城污水厂废</w:t>
            </w:r>
            <w:r>
              <w:rPr>
                <w:rFonts w:hint="eastAsia" w:cs="Times New Roman"/>
                <w:b/>
                <w:color w:val="auto"/>
                <w:sz w:val="24"/>
                <w:szCs w:val="24"/>
                <w:highlight w:val="none"/>
                <w:lang w:val="en-US" w:eastAsia="zh-CN"/>
              </w:rPr>
              <w:t>水</w:t>
            </w:r>
            <w:r>
              <w:rPr>
                <w:rFonts w:hint="eastAsia" w:ascii="Times New Roman" w:hAnsi="Times New Roman" w:eastAsia="宋体" w:cs="Times New Roman"/>
                <w:b/>
                <w:color w:val="auto"/>
                <w:sz w:val="24"/>
                <w:szCs w:val="24"/>
                <w:highlight w:val="none"/>
                <w:lang w:val="en-US" w:eastAsia="zh-CN"/>
              </w:rPr>
              <w:t>处理</w:t>
            </w:r>
            <w:r>
              <w:rPr>
                <w:rFonts w:hint="default" w:ascii="Times New Roman" w:hAnsi="Times New Roman" w:eastAsia="宋体" w:cs="Times New Roman"/>
                <w:b/>
                <w:color w:val="auto"/>
                <w:sz w:val="24"/>
                <w:szCs w:val="24"/>
                <w:highlight w:val="none"/>
              </w:rPr>
              <w:t>工艺流程图</w:t>
            </w:r>
          </w:p>
          <w:p w14:paraId="0614A38C">
            <w:pPr>
              <w:tabs>
                <w:tab w:val="left" w:pos="7200"/>
              </w:tabs>
              <w:spacing w:line="360" w:lineRule="auto"/>
              <w:ind w:firstLine="463" w:firstLineChars="193"/>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苏州高铁苏水水务有限公司（苏州高铁新城污水厂）采用的主要处理工艺是酸化水解+接触氧化+物化沉淀工艺，出水水质达《关于高质量推进城乡生活污水治理三年行动计划的实施意见》（苏委办发（</w:t>
            </w:r>
            <w:r>
              <w:rPr>
                <w:rFonts w:hint="eastAsia" w:ascii="Times New Roman" w:hAnsi="Times New Roman" w:eastAsia="宋体" w:cs="Times New Roman"/>
                <w:color w:val="auto"/>
                <w:sz w:val="24"/>
                <w:szCs w:val="24"/>
                <w:highlight w:val="none"/>
                <w:lang w:val="en-US" w:eastAsia="zh-CN"/>
              </w:rPr>
              <w:t>2018</w:t>
            </w:r>
            <w:r>
              <w:rPr>
                <w:rFonts w:hint="eastAsia" w:ascii="Times New Roman" w:hAnsi="Times New Roman" w:eastAsia="宋体" w:cs="Times New Roman"/>
                <w:color w:val="auto"/>
                <w:sz w:val="24"/>
                <w:szCs w:val="24"/>
                <w:highlight w:val="none"/>
                <w:lang w:eastAsia="zh-CN"/>
              </w:rPr>
              <w:t>）77号）附件1</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苏州特别排放限值标准</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和《城镇污水处理厂污染物排放标准》（GB</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18918-2002）一级（</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eastAsia="zh-CN"/>
              </w:rPr>
              <w:t>）标准，尾水最终排入元和塘。该处理工艺能够保证本项目废水稳定达标排放，因此该废水处理工艺可行。</w:t>
            </w:r>
          </w:p>
          <w:p w14:paraId="0D1BE54F">
            <w:pPr>
              <w:tabs>
                <w:tab w:val="left" w:pos="7200"/>
              </w:tabs>
              <w:spacing w:line="360" w:lineRule="auto"/>
              <w:ind w:firstLine="463" w:firstLineChars="193"/>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因此，本项目废水排入苏州高铁苏水水务有限公司（苏州高铁新城污水厂）处理从接管水量、水质等方面均是可行的。建设项目必须严格实施</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雨污分流</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清污分流</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正确设置废水排放口，并设立明显标志，以便于监管。</w:t>
            </w:r>
          </w:p>
          <w:p w14:paraId="604707FE">
            <w:pPr>
              <w:tabs>
                <w:tab w:val="left" w:pos="7200"/>
              </w:tabs>
              <w:spacing w:line="360" w:lineRule="auto"/>
              <w:rPr>
                <w:b/>
                <w:bCs/>
                <w:color w:val="auto"/>
                <w:sz w:val="24"/>
                <w:szCs w:val="24"/>
                <w:highlight w:val="none"/>
              </w:rPr>
            </w:pPr>
            <w:r>
              <w:rPr>
                <w:rFonts w:hint="eastAsia"/>
                <w:b/>
                <w:bCs/>
                <w:color w:val="auto"/>
                <w:sz w:val="24"/>
                <w:szCs w:val="24"/>
                <w:highlight w:val="none"/>
              </w:rPr>
              <w:t>2.</w:t>
            </w:r>
            <w:r>
              <w:rPr>
                <w:rFonts w:hint="eastAsia"/>
                <w:b/>
                <w:bCs/>
                <w:color w:val="auto"/>
                <w:sz w:val="24"/>
                <w:szCs w:val="24"/>
                <w:highlight w:val="none"/>
                <w:lang w:val="en-US" w:eastAsia="zh-CN"/>
              </w:rPr>
              <w:t>4</w:t>
            </w:r>
            <w:r>
              <w:rPr>
                <w:rFonts w:hint="eastAsia"/>
                <w:b/>
                <w:bCs/>
                <w:color w:val="auto"/>
                <w:sz w:val="24"/>
                <w:szCs w:val="24"/>
                <w:highlight w:val="none"/>
              </w:rPr>
              <w:t xml:space="preserve">  地表水环境影响分析</w:t>
            </w:r>
          </w:p>
          <w:p w14:paraId="062ADCB5">
            <w:pPr>
              <w:tabs>
                <w:tab w:val="left" w:pos="7200"/>
              </w:tabs>
              <w:spacing w:line="360" w:lineRule="auto"/>
              <w:ind w:firstLine="463" w:firstLineChars="193"/>
              <w:rPr>
                <w:rFonts w:hAnsi="宋体"/>
                <w:color w:val="auto"/>
                <w:sz w:val="24"/>
                <w:szCs w:val="24"/>
                <w:highlight w:val="none"/>
              </w:rPr>
            </w:pPr>
            <w:r>
              <w:rPr>
                <w:rFonts w:hAnsi="宋体"/>
                <w:color w:val="auto"/>
                <w:sz w:val="24"/>
                <w:szCs w:val="24"/>
                <w:highlight w:val="none"/>
              </w:rPr>
              <w:t>本项目排放的污水符合</w:t>
            </w:r>
            <w:r>
              <w:rPr>
                <w:rFonts w:hint="eastAsia" w:hAnsi="宋体"/>
                <w:color w:val="auto"/>
                <w:sz w:val="24"/>
                <w:szCs w:val="24"/>
                <w:highlight w:val="none"/>
                <w:lang w:eastAsia="zh-CN"/>
              </w:rPr>
              <w:t>污水处理厂</w:t>
            </w:r>
            <w:r>
              <w:rPr>
                <w:rFonts w:hAnsi="宋体"/>
                <w:color w:val="auto"/>
                <w:sz w:val="24"/>
                <w:szCs w:val="24"/>
                <w:highlight w:val="none"/>
              </w:rPr>
              <w:t>设计进水的水质要求，不会因为本项目的废水排放而使污水处理厂超负荷运营，也不会因为本项目的废水排放而导致污水生物处理系统失效。废水经污水处理厂处理</w:t>
            </w:r>
            <w:r>
              <w:rPr>
                <w:rFonts w:hint="eastAsia" w:hAnsi="宋体"/>
                <w:color w:val="auto"/>
                <w:sz w:val="24"/>
                <w:szCs w:val="24"/>
                <w:highlight w:val="none"/>
                <w:lang w:eastAsia="zh-CN"/>
              </w:rPr>
              <w:t>达到</w:t>
            </w:r>
            <w:r>
              <w:rPr>
                <w:color w:val="auto"/>
                <w:sz w:val="24"/>
                <w:szCs w:val="24"/>
                <w:highlight w:val="none"/>
              </w:rPr>
              <w:t>《苏州市关于高质量推进城乡生活污水治理三年行动计划的实施意见</w:t>
            </w:r>
            <w:r>
              <w:rPr>
                <w:rFonts w:hint="eastAsia"/>
                <w:color w:val="auto"/>
                <w:sz w:val="24"/>
                <w:szCs w:val="24"/>
                <w:highlight w:val="none"/>
                <w:lang w:eastAsia="zh-CN"/>
              </w:rPr>
              <w:t>（</w:t>
            </w:r>
            <w:r>
              <w:rPr>
                <w:color w:val="auto"/>
                <w:sz w:val="24"/>
                <w:szCs w:val="24"/>
                <w:highlight w:val="none"/>
              </w:rPr>
              <w:t>苏委办发</w:t>
            </w:r>
            <w:r>
              <w:rPr>
                <w:rFonts w:hint="eastAsia"/>
                <w:color w:val="auto"/>
                <w:sz w:val="24"/>
                <w:szCs w:val="24"/>
                <w:highlight w:val="none"/>
                <w:lang w:eastAsia="zh-CN"/>
              </w:rPr>
              <w:t>）〔2018〕77号</w:t>
            </w:r>
            <w:r>
              <w:rPr>
                <w:color w:val="auto"/>
                <w:sz w:val="24"/>
                <w:szCs w:val="24"/>
                <w:highlight w:val="none"/>
              </w:rPr>
              <w:t>》中</w:t>
            </w:r>
            <w:r>
              <w:rPr>
                <w:rFonts w:hint="eastAsia"/>
                <w:color w:val="auto"/>
                <w:sz w:val="24"/>
                <w:szCs w:val="24"/>
                <w:highlight w:val="none"/>
                <w:lang w:eastAsia="zh-CN"/>
              </w:rPr>
              <w:t>“</w:t>
            </w:r>
            <w:r>
              <w:rPr>
                <w:color w:val="auto"/>
                <w:sz w:val="24"/>
                <w:szCs w:val="24"/>
                <w:highlight w:val="none"/>
              </w:rPr>
              <w:t>苏州特别排放限值标准</w:t>
            </w:r>
            <w:r>
              <w:rPr>
                <w:rFonts w:hint="eastAsia"/>
                <w:color w:val="auto"/>
                <w:sz w:val="24"/>
                <w:szCs w:val="24"/>
                <w:highlight w:val="none"/>
                <w:lang w:eastAsia="zh-CN"/>
              </w:rPr>
              <w:t>”</w:t>
            </w:r>
            <w:r>
              <w:rPr>
                <w:rFonts w:hAnsi="宋体"/>
                <w:color w:val="auto"/>
                <w:kern w:val="0"/>
                <w:sz w:val="24"/>
                <w:szCs w:val="24"/>
                <w:highlight w:val="none"/>
              </w:rPr>
              <w:t>及</w:t>
            </w:r>
            <w:r>
              <w:rPr>
                <w:rFonts w:hAnsi="宋体"/>
                <w:snapToGrid w:val="0"/>
                <w:color w:val="auto"/>
                <w:kern w:val="0"/>
                <w:sz w:val="24"/>
                <w:szCs w:val="24"/>
                <w:highlight w:val="none"/>
              </w:rPr>
              <w:t>《城镇污水处理厂污染物排放标准》（</w:t>
            </w:r>
            <w:r>
              <w:rPr>
                <w:snapToGrid w:val="0"/>
                <w:color w:val="auto"/>
                <w:kern w:val="0"/>
                <w:sz w:val="24"/>
                <w:szCs w:val="24"/>
                <w:highlight w:val="none"/>
              </w:rPr>
              <w:t>GB</w:t>
            </w:r>
            <w:r>
              <w:rPr>
                <w:rFonts w:hint="eastAsia"/>
                <w:snapToGrid w:val="0"/>
                <w:color w:val="auto"/>
                <w:kern w:val="0"/>
                <w:sz w:val="24"/>
                <w:szCs w:val="24"/>
                <w:highlight w:val="none"/>
                <w:lang w:val="en-US" w:eastAsia="zh-CN"/>
              </w:rPr>
              <w:t xml:space="preserve"> </w:t>
            </w:r>
            <w:r>
              <w:rPr>
                <w:snapToGrid w:val="0"/>
                <w:color w:val="auto"/>
                <w:kern w:val="0"/>
                <w:sz w:val="24"/>
                <w:szCs w:val="24"/>
                <w:highlight w:val="none"/>
              </w:rPr>
              <w:t>18918-2002</w:t>
            </w:r>
            <w:r>
              <w:rPr>
                <w:rFonts w:hAnsi="宋体"/>
                <w:snapToGrid w:val="0"/>
                <w:color w:val="auto"/>
                <w:kern w:val="0"/>
                <w:sz w:val="24"/>
                <w:szCs w:val="24"/>
                <w:highlight w:val="none"/>
              </w:rPr>
              <w:t>）一级</w:t>
            </w:r>
            <w:r>
              <w:rPr>
                <w:snapToGrid w:val="0"/>
                <w:color w:val="auto"/>
                <w:kern w:val="0"/>
                <w:sz w:val="24"/>
                <w:szCs w:val="24"/>
                <w:highlight w:val="none"/>
              </w:rPr>
              <w:t>A</w:t>
            </w:r>
            <w:r>
              <w:rPr>
                <w:rFonts w:hAnsi="宋体"/>
                <w:snapToGrid w:val="0"/>
                <w:color w:val="auto"/>
                <w:kern w:val="0"/>
                <w:sz w:val="24"/>
                <w:szCs w:val="24"/>
                <w:highlight w:val="none"/>
              </w:rPr>
              <w:t>标准</w:t>
            </w:r>
            <w:r>
              <w:rPr>
                <w:rFonts w:hAnsi="宋体"/>
                <w:color w:val="auto"/>
                <w:sz w:val="24"/>
                <w:szCs w:val="24"/>
                <w:highlight w:val="none"/>
              </w:rPr>
              <w:t>后，尾水排入</w:t>
            </w:r>
            <w:r>
              <w:rPr>
                <w:rFonts w:hint="eastAsia" w:hAnsi="宋体"/>
                <w:color w:val="auto"/>
                <w:sz w:val="24"/>
                <w:szCs w:val="24"/>
                <w:highlight w:val="none"/>
                <w:lang w:val="en-US" w:eastAsia="zh-CN"/>
              </w:rPr>
              <w:t>元和塘</w:t>
            </w:r>
            <w:r>
              <w:rPr>
                <w:rFonts w:hAnsi="宋体"/>
                <w:color w:val="auto"/>
                <w:sz w:val="24"/>
                <w:szCs w:val="24"/>
                <w:highlight w:val="none"/>
              </w:rPr>
              <w:t>，对纳污水体的水环境影响可以接受，不会降低纳污水体的环境功能类别。</w:t>
            </w:r>
          </w:p>
          <w:p w14:paraId="3053BE8E">
            <w:pPr>
              <w:pStyle w:val="16"/>
              <w:spacing w:after="0" w:line="360" w:lineRule="auto"/>
              <w:ind w:left="0" w:leftChars="0" w:firstLine="0" w:firstLineChars="0"/>
              <w:rPr>
                <w:rFonts w:hint="default" w:ascii="Times New Roman" w:hAnsi="Times New Roman" w:eastAsia="宋体" w:cs="Times New Roman"/>
                <w:bCs/>
                <w:color w:val="auto"/>
                <w:spacing w:val="-10"/>
                <w:sz w:val="24"/>
                <w:szCs w:val="24"/>
                <w:highlight w:val="none"/>
              </w:rPr>
            </w:pPr>
            <w:r>
              <w:rPr>
                <w:rFonts w:hint="default" w:ascii="Times New Roman" w:hAnsi="Times New Roman" w:eastAsia="宋体" w:cs="Times New Roman"/>
                <w:b/>
                <w:bCs/>
                <w:color w:val="auto"/>
                <w:sz w:val="24"/>
                <w:szCs w:val="24"/>
                <w:highlight w:val="none"/>
              </w:rPr>
              <w:t>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废水监测计划</w:t>
            </w:r>
          </w:p>
          <w:p w14:paraId="089419CF">
            <w:pPr>
              <w:pStyle w:val="2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cs="Times New Roman"/>
                <w:color w:val="auto"/>
                <w:sz w:val="24"/>
                <w:szCs w:val="24"/>
                <w:highlight w:val="none"/>
              </w:rPr>
              <w:t>《排污单位自行监测技术指南 总则》（HJ 819-2017）</w:t>
            </w: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xml:space="preserve">《排污单位自行监测技术指南 </w:t>
            </w:r>
            <w:r>
              <w:rPr>
                <w:rFonts w:hint="eastAsia" w:ascii="Times New Roman" w:hAnsi="Times New Roman" w:cs="Times New Roman"/>
                <w:color w:val="auto"/>
                <w:sz w:val="24"/>
                <w:szCs w:val="24"/>
                <w:highlight w:val="none"/>
                <w:lang w:val="en-US" w:eastAsia="zh-CN"/>
              </w:rPr>
              <w:t>涂装</w:t>
            </w:r>
            <w:r>
              <w:rPr>
                <w:rFonts w:hint="default" w:ascii="Times New Roman" w:hAnsi="Times New Roman" w:cs="Times New Roman"/>
                <w:color w:val="auto"/>
                <w:sz w:val="24"/>
                <w:szCs w:val="24"/>
                <w:highlight w:val="none"/>
              </w:rPr>
              <w:t xml:space="preserve">》（HJ </w:t>
            </w:r>
            <w:r>
              <w:rPr>
                <w:rFonts w:hint="eastAsia" w:ascii="Times New Roman" w:hAnsi="Times New Roman" w:cs="Times New Roman"/>
                <w:color w:val="auto"/>
                <w:sz w:val="24"/>
                <w:szCs w:val="24"/>
                <w:highlight w:val="none"/>
                <w:lang w:val="en-US" w:eastAsia="zh-CN"/>
              </w:rPr>
              <w:t>1086</w:t>
            </w:r>
            <w:r>
              <w:rPr>
                <w:rFonts w:hint="default"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eastAsia" w:ascii="Times New Roman" w:cs="Times New Roman"/>
                <w:color w:val="auto"/>
                <w:sz w:val="24"/>
                <w:szCs w:val="24"/>
                <w:highlight w:val="none"/>
                <w:lang w:eastAsia="zh-CN"/>
              </w:rPr>
              <w:t>、《排污许可证申请与核发技术规范</w:t>
            </w:r>
            <w:r>
              <w:rPr>
                <w:rFonts w:hint="eastAsia" w:ascii="Times New Roman" w:cs="Times New Roman"/>
                <w:color w:val="auto"/>
                <w:sz w:val="24"/>
                <w:szCs w:val="24"/>
                <w:highlight w:val="none"/>
                <w:lang w:val="en-US" w:eastAsia="zh-CN"/>
              </w:rPr>
              <w:t xml:space="preserve"> 汽车制造业</w:t>
            </w:r>
            <w:r>
              <w:rPr>
                <w:rFonts w:hint="eastAsia" w:asci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 xml:space="preserve">（HJ </w:t>
            </w:r>
            <w:r>
              <w:rPr>
                <w:rFonts w:hint="eastAsia" w:ascii="Times New Roman" w:hAnsi="Times New Roman" w:cs="Times New Roman"/>
                <w:color w:val="auto"/>
                <w:sz w:val="24"/>
                <w:szCs w:val="24"/>
                <w:highlight w:val="none"/>
                <w:lang w:val="en-US" w:eastAsia="zh-CN"/>
              </w:rPr>
              <w:t>971</w:t>
            </w:r>
            <w:r>
              <w:rPr>
                <w:rFonts w:hint="default" w:ascii="Times New Roman" w:hAnsi="Times New Roman" w:cs="Times New Roman"/>
                <w:color w:val="auto"/>
                <w:sz w:val="24"/>
                <w:szCs w:val="24"/>
                <w:highlight w:val="none"/>
              </w:rPr>
              <w:t>-201</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）制定并实施切实可行的环境监测计划</w:t>
            </w:r>
            <w:r>
              <w:rPr>
                <w:rFonts w:hint="eastAsia" w:asci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监测计划</w:t>
            </w:r>
            <w:r>
              <w:rPr>
                <w:rFonts w:hint="default" w:ascii="Times New Roman" w:hAnsi="Times New Roman" w:cs="Times New Roman"/>
                <w:color w:val="auto"/>
                <w:sz w:val="24"/>
                <w:szCs w:val="24"/>
                <w:highlight w:val="none"/>
                <w:lang w:val="en-US" w:eastAsia="zh-CN"/>
              </w:rPr>
              <w:t>如</w:t>
            </w:r>
            <w:r>
              <w:rPr>
                <w:rFonts w:hint="default" w:ascii="Times New Roman" w:hAnsi="Times New Roman" w:eastAsia="宋体" w:cs="Times New Roman"/>
                <w:color w:val="auto"/>
                <w:sz w:val="24"/>
                <w:szCs w:val="24"/>
                <w:highlight w:val="none"/>
              </w:rPr>
              <w:t>下表。</w:t>
            </w:r>
          </w:p>
          <w:p w14:paraId="6DAE9F00">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b/>
                <w:bCs/>
                <w:color w:val="auto"/>
                <w:sz w:val="24"/>
                <w:szCs w:val="24"/>
                <w:highlight w:val="none"/>
              </w:rPr>
            </w:pPr>
            <w:r>
              <w:rPr>
                <w:rFonts w:hint="eastAsia" w:cs="Times New Roman"/>
                <w:b/>
                <w:color w:val="auto"/>
                <w:kern w:val="0"/>
                <w:sz w:val="24"/>
                <w:szCs w:val="24"/>
                <w:highlight w:val="none"/>
                <w:lang w:val="en-US" w:eastAsia="zh-CN"/>
              </w:rPr>
              <w:t>环境监测计划及记录信息表</w:t>
            </w:r>
          </w:p>
          <w:tbl>
            <w:tblPr>
              <w:tblStyle w:val="20"/>
              <w:tblW w:w="4996" w:type="pct"/>
              <w:tblInd w:w="0" w:type="dxa"/>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594"/>
              <w:gridCol w:w="823"/>
              <w:gridCol w:w="1632"/>
              <w:gridCol w:w="3008"/>
              <w:gridCol w:w="1103"/>
              <w:gridCol w:w="2183"/>
            </w:tblGrid>
            <w:tr w14:paraId="4E2F03A7">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0" w:type="dxa"/>
                  <w:bottom w:w="0" w:type="dxa"/>
                  <w:right w:w="0" w:type="dxa"/>
                </w:tblCellMar>
              </w:tblPrEx>
              <w:tc>
                <w:tcPr>
                  <w:tcW w:w="318" w:type="pct"/>
                  <w:tcBorders>
                    <w:tl2br w:val="nil"/>
                    <w:tr2bl w:val="nil"/>
                  </w:tcBorders>
                  <w:noWrap w:val="0"/>
                  <w:vAlign w:val="center"/>
                </w:tcPr>
                <w:p w14:paraId="54D543C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项目</w:t>
                  </w:r>
                </w:p>
              </w:tc>
              <w:tc>
                <w:tcPr>
                  <w:tcW w:w="1313" w:type="pct"/>
                  <w:gridSpan w:val="2"/>
                  <w:tcBorders>
                    <w:tl2br w:val="nil"/>
                    <w:tr2bl w:val="nil"/>
                  </w:tcBorders>
                  <w:noWrap w:val="0"/>
                  <w:vAlign w:val="center"/>
                </w:tcPr>
                <w:p w14:paraId="5FFF2FF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监测点位</w:t>
                  </w:r>
                </w:p>
              </w:tc>
              <w:tc>
                <w:tcPr>
                  <w:tcW w:w="1609" w:type="pct"/>
                  <w:tcBorders>
                    <w:tl2br w:val="nil"/>
                    <w:tr2bl w:val="nil"/>
                  </w:tcBorders>
                  <w:noWrap w:val="0"/>
                  <w:vAlign w:val="center"/>
                </w:tcPr>
                <w:p w14:paraId="0E100C5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监测因子</w:t>
                  </w:r>
                </w:p>
              </w:tc>
              <w:tc>
                <w:tcPr>
                  <w:tcW w:w="590" w:type="pct"/>
                  <w:tcBorders>
                    <w:tl2br w:val="nil"/>
                    <w:tr2bl w:val="nil"/>
                  </w:tcBorders>
                  <w:noWrap w:val="0"/>
                  <w:vAlign w:val="center"/>
                </w:tcPr>
                <w:p w14:paraId="329B4342">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监测频次</w:t>
                  </w:r>
                </w:p>
              </w:tc>
              <w:tc>
                <w:tcPr>
                  <w:tcW w:w="1168" w:type="pct"/>
                  <w:tcBorders>
                    <w:tl2br w:val="nil"/>
                    <w:tr2bl w:val="nil"/>
                  </w:tcBorders>
                  <w:noWrap w:val="0"/>
                  <w:vAlign w:val="center"/>
                </w:tcPr>
                <w:p w14:paraId="6BC662E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排放标准</w:t>
                  </w:r>
                </w:p>
              </w:tc>
            </w:tr>
            <w:tr w14:paraId="3BD207AB">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0" w:type="dxa"/>
                  <w:bottom w:w="0" w:type="dxa"/>
                  <w:right w:w="0" w:type="dxa"/>
                </w:tblCellMar>
              </w:tblPrEx>
              <w:tc>
                <w:tcPr>
                  <w:tcW w:w="318" w:type="pct"/>
                  <w:vMerge w:val="restart"/>
                  <w:tcBorders>
                    <w:tl2br w:val="nil"/>
                    <w:tr2bl w:val="nil"/>
                  </w:tcBorders>
                  <w:noWrap w:val="0"/>
                  <w:vAlign w:val="center"/>
                </w:tcPr>
                <w:p w14:paraId="47052D7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w:t>
                  </w:r>
                </w:p>
              </w:tc>
              <w:tc>
                <w:tcPr>
                  <w:tcW w:w="440" w:type="pct"/>
                  <w:tcBorders>
                    <w:tl2br w:val="nil"/>
                    <w:tr2bl w:val="nil"/>
                  </w:tcBorders>
                  <w:noWrap w:val="0"/>
                  <w:vAlign w:val="center"/>
                </w:tcPr>
                <w:p w14:paraId="556B5F8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DW001</w:t>
                  </w:r>
                </w:p>
              </w:tc>
              <w:tc>
                <w:tcPr>
                  <w:tcW w:w="872" w:type="pct"/>
                  <w:tcBorders>
                    <w:tl2br w:val="nil"/>
                    <w:tr2bl w:val="nil"/>
                  </w:tcBorders>
                  <w:noWrap w:val="0"/>
                  <w:vAlign w:val="center"/>
                </w:tcPr>
                <w:p w14:paraId="30D4910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eastAsia="仿宋" w:cs="Times New Roman"/>
                      <w:b w:val="0"/>
                      <w:bCs/>
                      <w:color w:val="auto"/>
                      <w:sz w:val="21"/>
                      <w:szCs w:val="21"/>
                      <w:highlight w:val="none"/>
                      <w:lang w:val="en-US" w:eastAsia="zh-CN"/>
                    </w:rPr>
                  </w:pPr>
                  <w:r>
                    <w:rPr>
                      <w:rFonts w:hint="eastAsia" w:eastAsia="仿宋" w:cs="Times New Roman"/>
                      <w:b w:val="0"/>
                      <w:bCs/>
                      <w:color w:val="auto"/>
                      <w:sz w:val="21"/>
                      <w:szCs w:val="21"/>
                      <w:highlight w:val="none"/>
                      <w:lang w:val="en-US" w:eastAsia="zh-CN"/>
                    </w:rPr>
                    <w:t>总排口</w:t>
                  </w:r>
                </w:p>
              </w:tc>
              <w:tc>
                <w:tcPr>
                  <w:tcW w:w="1609" w:type="pct"/>
                  <w:tcBorders>
                    <w:tl2br w:val="nil"/>
                    <w:tr2bl w:val="nil"/>
                  </w:tcBorders>
                  <w:noWrap w:val="0"/>
                  <w:vAlign w:val="center"/>
                </w:tcPr>
                <w:p w14:paraId="0BE2A13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eastAsia="宋体"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pH、COD、SS</w:t>
                  </w:r>
                  <w:r>
                    <w:rPr>
                      <w:rFonts w:hint="eastAsia"/>
                      <w:color w:val="auto"/>
                      <w:lang w:eastAsia="zh-CN"/>
                    </w:rPr>
                    <w:t>、</w:t>
                  </w: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r>
                    <w:rPr>
                      <w:rFonts w:hint="eastAsia"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TN、TP</w:t>
                  </w:r>
                </w:p>
              </w:tc>
              <w:tc>
                <w:tcPr>
                  <w:tcW w:w="590" w:type="pct"/>
                  <w:tcBorders>
                    <w:tl2br w:val="nil"/>
                    <w:tr2bl w:val="nil"/>
                  </w:tcBorders>
                  <w:noWrap w:val="0"/>
                  <w:vAlign w:val="center"/>
                </w:tcPr>
                <w:p w14:paraId="703C554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1次/年</w:t>
                  </w:r>
                </w:p>
              </w:tc>
              <w:tc>
                <w:tcPr>
                  <w:tcW w:w="1168" w:type="pct"/>
                  <w:vMerge w:val="restart"/>
                  <w:tcBorders>
                    <w:tl2br w:val="nil"/>
                    <w:tr2bl w:val="nil"/>
                  </w:tcBorders>
                  <w:noWrap w:val="0"/>
                  <w:vAlign w:val="center"/>
                </w:tcPr>
                <w:p w14:paraId="7D64702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val="0"/>
                      <w:bCs/>
                      <w:color w:val="auto"/>
                      <w:sz w:val="21"/>
                      <w:szCs w:val="21"/>
                      <w:highlight w:val="none"/>
                      <w:lang w:val="en-US" w:eastAsia="zh-CN"/>
                    </w:rPr>
                    <w:t>苏州高铁苏水水务有限公司</w:t>
                  </w:r>
                  <w:r>
                    <w:rPr>
                      <w:rFonts w:hint="eastAsia" w:eastAsia="仿宋" w:cs="Times New Roman"/>
                      <w:b w:val="0"/>
                      <w:bCs/>
                      <w:color w:val="auto"/>
                      <w:sz w:val="21"/>
                      <w:szCs w:val="21"/>
                      <w:highlight w:val="none"/>
                      <w:lang w:val="en-US" w:eastAsia="zh-CN"/>
                    </w:rPr>
                    <w:t>（</w:t>
                  </w:r>
                  <w:r>
                    <w:rPr>
                      <w:rFonts w:hint="default" w:ascii="Times New Roman" w:hAnsi="Times New Roman" w:eastAsia="仿宋" w:cs="Times New Roman"/>
                      <w:b w:val="0"/>
                      <w:bCs/>
                      <w:color w:val="auto"/>
                      <w:sz w:val="21"/>
                      <w:szCs w:val="21"/>
                      <w:highlight w:val="none"/>
                      <w:lang w:val="en-US" w:eastAsia="zh-CN"/>
                    </w:rPr>
                    <w:t>苏州高铁新城污水厂</w:t>
                  </w:r>
                  <w:r>
                    <w:rPr>
                      <w:rFonts w:hint="eastAsia" w:eastAsia="仿宋" w:cs="Times New Roman"/>
                      <w:b w:val="0"/>
                      <w:bCs/>
                      <w:color w:val="auto"/>
                      <w:sz w:val="21"/>
                      <w:szCs w:val="21"/>
                      <w:highlight w:val="none"/>
                      <w:lang w:val="en-US" w:eastAsia="zh-CN"/>
                    </w:rPr>
                    <w:t>）</w:t>
                  </w:r>
                  <w:r>
                    <w:rPr>
                      <w:rFonts w:hint="default" w:ascii="Times New Roman" w:hAnsi="Times New Roman" w:eastAsia="仿宋" w:cs="Times New Roman"/>
                      <w:color w:val="auto"/>
                      <w:sz w:val="21"/>
                      <w:szCs w:val="21"/>
                      <w:highlight w:val="none"/>
                    </w:rPr>
                    <w:t>接管标准</w:t>
                  </w:r>
                </w:p>
              </w:tc>
            </w:tr>
            <w:tr w14:paraId="1A3DF806">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318" w:type="pct"/>
                  <w:vMerge w:val="continue"/>
                  <w:tcBorders>
                    <w:tl2br w:val="nil"/>
                    <w:tr2bl w:val="nil"/>
                  </w:tcBorders>
                  <w:noWrap w:val="0"/>
                  <w:vAlign w:val="center"/>
                </w:tcPr>
                <w:p w14:paraId="13362A8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p>
              </w:tc>
              <w:tc>
                <w:tcPr>
                  <w:tcW w:w="440" w:type="pct"/>
                  <w:vMerge w:val="restart"/>
                  <w:tcBorders>
                    <w:tl2br w:val="nil"/>
                    <w:tr2bl w:val="nil"/>
                  </w:tcBorders>
                  <w:noWrap w:val="0"/>
                  <w:vAlign w:val="center"/>
                </w:tcPr>
                <w:p w14:paraId="4D192DE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DW00</w:t>
                  </w:r>
                  <w:r>
                    <w:rPr>
                      <w:rFonts w:hint="eastAsia" w:eastAsia="仿宋" w:cs="Times New Roman"/>
                      <w:color w:val="auto"/>
                      <w:sz w:val="21"/>
                      <w:szCs w:val="21"/>
                      <w:highlight w:val="none"/>
                      <w:lang w:val="en-US" w:eastAsia="zh-CN"/>
                    </w:rPr>
                    <w:t>2</w:t>
                  </w:r>
                </w:p>
              </w:tc>
              <w:tc>
                <w:tcPr>
                  <w:tcW w:w="872" w:type="pct"/>
                  <w:vMerge w:val="restart"/>
                  <w:tcBorders>
                    <w:tl2br w:val="nil"/>
                    <w:tr2bl w:val="nil"/>
                  </w:tcBorders>
                  <w:noWrap w:val="0"/>
                  <w:vAlign w:val="center"/>
                </w:tcPr>
                <w:p w14:paraId="2D19C34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r>
                    <w:rPr>
                      <w:rFonts w:hint="eastAsia" w:eastAsia="仿宋" w:cs="Times New Roman"/>
                      <w:b w:val="0"/>
                      <w:bCs/>
                      <w:color w:val="auto"/>
                      <w:sz w:val="21"/>
                      <w:szCs w:val="21"/>
                      <w:highlight w:val="none"/>
                      <w:lang w:val="en-US" w:eastAsia="zh-CN"/>
                    </w:rPr>
                    <w:t>综合废水处理设施</w:t>
                  </w:r>
                  <w:bookmarkStart w:id="29" w:name="_GoBack"/>
                  <w:bookmarkEnd w:id="29"/>
                  <w:r>
                    <w:rPr>
                      <w:rFonts w:hint="eastAsia" w:eastAsia="仿宋" w:cs="Times New Roman"/>
                      <w:b w:val="0"/>
                      <w:bCs/>
                      <w:color w:val="auto"/>
                      <w:sz w:val="21"/>
                      <w:szCs w:val="21"/>
                      <w:highlight w:val="none"/>
                      <w:lang w:val="en-US" w:eastAsia="zh-CN"/>
                    </w:rPr>
                    <w:t>排口</w:t>
                  </w:r>
                </w:p>
              </w:tc>
              <w:tc>
                <w:tcPr>
                  <w:tcW w:w="1609" w:type="pct"/>
                  <w:tcBorders>
                    <w:tl2br w:val="nil"/>
                    <w:tr2bl w:val="nil"/>
                  </w:tcBorders>
                  <w:noWrap w:val="0"/>
                  <w:vAlign w:val="center"/>
                </w:tcPr>
                <w:p w14:paraId="72ADF15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pH、COD、NH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r>
                    <w:rPr>
                      <w:rFonts w:hint="eastAsia"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TN、TP</w:t>
                  </w:r>
                </w:p>
              </w:tc>
              <w:tc>
                <w:tcPr>
                  <w:tcW w:w="590" w:type="pct"/>
                  <w:tcBorders>
                    <w:tl2br w:val="nil"/>
                    <w:tr2bl w:val="nil"/>
                  </w:tcBorders>
                  <w:noWrap w:val="0"/>
                  <w:vAlign w:val="center"/>
                </w:tcPr>
                <w:p w14:paraId="28D5CAC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1次/季度</w:t>
                  </w:r>
                </w:p>
              </w:tc>
              <w:tc>
                <w:tcPr>
                  <w:tcW w:w="1168" w:type="pct"/>
                  <w:vMerge w:val="continue"/>
                  <w:tcBorders>
                    <w:tl2br w:val="nil"/>
                    <w:tr2bl w:val="nil"/>
                  </w:tcBorders>
                  <w:noWrap w:val="0"/>
                  <w:vAlign w:val="center"/>
                </w:tcPr>
                <w:p w14:paraId="26AA874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p>
              </w:tc>
            </w:tr>
            <w:tr w14:paraId="301E0C5F">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0" w:type="dxa"/>
                  <w:bottom w:w="0" w:type="dxa"/>
                  <w:right w:w="0" w:type="dxa"/>
                </w:tblCellMar>
              </w:tblPrEx>
              <w:tc>
                <w:tcPr>
                  <w:tcW w:w="318" w:type="pct"/>
                  <w:vMerge w:val="continue"/>
                  <w:tcBorders>
                    <w:tl2br w:val="nil"/>
                    <w:tr2bl w:val="nil"/>
                  </w:tcBorders>
                  <w:noWrap w:val="0"/>
                  <w:vAlign w:val="center"/>
                </w:tcPr>
                <w:p w14:paraId="568D1A9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p>
              </w:tc>
              <w:tc>
                <w:tcPr>
                  <w:tcW w:w="440" w:type="pct"/>
                  <w:vMerge w:val="continue"/>
                  <w:tcBorders>
                    <w:tl2br w:val="nil"/>
                    <w:tr2bl w:val="nil"/>
                  </w:tcBorders>
                  <w:noWrap w:val="0"/>
                  <w:vAlign w:val="center"/>
                </w:tcPr>
                <w:p w14:paraId="39032329">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Times New Roman" w:hAnsi="Times New Roman" w:eastAsia="仿宋" w:cs="Times New Roman"/>
                      <w:color w:val="auto"/>
                      <w:sz w:val="21"/>
                      <w:szCs w:val="21"/>
                      <w:highlight w:val="none"/>
                      <w:lang w:eastAsia="zh-CN"/>
                    </w:rPr>
                  </w:pPr>
                </w:p>
              </w:tc>
              <w:tc>
                <w:tcPr>
                  <w:tcW w:w="872" w:type="pct"/>
                  <w:vMerge w:val="continue"/>
                  <w:tcBorders>
                    <w:tl2br w:val="nil"/>
                    <w:tr2bl w:val="nil"/>
                  </w:tcBorders>
                  <w:noWrap w:val="0"/>
                  <w:vAlign w:val="center"/>
                </w:tcPr>
                <w:p w14:paraId="53E043E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p>
              </w:tc>
              <w:tc>
                <w:tcPr>
                  <w:tcW w:w="1609" w:type="pct"/>
                  <w:tcBorders>
                    <w:tl2br w:val="nil"/>
                    <w:tr2bl w:val="nil"/>
                  </w:tcBorders>
                  <w:noWrap w:val="0"/>
                  <w:vAlign w:val="center"/>
                </w:tcPr>
                <w:p w14:paraId="62919952">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SS、</w:t>
                  </w:r>
                  <w:r>
                    <w:rPr>
                      <w:rFonts w:hint="eastAsia" w:eastAsia="仿宋" w:cs="Times New Roman"/>
                      <w:color w:val="auto"/>
                      <w:sz w:val="21"/>
                      <w:szCs w:val="21"/>
                      <w:highlight w:val="none"/>
                      <w:lang w:val="en-US" w:eastAsia="zh-CN"/>
                    </w:rPr>
                    <w:t>石油类、LAS</w:t>
                  </w:r>
                </w:p>
              </w:tc>
              <w:tc>
                <w:tcPr>
                  <w:tcW w:w="590" w:type="pct"/>
                  <w:tcBorders>
                    <w:tl2br w:val="nil"/>
                    <w:tr2bl w:val="nil"/>
                  </w:tcBorders>
                  <w:noWrap w:val="0"/>
                  <w:vAlign w:val="center"/>
                </w:tcPr>
                <w:p w14:paraId="404DB0FA">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1次/年</w:t>
                  </w:r>
                </w:p>
              </w:tc>
              <w:tc>
                <w:tcPr>
                  <w:tcW w:w="1168" w:type="pct"/>
                  <w:vMerge w:val="continue"/>
                  <w:tcBorders>
                    <w:tl2br w:val="nil"/>
                    <w:tr2bl w:val="nil"/>
                  </w:tcBorders>
                  <w:noWrap w:val="0"/>
                  <w:vAlign w:val="center"/>
                </w:tcPr>
                <w:p w14:paraId="627068EA">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仿宋" w:cs="Times New Roman"/>
                      <w:color w:val="auto"/>
                      <w:sz w:val="21"/>
                      <w:szCs w:val="21"/>
                      <w:highlight w:val="none"/>
                    </w:rPr>
                  </w:pPr>
                </w:p>
              </w:tc>
            </w:tr>
          </w:tbl>
          <w:p w14:paraId="6C9089DB">
            <w:pPr>
              <w:tabs>
                <w:tab w:val="left" w:pos="2010"/>
              </w:tabs>
              <w:adjustRightInd w:val="0"/>
              <w:snapToGrid w:val="0"/>
              <w:spacing w:line="360" w:lineRule="auto"/>
              <w:rPr>
                <w:b/>
                <w:color w:val="auto"/>
                <w:kern w:val="0"/>
                <w:sz w:val="28"/>
                <w:szCs w:val="28"/>
                <w:highlight w:val="none"/>
                <w:vertAlign w:val="baseline"/>
              </w:rPr>
            </w:pPr>
          </w:p>
          <w:p w14:paraId="6C352E05">
            <w:pPr>
              <w:tabs>
                <w:tab w:val="left" w:pos="2010"/>
              </w:tabs>
              <w:adjustRightInd w:val="0"/>
              <w:snapToGrid w:val="0"/>
              <w:spacing w:line="360" w:lineRule="auto"/>
              <w:rPr>
                <w:b/>
                <w:color w:val="auto"/>
                <w:kern w:val="0"/>
                <w:sz w:val="28"/>
                <w:szCs w:val="28"/>
                <w:highlight w:val="none"/>
                <w:vertAlign w:val="baseline"/>
              </w:rPr>
            </w:pPr>
          </w:p>
          <w:p w14:paraId="4B9193DE">
            <w:pPr>
              <w:tabs>
                <w:tab w:val="left" w:pos="2010"/>
              </w:tabs>
              <w:adjustRightInd w:val="0"/>
              <w:snapToGrid w:val="0"/>
              <w:spacing w:line="360" w:lineRule="auto"/>
              <w:rPr>
                <w:b/>
                <w:color w:val="auto"/>
                <w:kern w:val="0"/>
                <w:sz w:val="28"/>
                <w:szCs w:val="28"/>
                <w:highlight w:val="none"/>
                <w:vertAlign w:val="baseline"/>
              </w:rPr>
            </w:pPr>
          </w:p>
        </w:tc>
      </w:tr>
    </w:tbl>
    <w:p w14:paraId="7B318954">
      <w:pPr>
        <w:tabs>
          <w:tab w:val="left" w:pos="2010"/>
        </w:tabs>
        <w:adjustRightInd w:val="0"/>
        <w:snapToGrid w:val="0"/>
        <w:spacing w:line="360" w:lineRule="auto"/>
        <w:rPr>
          <w:b/>
          <w:color w:val="auto"/>
          <w:kern w:val="0"/>
          <w:sz w:val="28"/>
          <w:szCs w:val="28"/>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6"/>
      </w:tblGrid>
      <w:tr w14:paraId="1C7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2A07D467">
            <w:pPr>
              <w:numPr>
                <w:ilvl w:val="0"/>
                <w:numId w:val="0"/>
              </w:numPr>
              <w:adjustRightInd w:val="0"/>
              <w:snapToGrid w:val="0"/>
              <w:spacing w:line="360" w:lineRule="auto"/>
              <w:rPr>
                <w:b/>
                <w:bCs/>
                <w:color w:val="auto"/>
                <w:sz w:val="24"/>
                <w:szCs w:val="24"/>
                <w:highlight w:val="none"/>
              </w:rPr>
            </w:pPr>
            <w:r>
              <w:rPr>
                <w:rFonts w:ascii="Times New Roman" w:hAnsi="Times New Roman" w:eastAsia="宋体" w:cs="Times New Roman"/>
                <w:b/>
                <w:bCs/>
                <w:color w:val="auto"/>
                <w:kern w:val="2"/>
                <w:sz w:val="24"/>
                <w:szCs w:val="24"/>
                <w:highlight w:val="none"/>
                <w:lang w:val="en-US" w:eastAsia="zh-CN" w:bidi="ar-SA"/>
              </w:rPr>
              <w:t>3、</w:t>
            </w:r>
            <w:r>
              <w:rPr>
                <w:b/>
                <w:bCs/>
                <w:color w:val="auto"/>
                <w:sz w:val="24"/>
                <w:szCs w:val="24"/>
                <w:highlight w:val="none"/>
              </w:rPr>
              <w:t>噪声</w:t>
            </w:r>
          </w:p>
          <w:p w14:paraId="5DAD5DA1">
            <w:pPr>
              <w:numPr>
                <w:ilvl w:val="0"/>
                <w:numId w:val="0"/>
              </w:numPr>
              <w:adjustRightInd w:val="0"/>
              <w:snapToGrid w:val="0"/>
              <w:spacing w:line="360" w:lineRule="auto"/>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3.1  噪声源强</w:t>
            </w:r>
          </w:p>
          <w:p w14:paraId="3F4A915F">
            <w:pPr>
              <w:adjustRightInd w:val="0"/>
              <w:snapToGrid w:val="0"/>
              <w:spacing w:line="360" w:lineRule="auto"/>
              <w:ind w:firstLine="480" w:firstLineChars="200"/>
              <w:rPr>
                <w:bCs/>
                <w:color w:val="auto"/>
                <w:sz w:val="24"/>
                <w:szCs w:val="24"/>
                <w:highlight w:val="none"/>
              </w:rPr>
            </w:pPr>
            <w:r>
              <w:rPr>
                <w:rFonts w:hint="eastAsia"/>
                <w:bCs/>
                <w:color w:val="auto"/>
                <w:sz w:val="24"/>
                <w:szCs w:val="24"/>
                <w:highlight w:val="none"/>
                <w:lang w:val="en-US" w:eastAsia="zh-CN"/>
              </w:rPr>
              <w:t>本</w:t>
            </w:r>
            <w:r>
              <w:rPr>
                <w:bCs/>
                <w:color w:val="auto"/>
                <w:sz w:val="24"/>
                <w:szCs w:val="24"/>
                <w:highlight w:val="none"/>
              </w:rPr>
              <w:t>项目主要噪声源为</w:t>
            </w:r>
            <w:r>
              <w:rPr>
                <w:rFonts w:hint="eastAsia"/>
                <w:bCs/>
                <w:color w:val="auto"/>
                <w:sz w:val="24"/>
                <w:szCs w:val="24"/>
                <w:highlight w:val="none"/>
              </w:rPr>
              <w:t>剪板机</w:t>
            </w:r>
            <w:r>
              <w:rPr>
                <w:rFonts w:hint="eastAsia"/>
                <w:bCs/>
                <w:color w:val="auto"/>
                <w:sz w:val="24"/>
                <w:szCs w:val="24"/>
                <w:highlight w:val="none"/>
                <w:lang w:eastAsia="zh-CN"/>
              </w:rPr>
              <w:t>、</w:t>
            </w:r>
            <w:r>
              <w:rPr>
                <w:rFonts w:hint="eastAsia"/>
                <w:bCs/>
                <w:color w:val="auto"/>
                <w:sz w:val="24"/>
                <w:szCs w:val="24"/>
                <w:highlight w:val="none"/>
              </w:rPr>
              <w:t>切割机</w:t>
            </w:r>
            <w:r>
              <w:rPr>
                <w:rFonts w:hint="eastAsia"/>
                <w:bCs/>
                <w:color w:val="auto"/>
                <w:sz w:val="24"/>
                <w:szCs w:val="24"/>
                <w:highlight w:val="none"/>
                <w:lang w:eastAsia="zh-CN"/>
              </w:rPr>
              <w:t>、</w:t>
            </w:r>
            <w:r>
              <w:rPr>
                <w:rFonts w:hint="eastAsia"/>
                <w:bCs/>
                <w:color w:val="auto"/>
                <w:sz w:val="24"/>
                <w:szCs w:val="24"/>
                <w:highlight w:val="none"/>
              </w:rPr>
              <w:t>电焊机</w:t>
            </w:r>
            <w:r>
              <w:rPr>
                <w:rFonts w:hint="eastAsia"/>
                <w:bCs/>
                <w:color w:val="auto"/>
                <w:sz w:val="24"/>
                <w:szCs w:val="24"/>
                <w:highlight w:val="none"/>
                <w:lang w:eastAsia="zh-CN"/>
              </w:rPr>
              <w:t>、</w:t>
            </w:r>
            <w:r>
              <w:rPr>
                <w:rFonts w:hint="eastAsia"/>
                <w:bCs/>
                <w:color w:val="auto"/>
                <w:sz w:val="24"/>
                <w:szCs w:val="24"/>
                <w:highlight w:val="none"/>
              </w:rPr>
              <w:t>冲压机</w:t>
            </w:r>
            <w:r>
              <w:rPr>
                <w:rFonts w:hint="eastAsia"/>
                <w:bCs/>
                <w:color w:val="auto"/>
                <w:sz w:val="24"/>
                <w:szCs w:val="24"/>
                <w:highlight w:val="none"/>
                <w:lang w:eastAsia="zh-CN"/>
              </w:rPr>
              <w:t>、</w:t>
            </w:r>
            <w:r>
              <w:rPr>
                <w:rFonts w:hint="eastAsia"/>
                <w:bCs/>
                <w:color w:val="auto"/>
                <w:sz w:val="24"/>
                <w:szCs w:val="24"/>
                <w:highlight w:val="none"/>
                <w:lang w:val="en-US" w:eastAsia="zh-CN"/>
              </w:rPr>
              <w:t>电泳线、喷粉线</w:t>
            </w:r>
            <w:r>
              <w:rPr>
                <w:bCs/>
                <w:color w:val="auto"/>
                <w:sz w:val="24"/>
                <w:szCs w:val="24"/>
                <w:highlight w:val="none"/>
              </w:rPr>
              <w:t>等设备运转时产生的机械噪声；其噪声源强在</w:t>
            </w:r>
            <w:r>
              <w:rPr>
                <w:rFonts w:hint="eastAsia"/>
                <w:bCs/>
                <w:color w:val="auto"/>
                <w:sz w:val="24"/>
                <w:szCs w:val="24"/>
                <w:highlight w:val="none"/>
                <w:lang w:val="en-US" w:eastAsia="zh-CN"/>
              </w:rPr>
              <w:t>70</w:t>
            </w:r>
            <w:r>
              <w:rPr>
                <w:bCs/>
                <w:color w:val="auto"/>
                <w:sz w:val="24"/>
                <w:szCs w:val="24"/>
                <w:highlight w:val="none"/>
              </w:rPr>
              <w:t>~8</w:t>
            </w:r>
            <w:r>
              <w:rPr>
                <w:rFonts w:hint="eastAsia"/>
                <w:bCs/>
                <w:color w:val="auto"/>
                <w:sz w:val="24"/>
                <w:szCs w:val="24"/>
                <w:highlight w:val="none"/>
                <w:lang w:val="en-US" w:eastAsia="zh-CN"/>
              </w:rPr>
              <w:t>5</w:t>
            </w:r>
            <w:r>
              <w:rPr>
                <w:bCs/>
                <w:color w:val="auto"/>
                <w:sz w:val="24"/>
                <w:szCs w:val="24"/>
                <w:highlight w:val="none"/>
              </w:rPr>
              <w:t>dB</w:t>
            </w:r>
            <w:r>
              <w:rPr>
                <w:rFonts w:hint="eastAsia"/>
                <w:bCs/>
                <w:color w:val="auto"/>
                <w:sz w:val="24"/>
                <w:szCs w:val="24"/>
                <w:highlight w:val="none"/>
                <w:lang w:eastAsia="zh-CN"/>
              </w:rPr>
              <w:t>（</w:t>
            </w:r>
            <w:r>
              <w:rPr>
                <w:bCs/>
                <w:color w:val="auto"/>
                <w:sz w:val="24"/>
                <w:szCs w:val="24"/>
                <w:highlight w:val="none"/>
              </w:rPr>
              <w:t>A</w:t>
            </w:r>
            <w:r>
              <w:rPr>
                <w:rFonts w:hint="eastAsia"/>
                <w:bCs/>
                <w:color w:val="auto"/>
                <w:sz w:val="24"/>
                <w:szCs w:val="24"/>
                <w:highlight w:val="none"/>
                <w:lang w:eastAsia="zh-CN"/>
              </w:rPr>
              <w:t>）</w:t>
            </w:r>
            <w:r>
              <w:rPr>
                <w:bCs/>
                <w:color w:val="auto"/>
                <w:sz w:val="24"/>
                <w:szCs w:val="24"/>
                <w:highlight w:val="none"/>
              </w:rPr>
              <w:t>左右。主要设备的噪声源强如下表所示。</w:t>
            </w:r>
          </w:p>
          <w:p w14:paraId="3E4540A1">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工业企业噪声源强调查清单（室内声源）</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8"/>
              <w:gridCol w:w="453"/>
              <w:gridCol w:w="975"/>
              <w:gridCol w:w="630"/>
              <w:gridCol w:w="960"/>
              <w:gridCol w:w="600"/>
              <w:gridCol w:w="660"/>
              <w:gridCol w:w="480"/>
              <w:gridCol w:w="390"/>
              <w:gridCol w:w="435"/>
              <w:gridCol w:w="458"/>
              <w:gridCol w:w="495"/>
              <w:gridCol w:w="510"/>
              <w:gridCol w:w="480"/>
              <w:gridCol w:w="600"/>
              <w:gridCol w:w="630"/>
              <w:gridCol w:w="525"/>
              <w:gridCol w:w="600"/>
              <w:gridCol w:w="390"/>
              <w:gridCol w:w="930"/>
              <w:gridCol w:w="559"/>
              <w:gridCol w:w="615"/>
              <w:gridCol w:w="630"/>
              <w:gridCol w:w="525"/>
              <w:gridCol w:w="661"/>
            </w:tblGrid>
            <w:tr w14:paraId="77763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53" w:type="pct"/>
                  <w:vMerge w:val="restart"/>
                  <w:tcBorders>
                    <w:tl2br w:val="nil"/>
                    <w:tr2bl w:val="nil"/>
                  </w:tcBorders>
                  <w:shd w:val="clear" w:color="auto" w:fill="auto"/>
                  <w:vAlign w:val="center"/>
                </w:tcPr>
                <w:p w14:paraId="073B7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154" w:type="pct"/>
                  <w:vMerge w:val="restart"/>
                  <w:tcBorders>
                    <w:tl2br w:val="nil"/>
                    <w:tr2bl w:val="nil"/>
                  </w:tcBorders>
                  <w:shd w:val="clear" w:color="auto" w:fill="auto"/>
                  <w:vAlign w:val="center"/>
                </w:tcPr>
                <w:p w14:paraId="3C232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建筑物名称</w:t>
                  </w:r>
                </w:p>
              </w:tc>
              <w:tc>
                <w:tcPr>
                  <w:tcW w:w="333" w:type="pct"/>
                  <w:vMerge w:val="restart"/>
                  <w:tcBorders>
                    <w:tl2br w:val="nil"/>
                    <w:tr2bl w:val="nil"/>
                  </w:tcBorders>
                  <w:shd w:val="clear" w:color="auto" w:fill="auto"/>
                  <w:vAlign w:val="center"/>
                </w:tcPr>
                <w:p w14:paraId="55230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声源名称</w:t>
                  </w:r>
                  <w:r>
                    <w:rPr>
                      <w:rFonts w:hint="default" w:ascii="Times New Roman" w:hAnsi="Times New Roman" w:eastAsia="仿宋" w:cs="Times New Roman"/>
                      <w:color w:val="auto"/>
                      <w:sz w:val="21"/>
                      <w:szCs w:val="21"/>
                      <w:highlight w:val="none"/>
                      <w:vertAlign w:val="superscript"/>
                    </w:rPr>
                    <w:t>[1]</w:t>
                  </w:r>
                </w:p>
              </w:tc>
              <w:tc>
                <w:tcPr>
                  <w:tcW w:w="215" w:type="pct"/>
                  <w:vMerge w:val="restart"/>
                  <w:tcBorders>
                    <w:tl2br w:val="nil"/>
                    <w:tr2bl w:val="nil"/>
                  </w:tcBorders>
                  <w:shd w:val="clear" w:color="auto" w:fill="auto"/>
                  <w:vAlign w:val="center"/>
                </w:tcPr>
                <w:p w14:paraId="6B6C68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lang w:val="en-US" w:eastAsia="zh-CN"/>
                    </w:rPr>
                    <w:t>数量</w:t>
                  </w:r>
                  <w:r>
                    <w:rPr>
                      <w:rFonts w:hint="eastAsia" w:eastAsia="仿宋" w:cs="Times New Roman"/>
                      <w:b/>
                      <w:bCs/>
                      <w:color w:val="auto"/>
                      <w:sz w:val="21"/>
                      <w:szCs w:val="21"/>
                      <w:highlight w:val="none"/>
                      <w:lang w:val="en-US" w:eastAsia="zh-CN"/>
                    </w:rPr>
                    <w:t>（台）</w:t>
                  </w:r>
                </w:p>
              </w:tc>
              <w:tc>
                <w:tcPr>
                  <w:tcW w:w="532" w:type="pct"/>
                  <w:gridSpan w:val="2"/>
                  <w:tcBorders>
                    <w:tl2br w:val="nil"/>
                    <w:tr2bl w:val="nil"/>
                  </w:tcBorders>
                  <w:shd w:val="clear" w:color="auto" w:fill="auto"/>
                  <w:vAlign w:val="center"/>
                </w:tcPr>
                <w:p w14:paraId="003BF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声源源强</w:t>
                  </w:r>
                </w:p>
              </w:tc>
              <w:tc>
                <w:tcPr>
                  <w:tcW w:w="225" w:type="pct"/>
                  <w:vMerge w:val="restart"/>
                  <w:tcBorders>
                    <w:tl2br w:val="nil"/>
                    <w:tr2bl w:val="nil"/>
                  </w:tcBorders>
                  <w:shd w:val="clear" w:color="auto" w:fill="auto"/>
                  <w:vAlign w:val="center"/>
                </w:tcPr>
                <w:p w14:paraId="18A29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声源控制措施</w:t>
                  </w:r>
                </w:p>
              </w:tc>
              <w:tc>
                <w:tcPr>
                  <w:tcW w:w="445" w:type="pct"/>
                  <w:gridSpan w:val="3"/>
                  <w:tcBorders>
                    <w:tl2br w:val="nil"/>
                    <w:tr2bl w:val="nil"/>
                  </w:tcBorders>
                  <w:shd w:val="clear" w:color="auto" w:fill="auto"/>
                  <w:vAlign w:val="center"/>
                </w:tcPr>
                <w:p w14:paraId="39C56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空间相对位置/m</w:t>
                  </w:r>
                  <w:r>
                    <w:rPr>
                      <w:rFonts w:hint="default" w:ascii="Times New Roman" w:hAnsi="Times New Roman" w:eastAsia="仿宋" w:cs="Times New Roman"/>
                      <w:color w:val="auto"/>
                      <w:sz w:val="21"/>
                      <w:szCs w:val="21"/>
                      <w:highlight w:val="none"/>
                      <w:vertAlign w:val="superscript"/>
                    </w:rPr>
                    <w:t>[2]</w:t>
                  </w:r>
                </w:p>
              </w:tc>
              <w:tc>
                <w:tcPr>
                  <w:tcW w:w="663" w:type="pct"/>
                  <w:gridSpan w:val="4"/>
                  <w:tcBorders>
                    <w:tl2br w:val="nil"/>
                    <w:tr2bl w:val="nil"/>
                  </w:tcBorders>
                  <w:shd w:val="clear" w:color="auto" w:fill="auto"/>
                  <w:vAlign w:val="center"/>
                </w:tcPr>
                <w:p w14:paraId="12312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距室内边界距离/m</w:t>
                  </w:r>
                </w:p>
              </w:tc>
              <w:tc>
                <w:tcPr>
                  <w:tcW w:w="804" w:type="pct"/>
                  <w:gridSpan w:val="4"/>
                  <w:tcBorders>
                    <w:tl2br w:val="nil"/>
                    <w:tr2bl w:val="nil"/>
                  </w:tcBorders>
                  <w:shd w:val="clear" w:color="auto" w:fill="auto"/>
                  <w:vAlign w:val="center"/>
                </w:tcPr>
                <w:p w14:paraId="685C2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rPr>
                    <w:t>室内边界声级/dB</w:t>
                  </w:r>
                  <w:r>
                    <w:rPr>
                      <w:rFonts w:hint="default"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rPr>
                    <w:t>A</w:t>
                  </w:r>
                  <w:r>
                    <w:rPr>
                      <w:rFonts w:hint="default" w:ascii="Times New Roman" w:hAnsi="Times New Roman" w:eastAsia="仿宋" w:cs="Times New Roman"/>
                      <w:b/>
                      <w:bCs/>
                      <w:color w:val="auto"/>
                      <w:sz w:val="21"/>
                      <w:szCs w:val="21"/>
                      <w:highlight w:val="none"/>
                      <w:lang w:val="en-US" w:eastAsia="zh-CN"/>
                    </w:rPr>
                    <w:t>)</w:t>
                  </w:r>
                </w:p>
              </w:tc>
              <w:tc>
                <w:tcPr>
                  <w:tcW w:w="133" w:type="pct"/>
                  <w:vMerge w:val="restart"/>
                  <w:tcBorders>
                    <w:tl2br w:val="nil"/>
                    <w:tr2bl w:val="nil"/>
                  </w:tcBorders>
                  <w:shd w:val="clear" w:color="auto" w:fill="auto"/>
                  <w:vAlign w:val="center"/>
                </w:tcPr>
                <w:p w14:paraId="609B00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运行时段</w:t>
                  </w:r>
                </w:p>
              </w:tc>
              <w:tc>
                <w:tcPr>
                  <w:tcW w:w="317" w:type="pct"/>
                  <w:vMerge w:val="restart"/>
                  <w:tcBorders>
                    <w:tl2br w:val="nil"/>
                    <w:tr2bl w:val="nil"/>
                  </w:tcBorders>
                  <w:shd w:val="clear" w:color="auto" w:fill="auto"/>
                  <w:vAlign w:val="center"/>
                </w:tcPr>
                <w:p w14:paraId="07BD2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rPr>
                    <w:t>建筑物插入损失</w:t>
                  </w:r>
                  <w:r>
                    <w:rPr>
                      <w:rFonts w:hint="default"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rPr>
                    <w:t>dB</w:t>
                  </w:r>
                  <w:r>
                    <w:rPr>
                      <w:rFonts w:hint="default"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rPr>
                    <w:t>A</w:t>
                  </w:r>
                  <w:r>
                    <w:rPr>
                      <w:rFonts w:hint="default" w:ascii="Times New Roman" w:hAnsi="Times New Roman" w:eastAsia="仿宋" w:cs="Times New Roman"/>
                      <w:b/>
                      <w:bCs/>
                      <w:color w:val="auto"/>
                      <w:sz w:val="21"/>
                      <w:szCs w:val="21"/>
                      <w:highlight w:val="none"/>
                      <w:lang w:val="en-US" w:eastAsia="zh-CN"/>
                    </w:rPr>
                    <w:t>)</w:t>
                  </w:r>
                </w:p>
              </w:tc>
              <w:tc>
                <w:tcPr>
                  <w:tcW w:w="1021" w:type="pct"/>
                  <w:gridSpan w:val="5"/>
                  <w:tcBorders>
                    <w:tl2br w:val="nil"/>
                    <w:tr2bl w:val="nil"/>
                  </w:tcBorders>
                  <w:shd w:val="clear" w:color="auto" w:fill="auto"/>
                  <w:vAlign w:val="center"/>
                </w:tcPr>
                <w:p w14:paraId="314D2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建筑物外噪声</w:t>
                  </w:r>
                </w:p>
              </w:tc>
            </w:tr>
            <w:tr w14:paraId="03C12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 w:type="pct"/>
                  <w:vMerge w:val="continue"/>
                  <w:tcBorders>
                    <w:tl2br w:val="nil"/>
                    <w:tr2bl w:val="nil"/>
                  </w:tcBorders>
                  <w:shd w:val="clear" w:color="auto" w:fill="auto"/>
                  <w:tcMar>
                    <w:top w:w="0" w:type="dxa"/>
                    <w:left w:w="0" w:type="dxa"/>
                    <w:bottom w:w="0" w:type="dxa"/>
                    <w:right w:w="0" w:type="dxa"/>
                  </w:tcMar>
                  <w:vAlign w:val="center"/>
                </w:tcPr>
                <w:p w14:paraId="566D7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p>
              </w:tc>
              <w:tc>
                <w:tcPr>
                  <w:tcW w:w="154" w:type="pct"/>
                  <w:vMerge w:val="continue"/>
                  <w:tcBorders>
                    <w:tl2br w:val="nil"/>
                    <w:tr2bl w:val="nil"/>
                  </w:tcBorders>
                  <w:shd w:val="clear" w:color="auto" w:fill="auto"/>
                  <w:tcMar>
                    <w:top w:w="0" w:type="dxa"/>
                    <w:left w:w="0" w:type="dxa"/>
                    <w:bottom w:w="0" w:type="dxa"/>
                    <w:right w:w="0" w:type="dxa"/>
                  </w:tcMar>
                  <w:vAlign w:val="center"/>
                </w:tcPr>
                <w:p w14:paraId="39517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333" w:type="pct"/>
                  <w:vMerge w:val="continue"/>
                  <w:tcBorders>
                    <w:tl2br w:val="nil"/>
                    <w:tr2bl w:val="nil"/>
                  </w:tcBorders>
                  <w:shd w:val="clear" w:color="auto" w:fill="auto"/>
                  <w:tcMar>
                    <w:top w:w="0" w:type="dxa"/>
                    <w:left w:w="0" w:type="dxa"/>
                    <w:bottom w:w="0" w:type="dxa"/>
                    <w:right w:w="0" w:type="dxa"/>
                  </w:tcMar>
                  <w:vAlign w:val="center"/>
                </w:tcPr>
                <w:p w14:paraId="531FB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215" w:type="pct"/>
                  <w:vMerge w:val="continue"/>
                  <w:tcBorders>
                    <w:tl2br w:val="nil"/>
                    <w:tr2bl w:val="nil"/>
                  </w:tcBorders>
                  <w:shd w:val="clear" w:color="auto" w:fill="auto"/>
                  <w:tcMar>
                    <w:top w:w="0" w:type="dxa"/>
                    <w:left w:w="0" w:type="dxa"/>
                    <w:bottom w:w="0" w:type="dxa"/>
                    <w:right w:w="0" w:type="dxa"/>
                  </w:tcMar>
                  <w:vAlign w:val="center"/>
                </w:tcPr>
                <w:p w14:paraId="76504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327" w:type="pct"/>
                  <w:vMerge w:val="restart"/>
                  <w:tcBorders>
                    <w:tl2br w:val="nil"/>
                    <w:tr2bl w:val="nil"/>
                  </w:tcBorders>
                  <w:shd w:val="clear" w:color="auto" w:fill="auto"/>
                  <w:tcMar>
                    <w:top w:w="0" w:type="dxa"/>
                    <w:left w:w="0" w:type="dxa"/>
                    <w:bottom w:w="0" w:type="dxa"/>
                    <w:right w:w="0" w:type="dxa"/>
                  </w:tcMar>
                  <w:vAlign w:val="center"/>
                </w:tcPr>
                <w:p w14:paraId="55CBA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声功率级/dB(A)</w:t>
                  </w:r>
                </w:p>
              </w:tc>
              <w:tc>
                <w:tcPr>
                  <w:tcW w:w="204" w:type="pct"/>
                  <w:vMerge w:val="restart"/>
                  <w:tcBorders>
                    <w:tl2br w:val="nil"/>
                    <w:tr2bl w:val="nil"/>
                  </w:tcBorders>
                  <w:shd w:val="clear" w:color="auto" w:fill="auto"/>
                  <w:tcMar>
                    <w:top w:w="0" w:type="dxa"/>
                    <w:left w:w="0" w:type="dxa"/>
                    <w:bottom w:w="0" w:type="dxa"/>
                    <w:right w:w="0" w:type="dxa"/>
                  </w:tcMar>
                  <w:vAlign w:val="center"/>
                </w:tcPr>
                <w:p w14:paraId="7410A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b/>
                      <w:bCs/>
                      <w:color w:val="auto"/>
                      <w:sz w:val="21"/>
                      <w:szCs w:val="21"/>
                      <w:highlight w:val="none"/>
                      <w:lang w:val="en-US" w:eastAsia="zh-CN"/>
                    </w:rPr>
                  </w:pPr>
                  <w:r>
                    <w:rPr>
                      <w:rFonts w:hint="eastAsia" w:ascii="Times New Roman" w:hAnsi="Times New Roman" w:eastAsia="仿宋" w:cs="Times New Roman"/>
                      <w:b/>
                      <w:bCs/>
                      <w:color w:val="auto"/>
                      <w:sz w:val="21"/>
                      <w:szCs w:val="21"/>
                      <w:highlight w:val="none"/>
                      <w:lang w:val="en-US" w:eastAsia="zh-CN"/>
                    </w:rPr>
                    <w:t>距离（m）</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6BF9E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163" w:type="pct"/>
                  <w:vMerge w:val="restart"/>
                  <w:tcBorders>
                    <w:tl2br w:val="nil"/>
                    <w:tr2bl w:val="nil"/>
                  </w:tcBorders>
                  <w:shd w:val="clear" w:color="auto" w:fill="auto"/>
                  <w:tcMar>
                    <w:top w:w="0" w:type="dxa"/>
                    <w:left w:w="0" w:type="dxa"/>
                    <w:bottom w:w="0" w:type="dxa"/>
                    <w:right w:w="0" w:type="dxa"/>
                  </w:tcMar>
                  <w:vAlign w:val="center"/>
                </w:tcPr>
                <w:p w14:paraId="37A02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X</w:t>
                  </w:r>
                </w:p>
              </w:tc>
              <w:tc>
                <w:tcPr>
                  <w:tcW w:w="133" w:type="pct"/>
                  <w:vMerge w:val="restart"/>
                  <w:tcBorders>
                    <w:tl2br w:val="nil"/>
                    <w:tr2bl w:val="nil"/>
                  </w:tcBorders>
                  <w:shd w:val="clear" w:color="auto" w:fill="auto"/>
                  <w:tcMar>
                    <w:top w:w="0" w:type="dxa"/>
                    <w:left w:w="0" w:type="dxa"/>
                    <w:bottom w:w="0" w:type="dxa"/>
                    <w:right w:w="0" w:type="dxa"/>
                  </w:tcMar>
                  <w:vAlign w:val="center"/>
                </w:tcPr>
                <w:p w14:paraId="70DDF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Y</w:t>
                  </w:r>
                </w:p>
              </w:tc>
              <w:tc>
                <w:tcPr>
                  <w:tcW w:w="148" w:type="pct"/>
                  <w:vMerge w:val="restart"/>
                  <w:tcBorders>
                    <w:tl2br w:val="nil"/>
                    <w:tr2bl w:val="nil"/>
                  </w:tcBorders>
                  <w:shd w:val="clear" w:color="auto" w:fill="auto"/>
                  <w:tcMar>
                    <w:top w:w="0" w:type="dxa"/>
                    <w:left w:w="0" w:type="dxa"/>
                    <w:bottom w:w="0" w:type="dxa"/>
                    <w:right w:w="0" w:type="dxa"/>
                  </w:tcMar>
                  <w:vAlign w:val="center"/>
                </w:tcPr>
                <w:p w14:paraId="08070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Z</w:t>
                  </w:r>
                </w:p>
              </w:tc>
              <w:tc>
                <w:tcPr>
                  <w:tcW w:w="156" w:type="pct"/>
                  <w:vMerge w:val="restart"/>
                  <w:tcBorders>
                    <w:tl2br w:val="nil"/>
                    <w:tr2bl w:val="nil"/>
                  </w:tcBorders>
                  <w:shd w:val="clear" w:color="auto" w:fill="auto"/>
                  <w:tcMar>
                    <w:top w:w="0" w:type="dxa"/>
                    <w:left w:w="0" w:type="dxa"/>
                    <w:bottom w:w="0" w:type="dxa"/>
                    <w:right w:w="0" w:type="dxa"/>
                  </w:tcMar>
                  <w:vAlign w:val="center"/>
                </w:tcPr>
                <w:p w14:paraId="3B379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东</w:t>
                  </w:r>
                </w:p>
              </w:tc>
              <w:tc>
                <w:tcPr>
                  <w:tcW w:w="169" w:type="pct"/>
                  <w:vMerge w:val="restart"/>
                  <w:tcBorders>
                    <w:tl2br w:val="nil"/>
                    <w:tr2bl w:val="nil"/>
                  </w:tcBorders>
                  <w:shd w:val="clear" w:color="auto" w:fill="auto"/>
                  <w:tcMar>
                    <w:top w:w="0" w:type="dxa"/>
                    <w:left w:w="0" w:type="dxa"/>
                    <w:bottom w:w="0" w:type="dxa"/>
                    <w:right w:w="0" w:type="dxa"/>
                  </w:tcMar>
                  <w:vAlign w:val="center"/>
                </w:tcPr>
                <w:p w14:paraId="694E9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南</w:t>
                  </w:r>
                </w:p>
              </w:tc>
              <w:tc>
                <w:tcPr>
                  <w:tcW w:w="174" w:type="pct"/>
                  <w:vMerge w:val="restart"/>
                  <w:tcBorders>
                    <w:tl2br w:val="nil"/>
                    <w:tr2bl w:val="nil"/>
                  </w:tcBorders>
                  <w:shd w:val="clear" w:color="auto" w:fill="auto"/>
                  <w:tcMar>
                    <w:top w:w="0" w:type="dxa"/>
                    <w:left w:w="0" w:type="dxa"/>
                    <w:bottom w:w="0" w:type="dxa"/>
                    <w:right w:w="0" w:type="dxa"/>
                  </w:tcMar>
                  <w:vAlign w:val="center"/>
                </w:tcPr>
                <w:p w14:paraId="20D2E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西</w:t>
                  </w:r>
                </w:p>
              </w:tc>
              <w:tc>
                <w:tcPr>
                  <w:tcW w:w="163" w:type="pct"/>
                  <w:vMerge w:val="restart"/>
                  <w:tcBorders>
                    <w:tl2br w:val="nil"/>
                    <w:tr2bl w:val="nil"/>
                  </w:tcBorders>
                  <w:shd w:val="clear" w:color="auto" w:fill="auto"/>
                  <w:tcMar>
                    <w:top w:w="0" w:type="dxa"/>
                    <w:left w:w="0" w:type="dxa"/>
                    <w:bottom w:w="0" w:type="dxa"/>
                    <w:right w:w="0" w:type="dxa"/>
                  </w:tcMar>
                  <w:vAlign w:val="center"/>
                </w:tcPr>
                <w:p w14:paraId="01834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北</w:t>
                  </w:r>
                </w:p>
              </w:tc>
              <w:tc>
                <w:tcPr>
                  <w:tcW w:w="204" w:type="pct"/>
                  <w:vMerge w:val="restart"/>
                  <w:tcBorders>
                    <w:tl2br w:val="nil"/>
                    <w:tr2bl w:val="nil"/>
                  </w:tcBorders>
                  <w:shd w:val="clear" w:color="auto" w:fill="auto"/>
                  <w:tcMar>
                    <w:top w:w="0" w:type="dxa"/>
                    <w:left w:w="0" w:type="dxa"/>
                    <w:bottom w:w="0" w:type="dxa"/>
                    <w:right w:w="0" w:type="dxa"/>
                  </w:tcMar>
                  <w:vAlign w:val="center"/>
                </w:tcPr>
                <w:p w14:paraId="3FE92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东</w:t>
                  </w:r>
                </w:p>
              </w:tc>
              <w:tc>
                <w:tcPr>
                  <w:tcW w:w="215" w:type="pct"/>
                  <w:vMerge w:val="restart"/>
                  <w:tcBorders>
                    <w:tl2br w:val="nil"/>
                    <w:tr2bl w:val="nil"/>
                  </w:tcBorders>
                  <w:shd w:val="clear" w:color="auto" w:fill="auto"/>
                  <w:tcMar>
                    <w:top w:w="0" w:type="dxa"/>
                    <w:left w:w="0" w:type="dxa"/>
                    <w:bottom w:w="0" w:type="dxa"/>
                    <w:right w:w="0" w:type="dxa"/>
                  </w:tcMar>
                  <w:vAlign w:val="center"/>
                </w:tcPr>
                <w:p w14:paraId="51EB6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南</w:t>
                  </w:r>
                </w:p>
              </w:tc>
              <w:tc>
                <w:tcPr>
                  <w:tcW w:w="179" w:type="pct"/>
                  <w:vMerge w:val="restart"/>
                  <w:tcBorders>
                    <w:tl2br w:val="nil"/>
                    <w:tr2bl w:val="nil"/>
                  </w:tcBorders>
                  <w:shd w:val="clear" w:color="auto" w:fill="auto"/>
                  <w:tcMar>
                    <w:top w:w="0" w:type="dxa"/>
                    <w:left w:w="0" w:type="dxa"/>
                    <w:bottom w:w="0" w:type="dxa"/>
                    <w:right w:w="0" w:type="dxa"/>
                  </w:tcMar>
                  <w:vAlign w:val="center"/>
                </w:tcPr>
                <w:p w14:paraId="763A1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西</w:t>
                  </w:r>
                </w:p>
              </w:tc>
              <w:tc>
                <w:tcPr>
                  <w:tcW w:w="204" w:type="pct"/>
                  <w:vMerge w:val="restart"/>
                  <w:tcBorders>
                    <w:tl2br w:val="nil"/>
                    <w:tr2bl w:val="nil"/>
                  </w:tcBorders>
                  <w:shd w:val="clear" w:color="auto" w:fill="auto"/>
                  <w:tcMar>
                    <w:top w:w="0" w:type="dxa"/>
                    <w:left w:w="0" w:type="dxa"/>
                    <w:bottom w:w="0" w:type="dxa"/>
                    <w:right w:w="0" w:type="dxa"/>
                  </w:tcMar>
                  <w:vAlign w:val="center"/>
                </w:tcPr>
                <w:p w14:paraId="44927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北</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326B5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317" w:type="pct"/>
                  <w:vMerge w:val="continue"/>
                  <w:tcBorders>
                    <w:tl2br w:val="nil"/>
                    <w:tr2bl w:val="nil"/>
                  </w:tcBorders>
                  <w:shd w:val="clear" w:color="auto" w:fill="auto"/>
                  <w:tcMar>
                    <w:top w:w="0" w:type="dxa"/>
                    <w:left w:w="0" w:type="dxa"/>
                    <w:bottom w:w="0" w:type="dxa"/>
                    <w:right w:w="0" w:type="dxa"/>
                  </w:tcMar>
                  <w:vAlign w:val="center"/>
                </w:tcPr>
                <w:p w14:paraId="06327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c>
                <w:tcPr>
                  <w:tcW w:w="795" w:type="pct"/>
                  <w:gridSpan w:val="4"/>
                  <w:tcBorders>
                    <w:tl2br w:val="nil"/>
                    <w:tr2bl w:val="nil"/>
                  </w:tcBorders>
                  <w:shd w:val="clear" w:color="auto" w:fill="auto"/>
                  <w:tcMar>
                    <w:top w:w="0" w:type="dxa"/>
                    <w:left w:w="0" w:type="dxa"/>
                    <w:bottom w:w="0" w:type="dxa"/>
                    <w:right w:w="0" w:type="dxa"/>
                  </w:tcMar>
                  <w:vAlign w:val="center"/>
                </w:tcPr>
                <w:p w14:paraId="1DAF8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声压级/dB</w:t>
                  </w:r>
                  <w:r>
                    <w:rPr>
                      <w:rFonts w:hint="default"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rPr>
                    <w:t>A</w:t>
                  </w:r>
                  <w:r>
                    <w:rPr>
                      <w:rFonts w:hint="default" w:ascii="Times New Roman" w:hAnsi="Times New Roman" w:eastAsia="仿宋" w:cs="Times New Roman"/>
                      <w:b/>
                      <w:bCs/>
                      <w:color w:val="auto"/>
                      <w:sz w:val="21"/>
                      <w:szCs w:val="21"/>
                      <w:highlight w:val="none"/>
                      <w:lang w:val="en-US" w:eastAsia="zh-CN"/>
                    </w:rPr>
                    <w:t>)</w:t>
                  </w:r>
                </w:p>
              </w:tc>
              <w:tc>
                <w:tcPr>
                  <w:tcW w:w="225" w:type="pct"/>
                  <w:vMerge w:val="restart"/>
                  <w:tcBorders>
                    <w:tl2br w:val="nil"/>
                    <w:tr2bl w:val="nil"/>
                  </w:tcBorders>
                  <w:shd w:val="clear" w:color="auto" w:fill="auto"/>
                  <w:tcMar>
                    <w:top w:w="0" w:type="dxa"/>
                    <w:left w:w="0" w:type="dxa"/>
                    <w:bottom w:w="0" w:type="dxa"/>
                    <w:right w:w="0" w:type="dxa"/>
                  </w:tcMar>
                  <w:vAlign w:val="center"/>
                </w:tcPr>
                <w:p w14:paraId="7729F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建筑物外距离</w:t>
                  </w:r>
                </w:p>
              </w:tc>
            </w:tr>
            <w:tr w14:paraId="56769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vMerge w:val="continue"/>
                  <w:tcBorders>
                    <w:tl2br w:val="nil"/>
                    <w:tr2bl w:val="nil"/>
                  </w:tcBorders>
                  <w:shd w:val="clear" w:color="auto" w:fill="auto"/>
                  <w:tcMar>
                    <w:top w:w="0" w:type="dxa"/>
                    <w:left w:w="0" w:type="dxa"/>
                    <w:bottom w:w="0" w:type="dxa"/>
                    <w:right w:w="0" w:type="dxa"/>
                  </w:tcMar>
                  <w:vAlign w:val="center"/>
                </w:tcPr>
                <w:p w14:paraId="701F1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54" w:type="pct"/>
                  <w:vMerge w:val="continue"/>
                  <w:tcBorders>
                    <w:tl2br w:val="nil"/>
                    <w:tr2bl w:val="nil"/>
                  </w:tcBorders>
                  <w:shd w:val="clear" w:color="auto" w:fill="auto"/>
                  <w:tcMar>
                    <w:top w:w="0" w:type="dxa"/>
                    <w:left w:w="0" w:type="dxa"/>
                    <w:bottom w:w="0" w:type="dxa"/>
                    <w:right w:w="0" w:type="dxa"/>
                  </w:tcMar>
                  <w:vAlign w:val="center"/>
                </w:tcPr>
                <w:p w14:paraId="28A84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vMerge w:val="continue"/>
                  <w:tcBorders>
                    <w:tl2br w:val="nil"/>
                    <w:tr2bl w:val="nil"/>
                  </w:tcBorders>
                  <w:shd w:val="clear" w:color="auto" w:fill="auto"/>
                  <w:tcMar>
                    <w:top w:w="0" w:type="dxa"/>
                    <w:left w:w="0" w:type="dxa"/>
                    <w:bottom w:w="0" w:type="dxa"/>
                    <w:right w:w="0" w:type="dxa"/>
                  </w:tcMar>
                  <w:vAlign w:val="center"/>
                </w:tcPr>
                <w:p w14:paraId="20D8D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215" w:type="pct"/>
                  <w:vMerge w:val="continue"/>
                  <w:tcBorders>
                    <w:tl2br w:val="nil"/>
                    <w:tr2bl w:val="nil"/>
                  </w:tcBorders>
                  <w:shd w:val="clear" w:color="auto" w:fill="auto"/>
                  <w:tcMar>
                    <w:top w:w="0" w:type="dxa"/>
                    <w:left w:w="0" w:type="dxa"/>
                    <w:bottom w:w="0" w:type="dxa"/>
                    <w:right w:w="0" w:type="dxa"/>
                  </w:tcMar>
                  <w:vAlign w:val="center"/>
                </w:tcPr>
                <w:p w14:paraId="63F70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27" w:type="pct"/>
                  <w:vMerge w:val="continue"/>
                  <w:tcBorders>
                    <w:tl2br w:val="nil"/>
                    <w:tr2bl w:val="nil"/>
                  </w:tcBorders>
                  <w:shd w:val="clear" w:color="auto" w:fill="auto"/>
                  <w:tcMar>
                    <w:top w:w="0" w:type="dxa"/>
                    <w:left w:w="0" w:type="dxa"/>
                    <w:bottom w:w="0" w:type="dxa"/>
                    <w:right w:w="0" w:type="dxa"/>
                  </w:tcMar>
                  <w:vAlign w:val="center"/>
                </w:tcPr>
                <w:p w14:paraId="48375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lang w:val="en-US" w:eastAsia="zh-CN"/>
                    </w:rPr>
                  </w:pPr>
                </w:p>
              </w:tc>
              <w:tc>
                <w:tcPr>
                  <w:tcW w:w="204" w:type="pct"/>
                  <w:vMerge w:val="continue"/>
                  <w:tcBorders>
                    <w:tl2br w:val="nil"/>
                    <w:tr2bl w:val="nil"/>
                  </w:tcBorders>
                  <w:shd w:val="clear" w:color="auto" w:fill="auto"/>
                  <w:tcMar>
                    <w:top w:w="0" w:type="dxa"/>
                    <w:left w:w="0" w:type="dxa"/>
                    <w:bottom w:w="0" w:type="dxa"/>
                    <w:right w:w="0" w:type="dxa"/>
                  </w:tcMar>
                  <w:vAlign w:val="center"/>
                </w:tcPr>
                <w:p w14:paraId="0F648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b/>
                      <w:bCs/>
                      <w:color w:val="auto"/>
                      <w:sz w:val="21"/>
                      <w:szCs w:val="21"/>
                      <w:highlight w:val="none"/>
                      <w:lang w:val="en-US" w:eastAsia="zh-CN"/>
                    </w:rPr>
                  </w:pPr>
                </w:p>
              </w:tc>
              <w:tc>
                <w:tcPr>
                  <w:tcW w:w="225" w:type="pct"/>
                  <w:vMerge w:val="continue"/>
                  <w:tcBorders>
                    <w:tl2br w:val="nil"/>
                    <w:tr2bl w:val="nil"/>
                  </w:tcBorders>
                  <w:shd w:val="clear" w:color="auto" w:fill="auto"/>
                  <w:tcMar>
                    <w:top w:w="0" w:type="dxa"/>
                    <w:left w:w="0" w:type="dxa"/>
                    <w:bottom w:w="0" w:type="dxa"/>
                    <w:right w:w="0" w:type="dxa"/>
                  </w:tcMar>
                  <w:vAlign w:val="center"/>
                </w:tcPr>
                <w:p w14:paraId="4F110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vMerge w:val="continue"/>
                  <w:tcBorders>
                    <w:tl2br w:val="nil"/>
                    <w:tr2bl w:val="nil"/>
                  </w:tcBorders>
                  <w:shd w:val="clear" w:color="auto" w:fill="auto"/>
                  <w:tcMar>
                    <w:top w:w="0" w:type="dxa"/>
                    <w:left w:w="0" w:type="dxa"/>
                    <w:bottom w:w="0" w:type="dxa"/>
                    <w:right w:w="0" w:type="dxa"/>
                  </w:tcMar>
                  <w:vAlign w:val="center"/>
                </w:tcPr>
                <w:p w14:paraId="7BB71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33" w:type="pct"/>
                  <w:vMerge w:val="continue"/>
                  <w:tcBorders>
                    <w:tl2br w:val="nil"/>
                    <w:tr2bl w:val="nil"/>
                  </w:tcBorders>
                  <w:shd w:val="clear" w:color="auto" w:fill="auto"/>
                  <w:tcMar>
                    <w:top w:w="0" w:type="dxa"/>
                    <w:left w:w="0" w:type="dxa"/>
                    <w:bottom w:w="0" w:type="dxa"/>
                    <w:right w:w="0" w:type="dxa"/>
                  </w:tcMar>
                  <w:vAlign w:val="center"/>
                </w:tcPr>
                <w:p w14:paraId="4ADB1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48" w:type="pct"/>
                  <w:vMerge w:val="continue"/>
                  <w:tcBorders>
                    <w:tl2br w:val="nil"/>
                    <w:tr2bl w:val="nil"/>
                  </w:tcBorders>
                  <w:shd w:val="clear" w:color="auto" w:fill="auto"/>
                  <w:tcMar>
                    <w:top w:w="0" w:type="dxa"/>
                    <w:left w:w="0" w:type="dxa"/>
                    <w:bottom w:w="0" w:type="dxa"/>
                    <w:right w:w="0" w:type="dxa"/>
                  </w:tcMar>
                  <w:vAlign w:val="center"/>
                </w:tcPr>
                <w:p w14:paraId="71692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56" w:type="pct"/>
                  <w:vMerge w:val="continue"/>
                  <w:tcBorders>
                    <w:tl2br w:val="nil"/>
                    <w:tr2bl w:val="nil"/>
                  </w:tcBorders>
                  <w:shd w:val="clear" w:color="auto" w:fill="auto"/>
                  <w:tcMar>
                    <w:top w:w="0" w:type="dxa"/>
                    <w:left w:w="0" w:type="dxa"/>
                    <w:bottom w:w="0" w:type="dxa"/>
                    <w:right w:w="0" w:type="dxa"/>
                  </w:tcMar>
                  <w:vAlign w:val="center"/>
                </w:tcPr>
                <w:p w14:paraId="4C63F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9" w:type="pct"/>
                  <w:vMerge w:val="continue"/>
                  <w:tcBorders>
                    <w:tl2br w:val="nil"/>
                    <w:tr2bl w:val="nil"/>
                  </w:tcBorders>
                  <w:shd w:val="clear" w:color="auto" w:fill="auto"/>
                  <w:tcMar>
                    <w:top w:w="0" w:type="dxa"/>
                    <w:left w:w="0" w:type="dxa"/>
                    <w:bottom w:w="0" w:type="dxa"/>
                    <w:right w:w="0" w:type="dxa"/>
                  </w:tcMar>
                  <w:vAlign w:val="center"/>
                </w:tcPr>
                <w:p w14:paraId="7981F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74" w:type="pct"/>
                  <w:vMerge w:val="continue"/>
                  <w:tcBorders>
                    <w:tl2br w:val="nil"/>
                    <w:tr2bl w:val="nil"/>
                  </w:tcBorders>
                  <w:shd w:val="clear" w:color="auto" w:fill="auto"/>
                  <w:tcMar>
                    <w:top w:w="0" w:type="dxa"/>
                    <w:left w:w="0" w:type="dxa"/>
                    <w:bottom w:w="0" w:type="dxa"/>
                    <w:right w:w="0" w:type="dxa"/>
                  </w:tcMar>
                  <w:vAlign w:val="center"/>
                </w:tcPr>
                <w:p w14:paraId="5D5CE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vMerge w:val="continue"/>
                  <w:tcBorders>
                    <w:tl2br w:val="nil"/>
                    <w:tr2bl w:val="nil"/>
                  </w:tcBorders>
                  <w:shd w:val="clear" w:color="auto" w:fill="auto"/>
                  <w:tcMar>
                    <w:top w:w="0" w:type="dxa"/>
                    <w:left w:w="0" w:type="dxa"/>
                    <w:bottom w:w="0" w:type="dxa"/>
                    <w:right w:w="0" w:type="dxa"/>
                  </w:tcMar>
                  <w:vAlign w:val="center"/>
                </w:tcPr>
                <w:p w14:paraId="100C7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204" w:type="pct"/>
                  <w:vMerge w:val="continue"/>
                  <w:tcBorders>
                    <w:tl2br w:val="nil"/>
                    <w:tr2bl w:val="nil"/>
                  </w:tcBorders>
                  <w:shd w:val="clear" w:color="auto" w:fill="auto"/>
                  <w:tcMar>
                    <w:top w:w="0" w:type="dxa"/>
                    <w:left w:w="0" w:type="dxa"/>
                    <w:bottom w:w="0" w:type="dxa"/>
                    <w:right w:w="0" w:type="dxa"/>
                  </w:tcMar>
                  <w:vAlign w:val="center"/>
                </w:tcPr>
                <w:p w14:paraId="56EB6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215" w:type="pct"/>
                  <w:vMerge w:val="continue"/>
                  <w:tcBorders>
                    <w:tl2br w:val="nil"/>
                    <w:tr2bl w:val="nil"/>
                  </w:tcBorders>
                  <w:shd w:val="clear" w:color="auto" w:fill="auto"/>
                  <w:tcMar>
                    <w:top w:w="0" w:type="dxa"/>
                    <w:left w:w="0" w:type="dxa"/>
                    <w:bottom w:w="0" w:type="dxa"/>
                    <w:right w:w="0" w:type="dxa"/>
                  </w:tcMar>
                  <w:vAlign w:val="center"/>
                </w:tcPr>
                <w:p w14:paraId="4786F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79" w:type="pct"/>
                  <w:vMerge w:val="continue"/>
                  <w:tcBorders>
                    <w:tl2br w:val="nil"/>
                    <w:tr2bl w:val="nil"/>
                  </w:tcBorders>
                  <w:shd w:val="clear" w:color="auto" w:fill="auto"/>
                  <w:tcMar>
                    <w:top w:w="0" w:type="dxa"/>
                    <w:left w:w="0" w:type="dxa"/>
                    <w:bottom w:w="0" w:type="dxa"/>
                    <w:right w:w="0" w:type="dxa"/>
                  </w:tcMar>
                  <w:vAlign w:val="center"/>
                </w:tcPr>
                <w:p w14:paraId="42867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204" w:type="pct"/>
                  <w:vMerge w:val="continue"/>
                  <w:tcBorders>
                    <w:tl2br w:val="nil"/>
                    <w:tr2bl w:val="nil"/>
                  </w:tcBorders>
                  <w:shd w:val="clear" w:color="auto" w:fill="auto"/>
                  <w:tcMar>
                    <w:top w:w="0" w:type="dxa"/>
                    <w:left w:w="0" w:type="dxa"/>
                    <w:bottom w:w="0" w:type="dxa"/>
                    <w:right w:w="0" w:type="dxa"/>
                  </w:tcMar>
                  <w:vAlign w:val="center"/>
                </w:tcPr>
                <w:p w14:paraId="50A2E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33" w:type="pct"/>
                  <w:vMerge w:val="continue"/>
                  <w:tcBorders>
                    <w:tl2br w:val="nil"/>
                    <w:tr2bl w:val="nil"/>
                  </w:tcBorders>
                  <w:shd w:val="clear" w:color="auto" w:fill="auto"/>
                  <w:tcMar>
                    <w:top w:w="0" w:type="dxa"/>
                    <w:left w:w="0" w:type="dxa"/>
                    <w:bottom w:w="0" w:type="dxa"/>
                    <w:right w:w="0" w:type="dxa"/>
                  </w:tcMar>
                  <w:vAlign w:val="center"/>
                </w:tcPr>
                <w:p w14:paraId="3E9FB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17" w:type="pct"/>
                  <w:vMerge w:val="continue"/>
                  <w:tcBorders>
                    <w:tl2br w:val="nil"/>
                    <w:tr2bl w:val="nil"/>
                  </w:tcBorders>
                  <w:shd w:val="clear" w:color="auto" w:fill="auto"/>
                  <w:tcMar>
                    <w:top w:w="0" w:type="dxa"/>
                    <w:left w:w="0" w:type="dxa"/>
                    <w:bottom w:w="0" w:type="dxa"/>
                    <w:right w:w="0" w:type="dxa"/>
                  </w:tcMar>
                  <w:vAlign w:val="center"/>
                </w:tcPr>
                <w:p w14:paraId="1A951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90" w:type="pct"/>
                  <w:tcBorders>
                    <w:tl2br w:val="nil"/>
                    <w:tr2bl w:val="nil"/>
                  </w:tcBorders>
                  <w:shd w:val="clear" w:color="auto" w:fill="auto"/>
                  <w:tcMar>
                    <w:top w:w="0" w:type="dxa"/>
                    <w:left w:w="0" w:type="dxa"/>
                    <w:bottom w:w="0" w:type="dxa"/>
                    <w:right w:w="0" w:type="dxa"/>
                  </w:tcMar>
                  <w:vAlign w:val="center"/>
                </w:tcPr>
                <w:p w14:paraId="49942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东</w:t>
                  </w:r>
                </w:p>
              </w:tc>
              <w:tc>
                <w:tcPr>
                  <w:tcW w:w="210" w:type="pct"/>
                  <w:tcBorders>
                    <w:tl2br w:val="nil"/>
                    <w:tr2bl w:val="nil"/>
                  </w:tcBorders>
                  <w:shd w:val="clear" w:color="auto" w:fill="auto"/>
                  <w:tcMar>
                    <w:top w:w="0" w:type="dxa"/>
                    <w:left w:w="0" w:type="dxa"/>
                    <w:bottom w:w="0" w:type="dxa"/>
                    <w:right w:w="0" w:type="dxa"/>
                  </w:tcMar>
                  <w:vAlign w:val="center"/>
                </w:tcPr>
                <w:p w14:paraId="4BC42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南</w:t>
                  </w:r>
                </w:p>
              </w:tc>
              <w:tc>
                <w:tcPr>
                  <w:tcW w:w="215" w:type="pct"/>
                  <w:tcBorders>
                    <w:tl2br w:val="nil"/>
                    <w:tr2bl w:val="nil"/>
                  </w:tcBorders>
                  <w:shd w:val="clear" w:color="auto" w:fill="auto"/>
                  <w:tcMar>
                    <w:top w:w="0" w:type="dxa"/>
                    <w:left w:w="0" w:type="dxa"/>
                    <w:bottom w:w="0" w:type="dxa"/>
                    <w:right w:w="0" w:type="dxa"/>
                  </w:tcMar>
                  <w:vAlign w:val="center"/>
                </w:tcPr>
                <w:p w14:paraId="461E2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西</w:t>
                  </w:r>
                </w:p>
              </w:tc>
              <w:tc>
                <w:tcPr>
                  <w:tcW w:w="179" w:type="pct"/>
                  <w:tcBorders>
                    <w:tl2br w:val="nil"/>
                    <w:tr2bl w:val="nil"/>
                  </w:tcBorders>
                  <w:shd w:val="clear" w:color="auto" w:fill="auto"/>
                  <w:tcMar>
                    <w:top w:w="0" w:type="dxa"/>
                    <w:left w:w="0" w:type="dxa"/>
                    <w:bottom w:w="0" w:type="dxa"/>
                    <w:right w:w="0" w:type="dxa"/>
                  </w:tcMar>
                  <w:vAlign w:val="center"/>
                </w:tcPr>
                <w:p w14:paraId="017C2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bCs/>
                      <w:color w:val="auto"/>
                      <w:kern w:val="2"/>
                      <w:sz w:val="21"/>
                      <w:szCs w:val="21"/>
                      <w:highlight w:val="none"/>
                      <w:lang w:val="en-US" w:eastAsia="zh-CN" w:bidi="ar-SA"/>
                    </w:rPr>
                  </w:pPr>
                  <w:r>
                    <w:rPr>
                      <w:rFonts w:hint="default" w:ascii="Times New Roman" w:hAnsi="Times New Roman" w:eastAsia="仿宋" w:cs="Times New Roman"/>
                      <w:b/>
                      <w:bCs/>
                      <w:color w:val="auto"/>
                      <w:sz w:val="21"/>
                      <w:szCs w:val="21"/>
                      <w:highlight w:val="none"/>
                      <w:lang w:val="en-US" w:eastAsia="zh-CN"/>
                    </w:rPr>
                    <w:t>北</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3DDFA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bCs/>
                      <w:color w:val="auto"/>
                      <w:sz w:val="21"/>
                      <w:szCs w:val="21"/>
                      <w:highlight w:val="none"/>
                    </w:rPr>
                  </w:pPr>
                </w:p>
              </w:tc>
            </w:tr>
            <w:tr w14:paraId="14CB8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300FF0C8">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i w:val="0"/>
                      <w:iCs w:val="0"/>
                      <w:color w:val="auto"/>
                      <w:kern w:val="0"/>
                      <w:sz w:val="21"/>
                      <w:szCs w:val="21"/>
                      <w:highlight w:val="none"/>
                      <w:u w:val="none"/>
                      <w:lang w:val="en-US" w:eastAsia="zh-CN" w:bidi="ar"/>
                    </w:rPr>
                    <w:t>1</w:t>
                  </w:r>
                </w:p>
              </w:tc>
              <w:tc>
                <w:tcPr>
                  <w:tcW w:w="154" w:type="pct"/>
                  <w:vMerge w:val="restart"/>
                  <w:tcBorders>
                    <w:tl2br w:val="nil"/>
                    <w:tr2bl w:val="nil"/>
                  </w:tcBorders>
                  <w:shd w:val="clear" w:color="auto" w:fill="auto"/>
                  <w:tcMar>
                    <w:top w:w="0" w:type="dxa"/>
                    <w:left w:w="0" w:type="dxa"/>
                    <w:bottom w:w="0" w:type="dxa"/>
                    <w:right w:w="0" w:type="dxa"/>
                  </w:tcMar>
                  <w:vAlign w:val="center"/>
                </w:tcPr>
                <w:p w14:paraId="3668A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生产车间</w:t>
                  </w:r>
                </w:p>
              </w:tc>
              <w:tc>
                <w:tcPr>
                  <w:tcW w:w="333" w:type="pct"/>
                  <w:tcBorders>
                    <w:tl2br w:val="nil"/>
                    <w:tr2bl w:val="nil"/>
                  </w:tcBorders>
                  <w:shd w:val="clear" w:color="auto" w:fill="auto"/>
                  <w:tcMar>
                    <w:top w:w="0" w:type="dxa"/>
                    <w:left w:w="0" w:type="dxa"/>
                    <w:bottom w:w="0" w:type="dxa"/>
                    <w:right w:w="0" w:type="dxa"/>
                  </w:tcMar>
                  <w:vAlign w:val="center"/>
                </w:tcPr>
                <w:p w14:paraId="05CF0A4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剪板机</w:t>
                  </w:r>
                </w:p>
              </w:tc>
              <w:tc>
                <w:tcPr>
                  <w:tcW w:w="215" w:type="pct"/>
                  <w:tcBorders>
                    <w:tl2br w:val="nil"/>
                    <w:tr2bl w:val="nil"/>
                  </w:tcBorders>
                  <w:shd w:val="clear" w:color="auto" w:fill="auto"/>
                  <w:tcMar>
                    <w:top w:w="0" w:type="dxa"/>
                    <w:left w:w="0" w:type="dxa"/>
                    <w:bottom w:w="0" w:type="dxa"/>
                    <w:right w:w="0" w:type="dxa"/>
                  </w:tcMar>
                  <w:vAlign w:val="center"/>
                </w:tcPr>
                <w:p w14:paraId="16ACAB3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5FCD77E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75</w:t>
                  </w:r>
                </w:p>
              </w:tc>
              <w:tc>
                <w:tcPr>
                  <w:tcW w:w="204" w:type="pct"/>
                  <w:tcBorders>
                    <w:tl2br w:val="nil"/>
                    <w:tr2bl w:val="nil"/>
                  </w:tcBorders>
                  <w:shd w:val="clear" w:color="auto" w:fill="auto"/>
                  <w:tcMar>
                    <w:top w:w="0" w:type="dxa"/>
                    <w:left w:w="0" w:type="dxa"/>
                    <w:bottom w:w="0" w:type="dxa"/>
                    <w:right w:w="0" w:type="dxa"/>
                  </w:tcMar>
                  <w:vAlign w:val="center"/>
                </w:tcPr>
                <w:p w14:paraId="11029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restart"/>
                  <w:tcBorders>
                    <w:tl2br w:val="nil"/>
                    <w:tr2bl w:val="nil"/>
                  </w:tcBorders>
                  <w:shd w:val="clear" w:color="auto" w:fill="auto"/>
                  <w:tcMar>
                    <w:top w:w="0" w:type="dxa"/>
                    <w:left w:w="0" w:type="dxa"/>
                    <w:bottom w:w="0" w:type="dxa"/>
                    <w:right w:w="0" w:type="dxa"/>
                  </w:tcMar>
                  <w:vAlign w:val="center"/>
                </w:tcPr>
                <w:p w14:paraId="38FD6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val="0"/>
                      <w:bCs w:val="0"/>
                      <w:color w:val="auto"/>
                      <w:kern w:val="2"/>
                      <w:sz w:val="21"/>
                      <w:szCs w:val="21"/>
                      <w:highlight w:val="none"/>
                      <w:vertAlign w:val="baseline"/>
                      <w:lang w:val="en-US" w:eastAsia="zh-CN" w:bidi="ar-SA"/>
                    </w:rPr>
                    <w:t>选用低噪声设备、墙体隔声、距离衰减、减振</w:t>
                  </w:r>
                </w:p>
              </w:tc>
              <w:tc>
                <w:tcPr>
                  <w:tcW w:w="163" w:type="pct"/>
                  <w:tcBorders>
                    <w:tl2br w:val="nil"/>
                    <w:tr2bl w:val="nil"/>
                  </w:tcBorders>
                  <w:shd w:val="clear" w:color="auto" w:fill="auto"/>
                  <w:tcMar>
                    <w:top w:w="0" w:type="dxa"/>
                    <w:left w:w="0" w:type="dxa"/>
                    <w:bottom w:w="0" w:type="dxa"/>
                    <w:right w:w="0" w:type="dxa"/>
                  </w:tcMar>
                  <w:vAlign w:val="center"/>
                </w:tcPr>
                <w:p w14:paraId="4BE7A1F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48</w:t>
                  </w:r>
                </w:p>
              </w:tc>
              <w:tc>
                <w:tcPr>
                  <w:tcW w:w="133" w:type="pct"/>
                  <w:tcBorders>
                    <w:tl2br w:val="nil"/>
                    <w:tr2bl w:val="nil"/>
                  </w:tcBorders>
                  <w:shd w:val="clear" w:color="auto" w:fill="auto"/>
                  <w:tcMar>
                    <w:top w:w="0" w:type="dxa"/>
                    <w:left w:w="0" w:type="dxa"/>
                    <w:bottom w:w="0" w:type="dxa"/>
                    <w:right w:w="0" w:type="dxa"/>
                  </w:tcMar>
                  <w:vAlign w:val="center"/>
                </w:tcPr>
                <w:p w14:paraId="21BEF9E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w:t>
                  </w:r>
                </w:p>
              </w:tc>
              <w:tc>
                <w:tcPr>
                  <w:tcW w:w="148" w:type="pct"/>
                  <w:tcBorders>
                    <w:tl2br w:val="nil"/>
                    <w:tr2bl w:val="nil"/>
                  </w:tcBorders>
                  <w:shd w:val="clear" w:color="auto" w:fill="auto"/>
                  <w:tcMar>
                    <w:top w:w="0" w:type="dxa"/>
                    <w:left w:w="0" w:type="dxa"/>
                    <w:bottom w:w="0" w:type="dxa"/>
                    <w:right w:w="0" w:type="dxa"/>
                  </w:tcMar>
                  <w:vAlign w:val="center"/>
                </w:tcPr>
                <w:p w14:paraId="0E86BC7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1F24DEB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4.4</w:t>
                  </w:r>
                </w:p>
              </w:tc>
              <w:tc>
                <w:tcPr>
                  <w:tcW w:w="169" w:type="pct"/>
                  <w:tcBorders>
                    <w:tl2br w:val="nil"/>
                    <w:tr2bl w:val="nil"/>
                  </w:tcBorders>
                  <w:shd w:val="clear" w:color="auto" w:fill="auto"/>
                  <w:tcMar>
                    <w:top w:w="0" w:type="dxa"/>
                    <w:left w:w="0" w:type="dxa"/>
                    <w:bottom w:w="0" w:type="dxa"/>
                    <w:right w:w="0" w:type="dxa"/>
                  </w:tcMar>
                  <w:vAlign w:val="center"/>
                </w:tcPr>
                <w:p w14:paraId="6D60E4C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15.5</w:t>
                  </w:r>
                </w:p>
              </w:tc>
              <w:tc>
                <w:tcPr>
                  <w:tcW w:w="174" w:type="pct"/>
                  <w:tcBorders>
                    <w:tl2br w:val="nil"/>
                    <w:tr2bl w:val="nil"/>
                  </w:tcBorders>
                  <w:shd w:val="clear" w:color="auto" w:fill="auto"/>
                  <w:tcMar>
                    <w:top w:w="0" w:type="dxa"/>
                    <w:left w:w="0" w:type="dxa"/>
                    <w:bottom w:w="0" w:type="dxa"/>
                    <w:right w:w="0" w:type="dxa"/>
                  </w:tcMar>
                  <w:vAlign w:val="center"/>
                </w:tcPr>
                <w:p w14:paraId="3DE81B8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46.7</w:t>
                  </w:r>
                </w:p>
              </w:tc>
              <w:tc>
                <w:tcPr>
                  <w:tcW w:w="163" w:type="pct"/>
                  <w:tcBorders>
                    <w:tl2br w:val="nil"/>
                    <w:tr2bl w:val="nil"/>
                  </w:tcBorders>
                  <w:shd w:val="clear" w:color="auto" w:fill="auto"/>
                  <w:tcMar>
                    <w:top w:w="0" w:type="dxa"/>
                    <w:left w:w="0" w:type="dxa"/>
                    <w:bottom w:w="0" w:type="dxa"/>
                    <w:right w:w="0" w:type="dxa"/>
                  </w:tcMar>
                  <w:vAlign w:val="center"/>
                </w:tcPr>
                <w:p w14:paraId="2ACAC85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35.2</w:t>
                  </w:r>
                </w:p>
              </w:tc>
              <w:tc>
                <w:tcPr>
                  <w:tcW w:w="204" w:type="pct"/>
                  <w:tcBorders>
                    <w:tl2br w:val="nil"/>
                    <w:tr2bl w:val="nil"/>
                  </w:tcBorders>
                  <w:shd w:val="clear" w:color="auto" w:fill="auto"/>
                  <w:tcMar>
                    <w:top w:w="0" w:type="dxa"/>
                    <w:left w:w="0" w:type="dxa"/>
                    <w:bottom w:w="0" w:type="dxa"/>
                    <w:right w:w="0" w:type="dxa"/>
                  </w:tcMar>
                  <w:vAlign w:val="center"/>
                </w:tcPr>
                <w:p w14:paraId="0213E3A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62.1</w:t>
                  </w:r>
                </w:p>
              </w:tc>
              <w:tc>
                <w:tcPr>
                  <w:tcW w:w="215" w:type="pct"/>
                  <w:tcBorders>
                    <w:tl2br w:val="nil"/>
                    <w:tr2bl w:val="nil"/>
                  </w:tcBorders>
                  <w:shd w:val="clear" w:color="auto" w:fill="auto"/>
                  <w:tcMar>
                    <w:top w:w="0" w:type="dxa"/>
                    <w:left w:w="0" w:type="dxa"/>
                    <w:bottom w:w="0" w:type="dxa"/>
                    <w:right w:w="0" w:type="dxa"/>
                  </w:tcMar>
                  <w:vAlign w:val="center"/>
                </w:tcPr>
                <w:p w14:paraId="592928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51.2</w:t>
                  </w:r>
                </w:p>
              </w:tc>
              <w:tc>
                <w:tcPr>
                  <w:tcW w:w="179" w:type="pct"/>
                  <w:tcBorders>
                    <w:tl2br w:val="nil"/>
                    <w:tr2bl w:val="nil"/>
                  </w:tcBorders>
                  <w:shd w:val="clear" w:color="auto" w:fill="auto"/>
                  <w:tcMar>
                    <w:top w:w="0" w:type="dxa"/>
                    <w:left w:w="0" w:type="dxa"/>
                    <w:bottom w:w="0" w:type="dxa"/>
                    <w:right w:w="0" w:type="dxa"/>
                  </w:tcMar>
                  <w:vAlign w:val="center"/>
                </w:tcPr>
                <w:p w14:paraId="0222EA1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41.6</w:t>
                  </w:r>
                </w:p>
              </w:tc>
              <w:tc>
                <w:tcPr>
                  <w:tcW w:w="204" w:type="pct"/>
                  <w:tcBorders>
                    <w:tl2br w:val="nil"/>
                    <w:tr2bl w:val="nil"/>
                  </w:tcBorders>
                  <w:shd w:val="clear" w:color="auto" w:fill="auto"/>
                  <w:tcMar>
                    <w:top w:w="0" w:type="dxa"/>
                    <w:left w:w="0" w:type="dxa"/>
                    <w:bottom w:w="0" w:type="dxa"/>
                    <w:right w:w="0" w:type="dxa"/>
                  </w:tcMar>
                  <w:vAlign w:val="center"/>
                </w:tcPr>
                <w:p w14:paraId="409B4DF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44.1</w:t>
                  </w:r>
                </w:p>
              </w:tc>
              <w:tc>
                <w:tcPr>
                  <w:tcW w:w="133" w:type="pct"/>
                  <w:vMerge w:val="restart"/>
                  <w:tcBorders>
                    <w:tl2br w:val="nil"/>
                    <w:tr2bl w:val="nil"/>
                  </w:tcBorders>
                  <w:shd w:val="clear" w:color="auto" w:fill="auto"/>
                  <w:tcMar>
                    <w:top w:w="0" w:type="dxa"/>
                    <w:left w:w="0" w:type="dxa"/>
                    <w:bottom w:w="0" w:type="dxa"/>
                    <w:right w:w="0" w:type="dxa"/>
                  </w:tcMar>
                  <w:vAlign w:val="center"/>
                </w:tcPr>
                <w:p w14:paraId="51E65D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昼间</w:t>
                  </w:r>
                </w:p>
              </w:tc>
              <w:tc>
                <w:tcPr>
                  <w:tcW w:w="317" w:type="pct"/>
                  <w:tcBorders>
                    <w:tl2br w:val="nil"/>
                    <w:tr2bl w:val="nil"/>
                  </w:tcBorders>
                  <w:shd w:val="clear" w:color="auto" w:fill="auto"/>
                  <w:tcMar>
                    <w:top w:w="0" w:type="dxa"/>
                    <w:left w:w="0" w:type="dxa"/>
                    <w:bottom w:w="0" w:type="dxa"/>
                    <w:right w:w="0" w:type="dxa"/>
                  </w:tcMar>
                  <w:vAlign w:val="center"/>
                </w:tcPr>
                <w:p w14:paraId="393670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48DD63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42.1</w:t>
                  </w:r>
                </w:p>
              </w:tc>
              <w:tc>
                <w:tcPr>
                  <w:tcW w:w="210" w:type="pct"/>
                  <w:tcBorders>
                    <w:tl2br w:val="nil"/>
                    <w:tr2bl w:val="nil"/>
                  </w:tcBorders>
                  <w:shd w:val="clear" w:color="auto" w:fill="auto"/>
                  <w:tcMar>
                    <w:top w:w="0" w:type="dxa"/>
                    <w:left w:w="0" w:type="dxa"/>
                    <w:bottom w:w="0" w:type="dxa"/>
                    <w:right w:w="0" w:type="dxa"/>
                  </w:tcMar>
                  <w:vAlign w:val="center"/>
                </w:tcPr>
                <w:p w14:paraId="0A984B7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31.2</w:t>
                  </w:r>
                </w:p>
              </w:tc>
              <w:tc>
                <w:tcPr>
                  <w:tcW w:w="215" w:type="pct"/>
                  <w:tcBorders>
                    <w:tl2br w:val="nil"/>
                    <w:tr2bl w:val="nil"/>
                  </w:tcBorders>
                  <w:shd w:val="clear" w:color="auto" w:fill="auto"/>
                  <w:tcMar>
                    <w:top w:w="0" w:type="dxa"/>
                    <w:left w:w="0" w:type="dxa"/>
                    <w:bottom w:w="0" w:type="dxa"/>
                    <w:right w:w="0" w:type="dxa"/>
                  </w:tcMar>
                  <w:vAlign w:val="center"/>
                </w:tcPr>
                <w:p w14:paraId="2EAA560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21.6</w:t>
                  </w:r>
                </w:p>
              </w:tc>
              <w:tc>
                <w:tcPr>
                  <w:tcW w:w="179" w:type="pct"/>
                  <w:tcBorders>
                    <w:tl2br w:val="nil"/>
                    <w:tr2bl w:val="nil"/>
                  </w:tcBorders>
                  <w:shd w:val="clear" w:color="auto" w:fill="auto"/>
                  <w:tcMar>
                    <w:top w:w="0" w:type="dxa"/>
                    <w:left w:w="0" w:type="dxa"/>
                    <w:bottom w:w="0" w:type="dxa"/>
                    <w:right w:w="0" w:type="dxa"/>
                  </w:tcMar>
                  <w:vAlign w:val="center"/>
                </w:tcPr>
                <w:p w14:paraId="2860A0B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24.1</w:t>
                  </w:r>
                </w:p>
              </w:tc>
              <w:tc>
                <w:tcPr>
                  <w:tcW w:w="225" w:type="pct"/>
                  <w:vMerge w:val="restart"/>
                  <w:tcBorders>
                    <w:tl2br w:val="nil"/>
                    <w:tr2bl w:val="nil"/>
                  </w:tcBorders>
                  <w:shd w:val="clear" w:color="auto" w:fill="auto"/>
                  <w:tcMar>
                    <w:top w:w="0" w:type="dxa"/>
                    <w:left w:w="0" w:type="dxa"/>
                    <w:bottom w:w="0" w:type="dxa"/>
                    <w:right w:w="0" w:type="dxa"/>
                  </w:tcMar>
                  <w:vAlign w:val="center"/>
                </w:tcPr>
                <w:p w14:paraId="10031F31">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1m</w:t>
                  </w:r>
                </w:p>
              </w:tc>
            </w:tr>
            <w:tr w14:paraId="029E1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5DD411E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18FD0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1AD55DE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切割机</w:t>
                  </w:r>
                </w:p>
              </w:tc>
              <w:tc>
                <w:tcPr>
                  <w:tcW w:w="215" w:type="pct"/>
                  <w:tcBorders>
                    <w:tl2br w:val="nil"/>
                    <w:tr2bl w:val="nil"/>
                  </w:tcBorders>
                  <w:shd w:val="clear" w:color="auto" w:fill="auto"/>
                  <w:tcMar>
                    <w:top w:w="0" w:type="dxa"/>
                    <w:left w:w="0" w:type="dxa"/>
                    <w:bottom w:w="0" w:type="dxa"/>
                    <w:right w:w="0" w:type="dxa"/>
                  </w:tcMar>
                  <w:vAlign w:val="center"/>
                </w:tcPr>
                <w:p w14:paraId="14A57AB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2</w:t>
                  </w:r>
                </w:p>
              </w:tc>
              <w:tc>
                <w:tcPr>
                  <w:tcW w:w="327" w:type="pct"/>
                  <w:tcBorders>
                    <w:tl2br w:val="nil"/>
                    <w:tr2bl w:val="nil"/>
                  </w:tcBorders>
                  <w:shd w:val="clear" w:color="auto" w:fill="auto"/>
                  <w:tcMar>
                    <w:top w:w="0" w:type="dxa"/>
                    <w:left w:w="0" w:type="dxa"/>
                    <w:bottom w:w="0" w:type="dxa"/>
                    <w:right w:w="0" w:type="dxa"/>
                  </w:tcMar>
                  <w:vAlign w:val="center"/>
                </w:tcPr>
                <w:p w14:paraId="7C2A0D2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75（叠加后78.01）</w:t>
                  </w:r>
                </w:p>
              </w:tc>
              <w:tc>
                <w:tcPr>
                  <w:tcW w:w="204" w:type="pct"/>
                  <w:tcBorders>
                    <w:tl2br w:val="nil"/>
                    <w:tr2bl w:val="nil"/>
                  </w:tcBorders>
                  <w:shd w:val="clear" w:color="auto" w:fill="auto"/>
                  <w:tcMar>
                    <w:top w:w="0" w:type="dxa"/>
                    <w:left w:w="0" w:type="dxa"/>
                    <w:bottom w:w="0" w:type="dxa"/>
                    <w:right w:w="0" w:type="dxa"/>
                  </w:tcMar>
                  <w:vAlign w:val="center"/>
                </w:tcPr>
                <w:p w14:paraId="1EA8B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5A678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3B312B2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47</w:t>
                  </w:r>
                </w:p>
              </w:tc>
              <w:tc>
                <w:tcPr>
                  <w:tcW w:w="133" w:type="pct"/>
                  <w:tcBorders>
                    <w:tl2br w:val="nil"/>
                    <w:tr2bl w:val="nil"/>
                  </w:tcBorders>
                  <w:shd w:val="clear" w:color="auto" w:fill="auto"/>
                  <w:tcMar>
                    <w:top w:w="0" w:type="dxa"/>
                    <w:left w:w="0" w:type="dxa"/>
                    <w:bottom w:w="0" w:type="dxa"/>
                    <w:right w:w="0" w:type="dxa"/>
                  </w:tcMar>
                  <w:vAlign w:val="center"/>
                </w:tcPr>
                <w:p w14:paraId="6CF53B9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w:t>
                  </w:r>
                </w:p>
              </w:tc>
              <w:tc>
                <w:tcPr>
                  <w:tcW w:w="148" w:type="pct"/>
                  <w:tcBorders>
                    <w:tl2br w:val="nil"/>
                    <w:tr2bl w:val="nil"/>
                  </w:tcBorders>
                  <w:shd w:val="clear" w:color="auto" w:fill="auto"/>
                  <w:tcMar>
                    <w:top w:w="0" w:type="dxa"/>
                    <w:left w:w="0" w:type="dxa"/>
                    <w:bottom w:w="0" w:type="dxa"/>
                    <w:right w:w="0" w:type="dxa"/>
                  </w:tcMar>
                  <w:vAlign w:val="center"/>
                </w:tcPr>
                <w:p w14:paraId="56C89F5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4452AC0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4.4</w:t>
                  </w:r>
                </w:p>
              </w:tc>
              <w:tc>
                <w:tcPr>
                  <w:tcW w:w="169" w:type="pct"/>
                  <w:tcBorders>
                    <w:tl2br w:val="nil"/>
                    <w:tr2bl w:val="nil"/>
                  </w:tcBorders>
                  <w:shd w:val="clear" w:color="auto" w:fill="auto"/>
                  <w:tcMar>
                    <w:top w:w="0" w:type="dxa"/>
                    <w:left w:w="0" w:type="dxa"/>
                    <w:bottom w:w="0" w:type="dxa"/>
                    <w:right w:w="0" w:type="dxa"/>
                  </w:tcMar>
                  <w:vAlign w:val="center"/>
                </w:tcPr>
                <w:p w14:paraId="781331C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13.6</w:t>
                  </w:r>
                </w:p>
              </w:tc>
              <w:tc>
                <w:tcPr>
                  <w:tcW w:w="174" w:type="pct"/>
                  <w:tcBorders>
                    <w:tl2br w:val="nil"/>
                    <w:tr2bl w:val="nil"/>
                  </w:tcBorders>
                  <w:shd w:val="clear" w:color="auto" w:fill="auto"/>
                  <w:tcMar>
                    <w:top w:w="0" w:type="dxa"/>
                    <w:left w:w="0" w:type="dxa"/>
                    <w:bottom w:w="0" w:type="dxa"/>
                    <w:right w:w="0" w:type="dxa"/>
                  </w:tcMar>
                  <w:vAlign w:val="center"/>
                </w:tcPr>
                <w:p w14:paraId="75298A0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46.7</w:t>
                  </w:r>
                </w:p>
              </w:tc>
              <w:tc>
                <w:tcPr>
                  <w:tcW w:w="163" w:type="pct"/>
                  <w:tcBorders>
                    <w:tl2br w:val="nil"/>
                    <w:tr2bl w:val="nil"/>
                  </w:tcBorders>
                  <w:shd w:val="clear" w:color="auto" w:fill="auto"/>
                  <w:tcMar>
                    <w:top w:w="0" w:type="dxa"/>
                    <w:left w:w="0" w:type="dxa"/>
                    <w:bottom w:w="0" w:type="dxa"/>
                    <w:right w:w="0" w:type="dxa"/>
                  </w:tcMar>
                  <w:vAlign w:val="center"/>
                </w:tcPr>
                <w:p w14:paraId="05896E5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37.9</w:t>
                  </w:r>
                </w:p>
              </w:tc>
              <w:tc>
                <w:tcPr>
                  <w:tcW w:w="204" w:type="pct"/>
                  <w:tcBorders>
                    <w:tl2br w:val="nil"/>
                    <w:tr2bl w:val="nil"/>
                  </w:tcBorders>
                  <w:shd w:val="clear" w:color="auto" w:fill="auto"/>
                  <w:tcMar>
                    <w:top w:w="0" w:type="dxa"/>
                    <w:left w:w="0" w:type="dxa"/>
                    <w:bottom w:w="0" w:type="dxa"/>
                    <w:right w:w="0" w:type="dxa"/>
                  </w:tcMar>
                  <w:vAlign w:val="center"/>
                </w:tcPr>
                <w:p w14:paraId="0655799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.1</w:t>
                  </w:r>
                </w:p>
              </w:tc>
              <w:tc>
                <w:tcPr>
                  <w:tcW w:w="215" w:type="pct"/>
                  <w:tcBorders>
                    <w:tl2br w:val="nil"/>
                    <w:tr2bl w:val="nil"/>
                  </w:tcBorders>
                  <w:shd w:val="clear" w:color="auto" w:fill="auto"/>
                  <w:tcMar>
                    <w:top w:w="0" w:type="dxa"/>
                    <w:left w:w="0" w:type="dxa"/>
                    <w:bottom w:w="0" w:type="dxa"/>
                    <w:right w:w="0" w:type="dxa"/>
                  </w:tcMar>
                  <w:vAlign w:val="center"/>
                </w:tcPr>
                <w:p w14:paraId="2054ADA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.3</w:t>
                  </w:r>
                </w:p>
              </w:tc>
              <w:tc>
                <w:tcPr>
                  <w:tcW w:w="179" w:type="pct"/>
                  <w:tcBorders>
                    <w:tl2br w:val="nil"/>
                    <w:tr2bl w:val="nil"/>
                  </w:tcBorders>
                  <w:shd w:val="clear" w:color="auto" w:fill="auto"/>
                  <w:tcMar>
                    <w:top w:w="0" w:type="dxa"/>
                    <w:left w:w="0" w:type="dxa"/>
                    <w:bottom w:w="0" w:type="dxa"/>
                    <w:right w:w="0" w:type="dxa"/>
                  </w:tcMar>
                  <w:vAlign w:val="center"/>
                </w:tcPr>
                <w:p w14:paraId="3F21DAB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4</w:t>
                  </w:r>
                  <w:r>
                    <w:rPr>
                      <w:rFonts w:hint="eastAsia" w:ascii="Times New Roman" w:hAnsi="Times New Roman" w:eastAsia="仿宋" w:cs="Times New Roman"/>
                      <w:color w:val="auto"/>
                      <w:kern w:val="2"/>
                      <w:sz w:val="21"/>
                      <w:szCs w:val="21"/>
                      <w:highlight w:val="none"/>
                      <w:lang w:val="en-US" w:eastAsia="zh-CN" w:bidi="ar-SA"/>
                    </w:rPr>
                    <w:t>.6</w:t>
                  </w:r>
                </w:p>
              </w:tc>
              <w:tc>
                <w:tcPr>
                  <w:tcW w:w="204" w:type="pct"/>
                  <w:tcBorders>
                    <w:tl2br w:val="nil"/>
                    <w:tr2bl w:val="nil"/>
                  </w:tcBorders>
                  <w:shd w:val="clear" w:color="auto" w:fill="auto"/>
                  <w:tcMar>
                    <w:top w:w="0" w:type="dxa"/>
                    <w:left w:w="0" w:type="dxa"/>
                    <w:bottom w:w="0" w:type="dxa"/>
                    <w:right w:w="0" w:type="dxa"/>
                  </w:tcMar>
                  <w:vAlign w:val="center"/>
                </w:tcPr>
                <w:p w14:paraId="38FFE8B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6</w:t>
                  </w:r>
                  <w:r>
                    <w:rPr>
                      <w:rFonts w:hint="eastAsia" w:ascii="Times New Roman" w:hAnsi="Times New Roman" w:eastAsia="仿宋" w:cs="Times New Roman"/>
                      <w:color w:val="auto"/>
                      <w:kern w:val="2"/>
                      <w:sz w:val="21"/>
                      <w:szCs w:val="21"/>
                      <w:highlight w:val="none"/>
                      <w:lang w:val="en-US" w:eastAsia="zh-CN" w:bidi="ar-SA"/>
                    </w:rPr>
                    <w:t>.4</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2C63DD8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6864332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35A9BC9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.1</w:t>
                  </w:r>
                </w:p>
              </w:tc>
              <w:tc>
                <w:tcPr>
                  <w:tcW w:w="210" w:type="pct"/>
                  <w:tcBorders>
                    <w:tl2br w:val="nil"/>
                    <w:tr2bl w:val="nil"/>
                  </w:tcBorders>
                  <w:shd w:val="clear" w:color="auto" w:fill="auto"/>
                  <w:tcMar>
                    <w:top w:w="0" w:type="dxa"/>
                    <w:left w:w="0" w:type="dxa"/>
                    <w:bottom w:w="0" w:type="dxa"/>
                    <w:right w:w="0" w:type="dxa"/>
                  </w:tcMar>
                  <w:vAlign w:val="center"/>
                </w:tcPr>
                <w:p w14:paraId="049A44B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.3</w:t>
                  </w:r>
                </w:p>
              </w:tc>
              <w:tc>
                <w:tcPr>
                  <w:tcW w:w="215" w:type="pct"/>
                  <w:tcBorders>
                    <w:tl2br w:val="nil"/>
                    <w:tr2bl w:val="nil"/>
                  </w:tcBorders>
                  <w:shd w:val="clear" w:color="auto" w:fill="auto"/>
                  <w:tcMar>
                    <w:top w:w="0" w:type="dxa"/>
                    <w:left w:w="0" w:type="dxa"/>
                    <w:bottom w:w="0" w:type="dxa"/>
                    <w:right w:w="0" w:type="dxa"/>
                  </w:tcMar>
                  <w:vAlign w:val="center"/>
                </w:tcPr>
                <w:p w14:paraId="2685DD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4</w:t>
                  </w:r>
                  <w:r>
                    <w:rPr>
                      <w:rFonts w:hint="eastAsia" w:ascii="Times New Roman" w:hAnsi="Times New Roman" w:eastAsia="仿宋" w:cs="Times New Roman"/>
                      <w:color w:val="auto"/>
                      <w:kern w:val="2"/>
                      <w:sz w:val="21"/>
                      <w:szCs w:val="21"/>
                      <w:highlight w:val="none"/>
                      <w:lang w:val="en-US" w:eastAsia="zh-CN" w:bidi="ar-SA"/>
                    </w:rPr>
                    <w:t>.6</w:t>
                  </w:r>
                </w:p>
              </w:tc>
              <w:tc>
                <w:tcPr>
                  <w:tcW w:w="179" w:type="pct"/>
                  <w:tcBorders>
                    <w:tl2br w:val="nil"/>
                    <w:tr2bl w:val="nil"/>
                  </w:tcBorders>
                  <w:shd w:val="clear" w:color="auto" w:fill="auto"/>
                  <w:tcMar>
                    <w:top w:w="0" w:type="dxa"/>
                    <w:left w:w="0" w:type="dxa"/>
                    <w:bottom w:w="0" w:type="dxa"/>
                    <w:right w:w="0" w:type="dxa"/>
                  </w:tcMar>
                  <w:vAlign w:val="center"/>
                </w:tcPr>
                <w:p w14:paraId="6836A28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6</w:t>
                  </w:r>
                  <w:r>
                    <w:rPr>
                      <w:rFonts w:hint="eastAsia" w:ascii="Times New Roman" w:hAnsi="Times New Roman" w:eastAsia="仿宋" w:cs="Times New Roman"/>
                      <w:color w:val="auto"/>
                      <w:kern w:val="2"/>
                      <w:sz w:val="21"/>
                      <w:szCs w:val="21"/>
                      <w:highlight w:val="none"/>
                      <w:lang w:val="en-US" w:eastAsia="zh-CN" w:bidi="ar-SA"/>
                    </w:rPr>
                    <w:t>.4</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3AB904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6563D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5FC08413">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3</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1FDE1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5B9A6E3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冲压机</w:t>
                  </w:r>
                </w:p>
              </w:tc>
              <w:tc>
                <w:tcPr>
                  <w:tcW w:w="215" w:type="pct"/>
                  <w:tcBorders>
                    <w:tl2br w:val="nil"/>
                    <w:tr2bl w:val="nil"/>
                  </w:tcBorders>
                  <w:shd w:val="clear" w:color="auto" w:fill="auto"/>
                  <w:tcMar>
                    <w:top w:w="0" w:type="dxa"/>
                    <w:left w:w="0" w:type="dxa"/>
                    <w:bottom w:w="0" w:type="dxa"/>
                    <w:right w:w="0" w:type="dxa"/>
                  </w:tcMar>
                  <w:vAlign w:val="center"/>
                </w:tcPr>
                <w:p w14:paraId="6F986B3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2</w:t>
                  </w:r>
                </w:p>
              </w:tc>
              <w:tc>
                <w:tcPr>
                  <w:tcW w:w="327" w:type="pct"/>
                  <w:tcBorders>
                    <w:tl2br w:val="nil"/>
                    <w:tr2bl w:val="nil"/>
                  </w:tcBorders>
                  <w:shd w:val="clear" w:color="auto" w:fill="auto"/>
                  <w:tcMar>
                    <w:top w:w="0" w:type="dxa"/>
                    <w:left w:w="0" w:type="dxa"/>
                    <w:bottom w:w="0" w:type="dxa"/>
                    <w:right w:w="0" w:type="dxa"/>
                  </w:tcMar>
                  <w:vAlign w:val="center"/>
                </w:tcPr>
                <w:p w14:paraId="792083A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75（叠加后78.01）</w:t>
                  </w:r>
                </w:p>
              </w:tc>
              <w:tc>
                <w:tcPr>
                  <w:tcW w:w="204" w:type="pct"/>
                  <w:tcBorders>
                    <w:tl2br w:val="nil"/>
                    <w:tr2bl w:val="nil"/>
                  </w:tcBorders>
                  <w:shd w:val="clear" w:color="auto" w:fill="auto"/>
                  <w:tcMar>
                    <w:top w:w="0" w:type="dxa"/>
                    <w:left w:w="0" w:type="dxa"/>
                    <w:bottom w:w="0" w:type="dxa"/>
                    <w:right w:w="0" w:type="dxa"/>
                  </w:tcMar>
                  <w:vAlign w:val="center"/>
                </w:tcPr>
                <w:p w14:paraId="14B8A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2F9D8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4E44D7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45</w:t>
                  </w:r>
                </w:p>
              </w:tc>
              <w:tc>
                <w:tcPr>
                  <w:tcW w:w="133" w:type="pct"/>
                  <w:tcBorders>
                    <w:tl2br w:val="nil"/>
                    <w:tr2bl w:val="nil"/>
                  </w:tcBorders>
                  <w:shd w:val="clear" w:color="auto" w:fill="auto"/>
                  <w:tcMar>
                    <w:top w:w="0" w:type="dxa"/>
                    <w:left w:w="0" w:type="dxa"/>
                    <w:bottom w:w="0" w:type="dxa"/>
                    <w:right w:w="0" w:type="dxa"/>
                  </w:tcMar>
                  <w:vAlign w:val="center"/>
                </w:tcPr>
                <w:p w14:paraId="4D086DB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w:t>
                  </w:r>
                </w:p>
              </w:tc>
              <w:tc>
                <w:tcPr>
                  <w:tcW w:w="148" w:type="pct"/>
                  <w:tcBorders>
                    <w:tl2br w:val="nil"/>
                    <w:tr2bl w:val="nil"/>
                  </w:tcBorders>
                  <w:shd w:val="clear" w:color="auto" w:fill="auto"/>
                  <w:tcMar>
                    <w:top w:w="0" w:type="dxa"/>
                    <w:left w:w="0" w:type="dxa"/>
                    <w:bottom w:w="0" w:type="dxa"/>
                    <w:right w:w="0" w:type="dxa"/>
                  </w:tcMar>
                  <w:vAlign w:val="center"/>
                </w:tcPr>
                <w:p w14:paraId="763582F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039881B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7.1</w:t>
                  </w:r>
                </w:p>
              </w:tc>
              <w:tc>
                <w:tcPr>
                  <w:tcW w:w="169" w:type="pct"/>
                  <w:tcBorders>
                    <w:tl2br w:val="nil"/>
                    <w:tr2bl w:val="nil"/>
                  </w:tcBorders>
                  <w:shd w:val="clear" w:color="auto" w:fill="auto"/>
                  <w:tcMar>
                    <w:top w:w="0" w:type="dxa"/>
                    <w:left w:w="0" w:type="dxa"/>
                    <w:bottom w:w="0" w:type="dxa"/>
                    <w:right w:w="0" w:type="dxa"/>
                  </w:tcMar>
                  <w:vAlign w:val="center"/>
                </w:tcPr>
                <w:p w14:paraId="65B77CE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13.4</w:t>
                  </w:r>
                </w:p>
              </w:tc>
              <w:tc>
                <w:tcPr>
                  <w:tcW w:w="174" w:type="pct"/>
                  <w:tcBorders>
                    <w:tl2br w:val="nil"/>
                    <w:tr2bl w:val="nil"/>
                  </w:tcBorders>
                  <w:shd w:val="clear" w:color="auto" w:fill="auto"/>
                  <w:tcMar>
                    <w:top w:w="0" w:type="dxa"/>
                    <w:left w:w="0" w:type="dxa"/>
                    <w:bottom w:w="0" w:type="dxa"/>
                    <w:right w:w="0" w:type="dxa"/>
                  </w:tcMar>
                  <w:vAlign w:val="center"/>
                </w:tcPr>
                <w:p w14:paraId="5608957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44.0</w:t>
                  </w:r>
                </w:p>
              </w:tc>
              <w:tc>
                <w:tcPr>
                  <w:tcW w:w="163" w:type="pct"/>
                  <w:tcBorders>
                    <w:tl2br w:val="nil"/>
                    <w:tr2bl w:val="nil"/>
                  </w:tcBorders>
                  <w:shd w:val="clear" w:color="auto" w:fill="auto"/>
                  <w:tcMar>
                    <w:top w:w="0" w:type="dxa"/>
                    <w:left w:w="0" w:type="dxa"/>
                    <w:bottom w:w="0" w:type="dxa"/>
                    <w:right w:w="0" w:type="dxa"/>
                  </w:tcMar>
                  <w:vAlign w:val="center"/>
                </w:tcPr>
                <w:p w14:paraId="2DB8A32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38.2</w:t>
                  </w:r>
                </w:p>
              </w:tc>
              <w:tc>
                <w:tcPr>
                  <w:tcW w:w="204" w:type="pct"/>
                  <w:tcBorders>
                    <w:tl2br w:val="nil"/>
                    <w:tr2bl w:val="nil"/>
                  </w:tcBorders>
                  <w:shd w:val="clear" w:color="auto" w:fill="auto"/>
                  <w:tcMar>
                    <w:top w:w="0" w:type="dxa"/>
                    <w:left w:w="0" w:type="dxa"/>
                    <w:bottom w:w="0" w:type="dxa"/>
                    <w:right w:w="0" w:type="dxa"/>
                  </w:tcMar>
                  <w:vAlign w:val="center"/>
                </w:tcPr>
                <w:p w14:paraId="39C5AD5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61</w:t>
                  </w:r>
                  <w:r>
                    <w:rPr>
                      <w:rFonts w:hint="eastAsia" w:ascii="Times New Roman" w:hAnsi="Times New Roman" w:eastAsia="仿宋" w:cs="Times New Roman"/>
                      <w:color w:val="auto"/>
                      <w:kern w:val="2"/>
                      <w:sz w:val="21"/>
                      <w:szCs w:val="21"/>
                      <w:highlight w:val="none"/>
                      <w:lang w:val="en-US" w:eastAsia="zh-CN" w:bidi="ar-SA"/>
                    </w:rPr>
                    <w:t>.0</w:t>
                  </w:r>
                </w:p>
              </w:tc>
              <w:tc>
                <w:tcPr>
                  <w:tcW w:w="215" w:type="pct"/>
                  <w:tcBorders>
                    <w:tl2br w:val="nil"/>
                    <w:tr2bl w:val="nil"/>
                  </w:tcBorders>
                  <w:shd w:val="clear" w:color="auto" w:fill="auto"/>
                  <w:tcMar>
                    <w:top w:w="0" w:type="dxa"/>
                    <w:left w:w="0" w:type="dxa"/>
                    <w:bottom w:w="0" w:type="dxa"/>
                    <w:right w:w="0" w:type="dxa"/>
                  </w:tcMar>
                  <w:vAlign w:val="center"/>
                </w:tcPr>
                <w:p w14:paraId="1D2DA1F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.5</w:t>
                  </w:r>
                </w:p>
              </w:tc>
              <w:tc>
                <w:tcPr>
                  <w:tcW w:w="179" w:type="pct"/>
                  <w:tcBorders>
                    <w:tl2br w:val="nil"/>
                    <w:tr2bl w:val="nil"/>
                  </w:tcBorders>
                  <w:shd w:val="clear" w:color="auto" w:fill="auto"/>
                  <w:tcMar>
                    <w:top w:w="0" w:type="dxa"/>
                    <w:left w:w="0" w:type="dxa"/>
                    <w:bottom w:w="0" w:type="dxa"/>
                    <w:right w:w="0" w:type="dxa"/>
                  </w:tcMar>
                  <w:vAlign w:val="center"/>
                </w:tcPr>
                <w:p w14:paraId="570307C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.1</w:t>
                  </w:r>
                </w:p>
              </w:tc>
              <w:tc>
                <w:tcPr>
                  <w:tcW w:w="204" w:type="pct"/>
                  <w:tcBorders>
                    <w:tl2br w:val="nil"/>
                    <w:tr2bl w:val="nil"/>
                  </w:tcBorders>
                  <w:shd w:val="clear" w:color="auto" w:fill="auto"/>
                  <w:tcMar>
                    <w:top w:w="0" w:type="dxa"/>
                    <w:left w:w="0" w:type="dxa"/>
                    <w:bottom w:w="0" w:type="dxa"/>
                    <w:right w:w="0" w:type="dxa"/>
                  </w:tcMar>
                  <w:vAlign w:val="center"/>
                </w:tcPr>
                <w:p w14:paraId="6D2A38B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6</w:t>
                  </w:r>
                  <w:r>
                    <w:rPr>
                      <w:rFonts w:hint="eastAsia" w:ascii="Times New Roman" w:hAnsi="Times New Roman" w:eastAsia="仿宋" w:cs="Times New Roman"/>
                      <w:color w:val="auto"/>
                      <w:kern w:val="2"/>
                      <w:sz w:val="21"/>
                      <w:szCs w:val="21"/>
                      <w:highlight w:val="none"/>
                      <w:lang w:val="en-US" w:eastAsia="zh-CN" w:bidi="ar-SA"/>
                    </w:rPr>
                    <w:t>.4</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1418D2E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1EBD7C0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0A430BF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41</w:t>
                  </w:r>
                  <w:r>
                    <w:rPr>
                      <w:rFonts w:hint="eastAsia" w:ascii="Times New Roman" w:hAnsi="Times New Roman" w:eastAsia="仿宋" w:cs="Times New Roman"/>
                      <w:color w:val="auto"/>
                      <w:kern w:val="2"/>
                      <w:sz w:val="21"/>
                      <w:szCs w:val="21"/>
                      <w:highlight w:val="none"/>
                      <w:lang w:val="en-US" w:eastAsia="zh-CN" w:bidi="ar-SA"/>
                    </w:rPr>
                    <w:t>.0</w:t>
                  </w:r>
                </w:p>
              </w:tc>
              <w:tc>
                <w:tcPr>
                  <w:tcW w:w="210" w:type="pct"/>
                  <w:tcBorders>
                    <w:tl2br w:val="nil"/>
                    <w:tr2bl w:val="nil"/>
                  </w:tcBorders>
                  <w:shd w:val="clear" w:color="auto" w:fill="auto"/>
                  <w:tcMar>
                    <w:top w:w="0" w:type="dxa"/>
                    <w:left w:w="0" w:type="dxa"/>
                    <w:bottom w:w="0" w:type="dxa"/>
                    <w:right w:w="0" w:type="dxa"/>
                  </w:tcMar>
                  <w:vAlign w:val="center"/>
                </w:tcPr>
                <w:p w14:paraId="1676BED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.5</w:t>
                  </w:r>
                </w:p>
              </w:tc>
              <w:tc>
                <w:tcPr>
                  <w:tcW w:w="215" w:type="pct"/>
                  <w:tcBorders>
                    <w:tl2br w:val="nil"/>
                    <w:tr2bl w:val="nil"/>
                  </w:tcBorders>
                  <w:shd w:val="clear" w:color="auto" w:fill="auto"/>
                  <w:tcMar>
                    <w:top w:w="0" w:type="dxa"/>
                    <w:left w:w="0" w:type="dxa"/>
                    <w:bottom w:w="0" w:type="dxa"/>
                    <w:right w:w="0" w:type="dxa"/>
                  </w:tcMar>
                  <w:vAlign w:val="center"/>
                </w:tcPr>
                <w:p w14:paraId="499FE76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5</w:t>
                  </w:r>
                  <w:r>
                    <w:rPr>
                      <w:rFonts w:hint="eastAsia" w:ascii="Times New Roman" w:hAnsi="Times New Roman" w:eastAsia="仿宋" w:cs="Times New Roman"/>
                      <w:color w:val="auto"/>
                      <w:kern w:val="2"/>
                      <w:sz w:val="21"/>
                      <w:szCs w:val="21"/>
                      <w:highlight w:val="none"/>
                      <w:lang w:val="en-US" w:eastAsia="zh-CN" w:bidi="ar-SA"/>
                    </w:rPr>
                    <w:t>.1</w:t>
                  </w:r>
                </w:p>
              </w:tc>
              <w:tc>
                <w:tcPr>
                  <w:tcW w:w="179" w:type="pct"/>
                  <w:tcBorders>
                    <w:tl2br w:val="nil"/>
                    <w:tr2bl w:val="nil"/>
                  </w:tcBorders>
                  <w:shd w:val="clear" w:color="auto" w:fill="auto"/>
                  <w:tcMar>
                    <w:top w:w="0" w:type="dxa"/>
                    <w:left w:w="0" w:type="dxa"/>
                    <w:bottom w:w="0" w:type="dxa"/>
                    <w:right w:w="0" w:type="dxa"/>
                  </w:tcMar>
                  <w:vAlign w:val="center"/>
                </w:tcPr>
                <w:p w14:paraId="5D6DE9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6</w:t>
                  </w:r>
                  <w:r>
                    <w:rPr>
                      <w:rFonts w:hint="eastAsia" w:ascii="Times New Roman" w:hAnsi="Times New Roman" w:eastAsia="仿宋" w:cs="Times New Roman"/>
                      <w:color w:val="auto"/>
                      <w:kern w:val="2"/>
                      <w:sz w:val="21"/>
                      <w:szCs w:val="21"/>
                      <w:highlight w:val="none"/>
                      <w:lang w:val="en-US" w:eastAsia="zh-CN" w:bidi="ar-SA"/>
                    </w:rPr>
                    <w:t>.4</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02811FF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1F9ED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2ED8B9F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4</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497AF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3755991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电泳1线</w:t>
                  </w:r>
                </w:p>
              </w:tc>
              <w:tc>
                <w:tcPr>
                  <w:tcW w:w="215" w:type="pct"/>
                  <w:tcBorders>
                    <w:tl2br w:val="nil"/>
                    <w:tr2bl w:val="nil"/>
                  </w:tcBorders>
                  <w:shd w:val="clear" w:color="auto" w:fill="auto"/>
                  <w:tcMar>
                    <w:top w:w="0" w:type="dxa"/>
                    <w:left w:w="0" w:type="dxa"/>
                    <w:bottom w:w="0" w:type="dxa"/>
                    <w:right w:w="0" w:type="dxa"/>
                  </w:tcMar>
                  <w:vAlign w:val="center"/>
                </w:tcPr>
                <w:p w14:paraId="73EC0B7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7B70C30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w:t>
                  </w:r>
                </w:p>
              </w:tc>
              <w:tc>
                <w:tcPr>
                  <w:tcW w:w="204" w:type="pct"/>
                  <w:tcBorders>
                    <w:tl2br w:val="nil"/>
                    <w:tr2bl w:val="nil"/>
                  </w:tcBorders>
                  <w:shd w:val="clear" w:color="auto" w:fill="auto"/>
                  <w:tcMar>
                    <w:top w:w="0" w:type="dxa"/>
                    <w:left w:w="0" w:type="dxa"/>
                    <w:bottom w:w="0" w:type="dxa"/>
                    <w:right w:w="0" w:type="dxa"/>
                  </w:tcMar>
                  <w:vAlign w:val="center"/>
                </w:tcPr>
                <w:p w14:paraId="31947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69936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73AEEE3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37</w:t>
                  </w:r>
                </w:p>
              </w:tc>
              <w:tc>
                <w:tcPr>
                  <w:tcW w:w="133" w:type="pct"/>
                  <w:tcBorders>
                    <w:tl2br w:val="nil"/>
                    <w:tr2bl w:val="nil"/>
                  </w:tcBorders>
                  <w:shd w:val="clear" w:color="auto" w:fill="auto"/>
                  <w:tcMar>
                    <w:top w:w="0" w:type="dxa"/>
                    <w:left w:w="0" w:type="dxa"/>
                    <w:bottom w:w="0" w:type="dxa"/>
                    <w:right w:w="0" w:type="dxa"/>
                  </w:tcMar>
                  <w:vAlign w:val="center"/>
                </w:tcPr>
                <w:p w14:paraId="6AA455F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31</w:t>
                  </w:r>
                </w:p>
              </w:tc>
              <w:tc>
                <w:tcPr>
                  <w:tcW w:w="148" w:type="pct"/>
                  <w:tcBorders>
                    <w:tl2br w:val="nil"/>
                    <w:tr2bl w:val="nil"/>
                  </w:tcBorders>
                  <w:shd w:val="clear" w:color="auto" w:fill="auto"/>
                  <w:tcMar>
                    <w:top w:w="0" w:type="dxa"/>
                    <w:left w:w="0" w:type="dxa"/>
                    <w:bottom w:w="0" w:type="dxa"/>
                    <w:right w:w="0" w:type="dxa"/>
                  </w:tcMar>
                  <w:vAlign w:val="center"/>
                </w:tcPr>
                <w:p w14:paraId="501BB60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128A53F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22.6</w:t>
                  </w:r>
                </w:p>
              </w:tc>
              <w:tc>
                <w:tcPr>
                  <w:tcW w:w="169" w:type="pct"/>
                  <w:tcBorders>
                    <w:tl2br w:val="nil"/>
                    <w:tr2bl w:val="nil"/>
                  </w:tcBorders>
                  <w:shd w:val="clear" w:color="auto" w:fill="auto"/>
                  <w:tcMar>
                    <w:top w:w="0" w:type="dxa"/>
                    <w:left w:w="0" w:type="dxa"/>
                    <w:bottom w:w="0" w:type="dxa"/>
                    <w:right w:w="0" w:type="dxa"/>
                  </w:tcMar>
                  <w:vAlign w:val="center"/>
                </w:tcPr>
                <w:p w14:paraId="293907A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40.6</w:t>
                  </w:r>
                </w:p>
              </w:tc>
              <w:tc>
                <w:tcPr>
                  <w:tcW w:w="174" w:type="pct"/>
                  <w:tcBorders>
                    <w:tl2br w:val="nil"/>
                    <w:tr2bl w:val="nil"/>
                  </w:tcBorders>
                  <w:shd w:val="clear" w:color="auto" w:fill="auto"/>
                  <w:tcMar>
                    <w:top w:w="0" w:type="dxa"/>
                    <w:left w:w="0" w:type="dxa"/>
                    <w:bottom w:w="0" w:type="dxa"/>
                    <w:right w:w="0" w:type="dxa"/>
                  </w:tcMar>
                  <w:vAlign w:val="center"/>
                </w:tcPr>
                <w:p w14:paraId="01CA907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28.6</w:t>
                  </w:r>
                </w:p>
              </w:tc>
              <w:tc>
                <w:tcPr>
                  <w:tcW w:w="163" w:type="pct"/>
                  <w:tcBorders>
                    <w:tl2br w:val="nil"/>
                    <w:tr2bl w:val="nil"/>
                  </w:tcBorders>
                  <w:shd w:val="clear" w:color="auto" w:fill="auto"/>
                  <w:tcMar>
                    <w:top w:w="0" w:type="dxa"/>
                    <w:left w:w="0" w:type="dxa"/>
                    <w:bottom w:w="0" w:type="dxa"/>
                    <w:right w:w="0" w:type="dxa"/>
                  </w:tcMar>
                  <w:vAlign w:val="center"/>
                </w:tcPr>
                <w:p w14:paraId="4FE5B78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11.1</w:t>
                  </w:r>
                </w:p>
              </w:tc>
              <w:tc>
                <w:tcPr>
                  <w:tcW w:w="204" w:type="pct"/>
                  <w:tcBorders>
                    <w:tl2br w:val="nil"/>
                    <w:tr2bl w:val="nil"/>
                  </w:tcBorders>
                  <w:shd w:val="clear" w:color="auto" w:fill="auto"/>
                  <w:tcMar>
                    <w:top w:w="0" w:type="dxa"/>
                    <w:left w:w="0" w:type="dxa"/>
                    <w:bottom w:w="0" w:type="dxa"/>
                    <w:right w:w="0" w:type="dxa"/>
                  </w:tcMar>
                  <w:vAlign w:val="center"/>
                </w:tcPr>
                <w:p w14:paraId="604B7AD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52.9</w:t>
                  </w:r>
                </w:p>
              </w:tc>
              <w:tc>
                <w:tcPr>
                  <w:tcW w:w="215" w:type="pct"/>
                  <w:tcBorders>
                    <w:tl2br w:val="nil"/>
                    <w:tr2bl w:val="nil"/>
                  </w:tcBorders>
                  <w:shd w:val="clear" w:color="auto" w:fill="auto"/>
                  <w:tcMar>
                    <w:top w:w="0" w:type="dxa"/>
                    <w:left w:w="0" w:type="dxa"/>
                    <w:bottom w:w="0" w:type="dxa"/>
                    <w:right w:w="0" w:type="dxa"/>
                  </w:tcMar>
                  <w:vAlign w:val="center"/>
                </w:tcPr>
                <w:p w14:paraId="46F48AA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47.8</w:t>
                  </w:r>
                </w:p>
              </w:tc>
              <w:tc>
                <w:tcPr>
                  <w:tcW w:w="179" w:type="pct"/>
                  <w:tcBorders>
                    <w:tl2br w:val="nil"/>
                    <w:tr2bl w:val="nil"/>
                  </w:tcBorders>
                  <w:shd w:val="clear" w:color="auto" w:fill="auto"/>
                  <w:tcMar>
                    <w:top w:w="0" w:type="dxa"/>
                    <w:left w:w="0" w:type="dxa"/>
                    <w:bottom w:w="0" w:type="dxa"/>
                    <w:right w:w="0" w:type="dxa"/>
                  </w:tcMar>
                  <w:vAlign w:val="center"/>
                </w:tcPr>
                <w:p w14:paraId="46A811C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50.9</w:t>
                  </w:r>
                </w:p>
              </w:tc>
              <w:tc>
                <w:tcPr>
                  <w:tcW w:w="204" w:type="pct"/>
                  <w:tcBorders>
                    <w:tl2br w:val="nil"/>
                    <w:tr2bl w:val="nil"/>
                  </w:tcBorders>
                  <w:shd w:val="clear" w:color="auto" w:fill="auto"/>
                  <w:tcMar>
                    <w:top w:w="0" w:type="dxa"/>
                    <w:left w:w="0" w:type="dxa"/>
                    <w:bottom w:w="0" w:type="dxa"/>
                    <w:right w:w="0" w:type="dxa"/>
                  </w:tcMar>
                  <w:vAlign w:val="center"/>
                </w:tcPr>
                <w:p w14:paraId="4DEC21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59.1</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1113C26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12FC4C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5A68BD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32.9</w:t>
                  </w:r>
                </w:p>
              </w:tc>
              <w:tc>
                <w:tcPr>
                  <w:tcW w:w="210" w:type="pct"/>
                  <w:tcBorders>
                    <w:tl2br w:val="nil"/>
                    <w:tr2bl w:val="nil"/>
                  </w:tcBorders>
                  <w:shd w:val="clear" w:color="auto" w:fill="auto"/>
                  <w:tcMar>
                    <w:top w:w="0" w:type="dxa"/>
                    <w:left w:w="0" w:type="dxa"/>
                    <w:bottom w:w="0" w:type="dxa"/>
                    <w:right w:w="0" w:type="dxa"/>
                  </w:tcMar>
                  <w:vAlign w:val="center"/>
                </w:tcPr>
                <w:p w14:paraId="474D5A9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27.8</w:t>
                  </w:r>
                </w:p>
              </w:tc>
              <w:tc>
                <w:tcPr>
                  <w:tcW w:w="215" w:type="pct"/>
                  <w:tcBorders>
                    <w:tl2br w:val="nil"/>
                    <w:tr2bl w:val="nil"/>
                  </w:tcBorders>
                  <w:shd w:val="clear" w:color="auto" w:fill="auto"/>
                  <w:tcMar>
                    <w:top w:w="0" w:type="dxa"/>
                    <w:left w:w="0" w:type="dxa"/>
                    <w:bottom w:w="0" w:type="dxa"/>
                    <w:right w:w="0" w:type="dxa"/>
                  </w:tcMar>
                  <w:vAlign w:val="center"/>
                </w:tcPr>
                <w:p w14:paraId="683E972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30.9</w:t>
                  </w:r>
                </w:p>
              </w:tc>
              <w:tc>
                <w:tcPr>
                  <w:tcW w:w="179" w:type="pct"/>
                  <w:tcBorders>
                    <w:tl2br w:val="nil"/>
                    <w:tr2bl w:val="nil"/>
                  </w:tcBorders>
                  <w:shd w:val="clear" w:color="auto" w:fill="auto"/>
                  <w:tcMar>
                    <w:top w:w="0" w:type="dxa"/>
                    <w:left w:w="0" w:type="dxa"/>
                    <w:bottom w:w="0" w:type="dxa"/>
                    <w:right w:w="0" w:type="dxa"/>
                  </w:tcMar>
                  <w:vAlign w:val="center"/>
                </w:tcPr>
                <w:p w14:paraId="3CC223D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39.1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30F1BC0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7C6D2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1FC9A41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5</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3E3EE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384BA99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电泳2线</w:t>
                  </w:r>
                </w:p>
              </w:tc>
              <w:tc>
                <w:tcPr>
                  <w:tcW w:w="215" w:type="pct"/>
                  <w:tcBorders>
                    <w:tl2br w:val="nil"/>
                    <w:tr2bl w:val="nil"/>
                  </w:tcBorders>
                  <w:shd w:val="clear" w:color="auto" w:fill="auto"/>
                  <w:tcMar>
                    <w:top w:w="0" w:type="dxa"/>
                    <w:left w:w="0" w:type="dxa"/>
                    <w:bottom w:w="0" w:type="dxa"/>
                    <w:right w:w="0" w:type="dxa"/>
                  </w:tcMar>
                  <w:vAlign w:val="center"/>
                </w:tcPr>
                <w:p w14:paraId="763258A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4771CC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w:t>
                  </w:r>
                </w:p>
              </w:tc>
              <w:tc>
                <w:tcPr>
                  <w:tcW w:w="204" w:type="pct"/>
                  <w:tcBorders>
                    <w:tl2br w:val="nil"/>
                    <w:tr2bl w:val="nil"/>
                  </w:tcBorders>
                  <w:shd w:val="clear" w:color="auto" w:fill="auto"/>
                  <w:tcMar>
                    <w:top w:w="0" w:type="dxa"/>
                    <w:left w:w="0" w:type="dxa"/>
                    <w:bottom w:w="0" w:type="dxa"/>
                    <w:right w:w="0" w:type="dxa"/>
                  </w:tcMar>
                  <w:vAlign w:val="center"/>
                </w:tcPr>
                <w:p w14:paraId="76A7B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5E5A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4AEC629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36</w:t>
                  </w:r>
                </w:p>
              </w:tc>
              <w:tc>
                <w:tcPr>
                  <w:tcW w:w="133" w:type="pct"/>
                  <w:tcBorders>
                    <w:tl2br w:val="nil"/>
                    <w:tr2bl w:val="nil"/>
                  </w:tcBorders>
                  <w:shd w:val="clear" w:color="auto" w:fill="auto"/>
                  <w:tcMar>
                    <w:top w:w="0" w:type="dxa"/>
                    <w:left w:w="0" w:type="dxa"/>
                    <w:bottom w:w="0" w:type="dxa"/>
                    <w:right w:w="0" w:type="dxa"/>
                  </w:tcMar>
                  <w:vAlign w:val="center"/>
                </w:tcPr>
                <w:p w14:paraId="2D67106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28</w:t>
                  </w:r>
                </w:p>
              </w:tc>
              <w:tc>
                <w:tcPr>
                  <w:tcW w:w="148" w:type="pct"/>
                  <w:tcBorders>
                    <w:tl2br w:val="nil"/>
                    <w:tr2bl w:val="nil"/>
                  </w:tcBorders>
                  <w:shd w:val="clear" w:color="auto" w:fill="auto"/>
                  <w:tcMar>
                    <w:top w:w="0" w:type="dxa"/>
                    <w:left w:w="0" w:type="dxa"/>
                    <w:bottom w:w="0" w:type="dxa"/>
                    <w:right w:w="0" w:type="dxa"/>
                  </w:tcMar>
                  <w:vAlign w:val="center"/>
                </w:tcPr>
                <w:p w14:paraId="478EFD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5E60D0F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22.6</w:t>
                  </w:r>
                </w:p>
              </w:tc>
              <w:tc>
                <w:tcPr>
                  <w:tcW w:w="169" w:type="pct"/>
                  <w:tcBorders>
                    <w:tl2br w:val="nil"/>
                    <w:tr2bl w:val="nil"/>
                  </w:tcBorders>
                  <w:shd w:val="clear" w:color="auto" w:fill="auto"/>
                  <w:tcMar>
                    <w:top w:w="0" w:type="dxa"/>
                    <w:left w:w="0" w:type="dxa"/>
                    <w:bottom w:w="0" w:type="dxa"/>
                    <w:right w:w="0" w:type="dxa"/>
                  </w:tcMar>
                  <w:vAlign w:val="center"/>
                </w:tcPr>
                <w:p w14:paraId="3C12538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37.0</w:t>
                  </w:r>
                </w:p>
              </w:tc>
              <w:tc>
                <w:tcPr>
                  <w:tcW w:w="174" w:type="pct"/>
                  <w:tcBorders>
                    <w:tl2br w:val="nil"/>
                    <w:tr2bl w:val="nil"/>
                  </w:tcBorders>
                  <w:shd w:val="clear" w:color="auto" w:fill="auto"/>
                  <w:tcMar>
                    <w:top w:w="0" w:type="dxa"/>
                    <w:left w:w="0" w:type="dxa"/>
                    <w:bottom w:w="0" w:type="dxa"/>
                    <w:right w:w="0" w:type="dxa"/>
                  </w:tcMar>
                  <w:vAlign w:val="center"/>
                </w:tcPr>
                <w:p w14:paraId="00C5D19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28.5</w:t>
                  </w:r>
                </w:p>
              </w:tc>
              <w:tc>
                <w:tcPr>
                  <w:tcW w:w="163" w:type="pct"/>
                  <w:tcBorders>
                    <w:tl2br w:val="nil"/>
                    <w:tr2bl w:val="nil"/>
                  </w:tcBorders>
                  <w:shd w:val="clear" w:color="auto" w:fill="auto"/>
                  <w:tcMar>
                    <w:top w:w="0" w:type="dxa"/>
                    <w:left w:w="0" w:type="dxa"/>
                    <w:bottom w:w="0" w:type="dxa"/>
                    <w:right w:w="0" w:type="dxa"/>
                  </w:tcMar>
                  <w:vAlign w:val="center"/>
                </w:tcPr>
                <w:p w14:paraId="2635A04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14.7</w:t>
                  </w:r>
                </w:p>
              </w:tc>
              <w:tc>
                <w:tcPr>
                  <w:tcW w:w="204" w:type="pct"/>
                  <w:tcBorders>
                    <w:tl2br w:val="nil"/>
                    <w:tr2bl w:val="nil"/>
                  </w:tcBorders>
                  <w:shd w:val="clear" w:color="auto" w:fill="auto"/>
                  <w:tcMar>
                    <w:top w:w="0" w:type="dxa"/>
                    <w:left w:w="0" w:type="dxa"/>
                    <w:bottom w:w="0" w:type="dxa"/>
                    <w:right w:w="0" w:type="dxa"/>
                  </w:tcMar>
                  <w:vAlign w:val="center"/>
                </w:tcPr>
                <w:p w14:paraId="52F22D9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52.9</w:t>
                  </w:r>
                </w:p>
              </w:tc>
              <w:tc>
                <w:tcPr>
                  <w:tcW w:w="215" w:type="pct"/>
                  <w:tcBorders>
                    <w:tl2br w:val="nil"/>
                    <w:tr2bl w:val="nil"/>
                  </w:tcBorders>
                  <w:shd w:val="clear" w:color="auto" w:fill="auto"/>
                  <w:tcMar>
                    <w:top w:w="0" w:type="dxa"/>
                    <w:left w:w="0" w:type="dxa"/>
                    <w:bottom w:w="0" w:type="dxa"/>
                    <w:right w:w="0" w:type="dxa"/>
                  </w:tcMar>
                  <w:vAlign w:val="center"/>
                </w:tcPr>
                <w:p w14:paraId="36F238A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48.6</w:t>
                  </w:r>
                </w:p>
              </w:tc>
              <w:tc>
                <w:tcPr>
                  <w:tcW w:w="179" w:type="pct"/>
                  <w:tcBorders>
                    <w:tl2br w:val="nil"/>
                    <w:tr2bl w:val="nil"/>
                  </w:tcBorders>
                  <w:shd w:val="clear" w:color="auto" w:fill="auto"/>
                  <w:tcMar>
                    <w:top w:w="0" w:type="dxa"/>
                    <w:left w:w="0" w:type="dxa"/>
                    <w:bottom w:w="0" w:type="dxa"/>
                    <w:right w:w="0" w:type="dxa"/>
                  </w:tcMar>
                  <w:vAlign w:val="center"/>
                </w:tcPr>
                <w:p w14:paraId="08AFA5F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50.9</w:t>
                  </w:r>
                </w:p>
              </w:tc>
              <w:tc>
                <w:tcPr>
                  <w:tcW w:w="204" w:type="pct"/>
                  <w:tcBorders>
                    <w:tl2br w:val="nil"/>
                    <w:tr2bl w:val="nil"/>
                  </w:tcBorders>
                  <w:shd w:val="clear" w:color="auto" w:fill="auto"/>
                  <w:tcMar>
                    <w:top w:w="0" w:type="dxa"/>
                    <w:left w:w="0" w:type="dxa"/>
                    <w:bottom w:w="0" w:type="dxa"/>
                    <w:right w:w="0" w:type="dxa"/>
                  </w:tcMar>
                  <w:vAlign w:val="center"/>
                </w:tcPr>
                <w:p w14:paraId="289A99D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56.7</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1CC3CD5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70A5E7F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1070F4A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32.9</w:t>
                  </w:r>
                </w:p>
              </w:tc>
              <w:tc>
                <w:tcPr>
                  <w:tcW w:w="210" w:type="pct"/>
                  <w:tcBorders>
                    <w:tl2br w:val="nil"/>
                    <w:tr2bl w:val="nil"/>
                  </w:tcBorders>
                  <w:shd w:val="clear" w:color="auto" w:fill="auto"/>
                  <w:tcMar>
                    <w:top w:w="0" w:type="dxa"/>
                    <w:left w:w="0" w:type="dxa"/>
                    <w:bottom w:w="0" w:type="dxa"/>
                    <w:right w:w="0" w:type="dxa"/>
                  </w:tcMar>
                  <w:vAlign w:val="center"/>
                </w:tcPr>
                <w:p w14:paraId="6B71838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28.6</w:t>
                  </w:r>
                </w:p>
              </w:tc>
              <w:tc>
                <w:tcPr>
                  <w:tcW w:w="215" w:type="pct"/>
                  <w:tcBorders>
                    <w:tl2br w:val="nil"/>
                    <w:tr2bl w:val="nil"/>
                  </w:tcBorders>
                  <w:shd w:val="clear" w:color="auto" w:fill="auto"/>
                  <w:tcMar>
                    <w:top w:w="0" w:type="dxa"/>
                    <w:left w:w="0" w:type="dxa"/>
                    <w:bottom w:w="0" w:type="dxa"/>
                    <w:right w:w="0" w:type="dxa"/>
                  </w:tcMar>
                  <w:vAlign w:val="center"/>
                </w:tcPr>
                <w:p w14:paraId="0368EA0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30.9</w:t>
                  </w:r>
                </w:p>
              </w:tc>
              <w:tc>
                <w:tcPr>
                  <w:tcW w:w="179" w:type="pct"/>
                  <w:tcBorders>
                    <w:tl2br w:val="nil"/>
                    <w:tr2bl w:val="nil"/>
                  </w:tcBorders>
                  <w:shd w:val="clear" w:color="auto" w:fill="auto"/>
                  <w:tcMar>
                    <w:top w:w="0" w:type="dxa"/>
                    <w:left w:w="0" w:type="dxa"/>
                    <w:bottom w:w="0" w:type="dxa"/>
                    <w:right w:w="0" w:type="dxa"/>
                  </w:tcMar>
                  <w:vAlign w:val="center"/>
                </w:tcPr>
                <w:p w14:paraId="385E929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36.7</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38CB96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6F037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43AFAB2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6</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12FD9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00A255A2">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烘道</w:t>
                  </w:r>
                </w:p>
              </w:tc>
              <w:tc>
                <w:tcPr>
                  <w:tcW w:w="215" w:type="pct"/>
                  <w:tcBorders>
                    <w:tl2br w:val="nil"/>
                    <w:tr2bl w:val="nil"/>
                  </w:tcBorders>
                  <w:shd w:val="clear" w:color="auto" w:fill="auto"/>
                  <w:tcMar>
                    <w:top w:w="0" w:type="dxa"/>
                    <w:left w:w="0" w:type="dxa"/>
                    <w:bottom w:w="0" w:type="dxa"/>
                    <w:right w:w="0" w:type="dxa"/>
                  </w:tcMar>
                  <w:vAlign w:val="center"/>
                </w:tcPr>
                <w:p w14:paraId="277B74C3">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2</w:t>
                  </w:r>
                </w:p>
              </w:tc>
              <w:tc>
                <w:tcPr>
                  <w:tcW w:w="327" w:type="pct"/>
                  <w:tcBorders>
                    <w:tl2br w:val="nil"/>
                    <w:tr2bl w:val="nil"/>
                  </w:tcBorders>
                  <w:shd w:val="clear" w:color="auto" w:fill="auto"/>
                  <w:tcMar>
                    <w:top w:w="0" w:type="dxa"/>
                    <w:left w:w="0" w:type="dxa"/>
                    <w:bottom w:w="0" w:type="dxa"/>
                    <w:right w:w="0" w:type="dxa"/>
                  </w:tcMar>
                  <w:vAlign w:val="center"/>
                </w:tcPr>
                <w:p w14:paraId="452CCF5B">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70（叠加后73.01）</w:t>
                  </w:r>
                </w:p>
              </w:tc>
              <w:tc>
                <w:tcPr>
                  <w:tcW w:w="204" w:type="pct"/>
                  <w:tcBorders>
                    <w:tl2br w:val="nil"/>
                    <w:tr2bl w:val="nil"/>
                  </w:tcBorders>
                  <w:shd w:val="clear" w:color="auto" w:fill="auto"/>
                  <w:tcMar>
                    <w:top w:w="0" w:type="dxa"/>
                    <w:left w:w="0" w:type="dxa"/>
                    <w:bottom w:w="0" w:type="dxa"/>
                    <w:right w:w="0" w:type="dxa"/>
                  </w:tcMar>
                  <w:vAlign w:val="center"/>
                </w:tcPr>
                <w:p w14:paraId="2A7A4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48AC4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7C388F6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40</w:t>
                  </w:r>
                </w:p>
              </w:tc>
              <w:tc>
                <w:tcPr>
                  <w:tcW w:w="133" w:type="pct"/>
                  <w:tcBorders>
                    <w:tl2br w:val="nil"/>
                    <w:tr2bl w:val="nil"/>
                  </w:tcBorders>
                  <w:shd w:val="clear" w:color="auto" w:fill="auto"/>
                  <w:tcMar>
                    <w:top w:w="0" w:type="dxa"/>
                    <w:left w:w="0" w:type="dxa"/>
                    <w:bottom w:w="0" w:type="dxa"/>
                    <w:right w:w="0" w:type="dxa"/>
                  </w:tcMar>
                  <w:vAlign w:val="center"/>
                </w:tcPr>
                <w:p w14:paraId="774159C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25</w:t>
                  </w:r>
                </w:p>
              </w:tc>
              <w:tc>
                <w:tcPr>
                  <w:tcW w:w="148" w:type="pct"/>
                  <w:tcBorders>
                    <w:tl2br w:val="nil"/>
                    <w:tr2bl w:val="nil"/>
                  </w:tcBorders>
                  <w:shd w:val="clear" w:color="auto" w:fill="auto"/>
                  <w:tcMar>
                    <w:top w:w="0" w:type="dxa"/>
                    <w:left w:w="0" w:type="dxa"/>
                    <w:bottom w:w="0" w:type="dxa"/>
                    <w:right w:w="0" w:type="dxa"/>
                  </w:tcMar>
                  <w:vAlign w:val="center"/>
                </w:tcPr>
                <w:p w14:paraId="7F45CD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6FEEC3C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17.8</w:t>
                  </w:r>
                </w:p>
              </w:tc>
              <w:tc>
                <w:tcPr>
                  <w:tcW w:w="169" w:type="pct"/>
                  <w:tcBorders>
                    <w:tl2br w:val="nil"/>
                    <w:tr2bl w:val="nil"/>
                  </w:tcBorders>
                  <w:shd w:val="clear" w:color="auto" w:fill="auto"/>
                  <w:tcMar>
                    <w:top w:w="0" w:type="dxa"/>
                    <w:left w:w="0" w:type="dxa"/>
                    <w:bottom w:w="0" w:type="dxa"/>
                    <w:right w:w="0" w:type="dxa"/>
                  </w:tcMar>
                  <w:vAlign w:val="center"/>
                </w:tcPr>
                <w:p w14:paraId="5FF5385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35.1</w:t>
                  </w:r>
                </w:p>
              </w:tc>
              <w:tc>
                <w:tcPr>
                  <w:tcW w:w="174" w:type="pct"/>
                  <w:tcBorders>
                    <w:tl2br w:val="nil"/>
                    <w:tr2bl w:val="nil"/>
                  </w:tcBorders>
                  <w:shd w:val="clear" w:color="auto" w:fill="auto"/>
                  <w:tcMar>
                    <w:top w:w="0" w:type="dxa"/>
                    <w:left w:w="0" w:type="dxa"/>
                    <w:bottom w:w="0" w:type="dxa"/>
                    <w:right w:w="0" w:type="dxa"/>
                  </w:tcMar>
                  <w:vAlign w:val="center"/>
                </w:tcPr>
                <w:p w14:paraId="24CE2FD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33.3</w:t>
                  </w:r>
                </w:p>
              </w:tc>
              <w:tc>
                <w:tcPr>
                  <w:tcW w:w="163" w:type="pct"/>
                  <w:tcBorders>
                    <w:tl2br w:val="nil"/>
                    <w:tr2bl w:val="nil"/>
                  </w:tcBorders>
                  <w:shd w:val="clear" w:color="auto" w:fill="auto"/>
                  <w:tcMar>
                    <w:top w:w="0" w:type="dxa"/>
                    <w:left w:w="0" w:type="dxa"/>
                    <w:bottom w:w="0" w:type="dxa"/>
                    <w:right w:w="0" w:type="dxa"/>
                  </w:tcMar>
                  <w:vAlign w:val="center"/>
                </w:tcPr>
                <w:p w14:paraId="3902BE2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16.6</w:t>
                  </w:r>
                </w:p>
              </w:tc>
              <w:tc>
                <w:tcPr>
                  <w:tcW w:w="204" w:type="pct"/>
                  <w:tcBorders>
                    <w:tl2br w:val="nil"/>
                    <w:tr2bl w:val="nil"/>
                  </w:tcBorders>
                  <w:shd w:val="clear" w:color="auto" w:fill="auto"/>
                  <w:tcMar>
                    <w:top w:w="0" w:type="dxa"/>
                    <w:left w:w="0" w:type="dxa"/>
                    <w:bottom w:w="0" w:type="dxa"/>
                    <w:right w:w="0" w:type="dxa"/>
                  </w:tcMar>
                  <w:vAlign w:val="center"/>
                </w:tcPr>
                <w:p w14:paraId="21C89F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8</w:t>
                  </w:r>
                  <w:r>
                    <w:rPr>
                      <w:rFonts w:hint="eastAsia" w:ascii="Times New Roman" w:hAnsi="Times New Roman" w:eastAsia="仿宋" w:cs="Times New Roman"/>
                      <w:color w:val="auto"/>
                      <w:kern w:val="2"/>
                      <w:sz w:val="21"/>
                      <w:szCs w:val="21"/>
                      <w:highlight w:val="none"/>
                      <w:lang w:val="en-US" w:eastAsia="zh-CN" w:bidi="ar-SA"/>
                    </w:rPr>
                    <w:t>.0</w:t>
                  </w:r>
                </w:p>
              </w:tc>
              <w:tc>
                <w:tcPr>
                  <w:tcW w:w="215" w:type="pct"/>
                  <w:tcBorders>
                    <w:tl2br w:val="nil"/>
                    <w:tr2bl w:val="nil"/>
                  </w:tcBorders>
                  <w:shd w:val="clear" w:color="auto" w:fill="auto"/>
                  <w:tcMar>
                    <w:top w:w="0" w:type="dxa"/>
                    <w:left w:w="0" w:type="dxa"/>
                    <w:bottom w:w="0" w:type="dxa"/>
                    <w:right w:w="0" w:type="dxa"/>
                  </w:tcMar>
                  <w:vAlign w:val="center"/>
                </w:tcPr>
                <w:p w14:paraId="31A5F63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42</w:t>
                  </w:r>
                  <w:r>
                    <w:rPr>
                      <w:rFonts w:hint="eastAsia" w:ascii="Times New Roman" w:hAnsi="Times New Roman" w:eastAsia="仿宋" w:cs="Times New Roman"/>
                      <w:color w:val="auto"/>
                      <w:kern w:val="2"/>
                      <w:sz w:val="21"/>
                      <w:szCs w:val="21"/>
                      <w:highlight w:val="none"/>
                      <w:lang w:val="en-US" w:eastAsia="zh-CN" w:bidi="ar-SA"/>
                    </w:rPr>
                    <w:t>.1</w:t>
                  </w:r>
                </w:p>
              </w:tc>
              <w:tc>
                <w:tcPr>
                  <w:tcW w:w="179" w:type="pct"/>
                  <w:tcBorders>
                    <w:tl2br w:val="nil"/>
                    <w:tr2bl w:val="nil"/>
                  </w:tcBorders>
                  <w:shd w:val="clear" w:color="auto" w:fill="auto"/>
                  <w:tcMar>
                    <w:top w:w="0" w:type="dxa"/>
                    <w:left w:w="0" w:type="dxa"/>
                    <w:bottom w:w="0" w:type="dxa"/>
                    <w:right w:w="0" w:type="dxa"/>
                  </w:tcMar>
                  <w:vAlign w:val="center"/>
                </w:tcPr>
                <w:p w14:paraId="59098EF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42</w:t>
                  </w:r>
                  <w:r>
                    <w:rPr>
                      <w:rFonts w:hint="eastAsia" w:ascii="Times New Roman" w:hAnsi="Times New Roman" w:eastAsia="仿宋" w:cs="Times New Roman"/>
                      <w:color w:val="auto"/>
                      <w:kern w:val="2"/>
                      <w:sz w:val="21"/>
                      <w:szCs w:val="21"/>
                      <w:highlight w:val="none"/>
                      <w:lang w:val="en-US" w:eastAsia="zh-CN" w:bidi="ar-SA"/>
                    </w:rPr>
                    <w:t>.6</w:t>
                  </w:r>
                </w:p>
              </w:tc>
              <w:tc>
                <w:tcPr>
                  <w:tcW w:w="204" w:type="pct"/>
                  <w:tcBorders>
                    <w:tl2br w:val="nil"/>
                    <w:tr2bl w:val="nil"/>
                  </w:tcBorders>
                  <w:shd w:val="clear" w:color="auto" w:fill="auto"/>
                  <w:tcMar>
                    <w:top w:w="0" w:type="dxa"/>
                    <w:left w:w="0" w:type="dxa"/>
                    <w:bottom w:w="0" w:type="dxa"/>
                    <w:right w:w="0" w:type="dxa"/>
                  </w:tcMar>
                  <w:vAlign w:val="center"/>
                </w:tcPr>
                <w:p w14:paraId="7F3387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w:t>
                  </w:r>
                  <w:r>
                    <w:rPr>
                      <w:rFonts w:hint="eastAsia" w:eastAsia="仿宋" w:cs="Times New Roman"/>
                      <w:color w:val="auto"/>
                      <w:kern w:val="2"/>
                      <w:sz w:val="21"/>
                      <w:szCs w:val="21"/>
                      <w:highlight w:val="none"/>
                      <w:lang w:val="en-US" w:eastAsia="zh-CN" w:bidi="ar-SA"/>
                    </w:rPr>
                    <w:t>8</w:t>
                  </w:r>
                  <w:r>
                    <w:rPr>
                      <w:rFonts w:hint="eastAsia" w:ascii="Times New Roman" w:hAnsi="Times New Roman" w:eastAsia="仿宋" w:cs="Times New Roman"/>
                      <w:color w:val="auto"/>
                      <w:kern w:val="2"/>
                      <w:sz w:val="21"/>
                      <w:szCs w:val="21"/>
                      <w:highlight w:val="none"/>
                      <w:lang w:val="en-US" w:eastAsia="zh-CN" w:bidi="ar-SA"/>
                    </w:rPr>
                    <w:t>.6</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0C9F57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3BCA431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1542557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8</w:t>
                  </w:r>
                  <w:r>
                    <w:rPr>
                      <w:rFonts w:hint="eastAsia" w:ascii="Times New Roman" w:hAnsi="Times New Roman" w:eastAsia="仿宋" w:cs="Times New Roman"/>
                      <w:color w:val="auto"/>
                      <w:kern w:val="2"/>
                      <w:sz w:val="21"/>
                      <w:szCs w:val="21"/>
                      <w:highlight w:val="none"/>
                      <w:lang w:val="en-US" w:eastAsia="zh-CN" w:bidi="ar-SA"/>
                    </w:rPr>
                    <w:t>.0</w:t>
                  </w:r>
                </w:p>
              </w:tc>
              <w:tc>
                <w:tcPr>
                  <w:tcW w:w="210" w:type="pct"/>
                  <w:tcBorders>
                    <w:tl2br w:val="nil"/>
                    <w:tr2bl w:val="nil"/>
                  </w:tcBorders>
                  <w:shd w:val="clear" w:color="auto" w:fill="auto"/>
                  <w:tcMar>
                    <w:top w:w="0" w:type="dxa"/>
                    <w:left w:w="0" w:type="dxa"/>
                    <w:bottom w:w="0" w:type="dxa"/>
                    <w:right w:w="0" w:type="dxa"/>
                  </w:tcMar>
                  <w:vAlign w:val="center"/>
                </w:tcPr>
                <w:p w14:paraId="20E361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22</w:t>
                  </w:r>
                  <w:r>
                    <w:rPr>
                      <w:rFonts w:hint="eastAsia" w:ascii="Times New Roman" w:hAnsi="Times New Roman" w:eastAsia="仿宋" w:cs="Times New Roman"/>
                      <w:color w:val="auto"/>
                      <w:kern w:val="2"/>
                      <w:sz w:val="21"/>
                      <w:szCs w:val="21"/>
                      <w:highlight w:val="none"/>
                      <w:lang w:val="en-US" w:eastAsia="zh-CN" w:bidi="ar-SA"/>
                    </w:rPr>
                    <w:t>.1</w:t>
                  </w:r>
                </w:p>
              </w:tc>
              <w:tc>
                <w:tcPr>
                  <w:tcW w:w="215" w:type="pct"/>
                  <w:tcBorders>
                    <w:tl2br w:val="nil"/>
                    <w:tr2bl w:val="nil"/>
                  </w:tcBorders>
                  <w:shd w:val="clear" w:color="auto" w:fill="auto"/>
                  <w:tcMar>
                    <w:top w:w="0" w:type="dxa"/>
                    <w:left w:w="0" w:type="dxa"/>
                    <w:bottom w:w="0" w:type="dxa"/>
                    <w:right w:w="0" w:type="dxa"/>
                  </w:tcMar>
                  <w:vAlign w:val="center"/>
                </w:tcPr>
                <w:p w14:paraId="3EFE502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22</w:t>
                  </w:r>
                  <w:r>
                    <w:rPr>
                      <w:rFonts w:hint="eastAsia" w:ascii="Times New Roman" w:hAnsi="Times New Roman" w:eastAsia="仿宋" w:cs="Times New Roman"/>
                      <w:color w:val="auto"/>
                      <w:kern w:val="2"/>
                      <w:sz w:val="21"/>
                      <w:szCs w:val="21"/>
                      <w:highlight w:val="none"/>
                      <w:lang w:val="en-US" w:eastAsia="zh-CN" w:bidi="ar-SA"/>
                    </w:rPr>
                    <w:t>.6</w:t>
                  </w:r>
                </w:p>
              </w:tc>
              <w:tc>
                <w:tcPr>
                  <w:tcW w:w="179" w:type="pct"/>
                  <w:tcBorders>
                    <w:tl2br w:val="nil"/>
                    <w:tr2bl w:val="nil"/>
                  </w:tcBorders>
                  <w:shd w:val="clear" w:color="auto" w:fill="auto"/>
                  <w:tcMar>
                    <w:top w:w="0" w:type="dxa"/>
                    <w:left w:w="0" w:type="dxa"/>
                    <w:bottom w:w="0" w:type="dxa"/>
                    <w:right w:w="0" w:type="dxa"/>
                  </w:tcMar>
                  <w:vAlign w:val="center"/>
                </w:tcPr>
                <w:p w14:paraId="02E5F90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8</w:t>
                  </w:r>
                  <w:r>
                    <w:rPr>
                      <w:rFonts w:hint="eastAsia" w:ascii="Times New Roman" w:hAnsi="Times New Roman" w:eastAsia="仿宋" w:cs="Times New Roman"/>
                      <w:color w:val="auto"/>
                      <w:kern w:val="2"/>
                      <w:sz w:val="21"/>
                      <w:szCs w:val="21"/>
                      <w:highlight w:val="none"/>
                      <w:lang w:val="en-US" w:eastAsia="zh-CN" w:bidi="ar-SA"/>
                    </w:rPr>
                    <w:t>.6</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F4FA0E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61CE2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043CA3E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7</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660E6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5BD26E5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粉喷前处理线</w:t>
                  </w:r>
                </w:p>
              </w:tc>
              <w:tc>
                <w:tcPr>
                  <w:tcW w:w="215" w:type="pct"/>
                  <w:tcBorders>
                    <w:tl2br w:val="nil"/>
                    <w:tr2bl w:val="nil"/>
                  </w:tcBorders>
                  <w:shd w:val="clear" w:color="auto" w:fill="auto"/>
                  <w:tcMar>
                    <w:top w:w="0" w:type="dxa"/>
                    <w:left w:w="0" w:type="dxa"/>
                    <w:bottom w:w="0" w:type="dxa"/>
                    <w:right w:w="0" w:type="dxa"/>
                  </w:tcMar>
                  <w:vAlign w:val="center"/>
                </w:tcPr>
                <w:p w14:paraId="14D91E0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685B77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w:t>
                  </w:r>
                </w:p>
              </w:tc>
              <w:tc>
                <w:tcPr>
                  <w:tcW w:w="204" w:type="pct"/>
                  <w:tcBorders>
                    <w:tl2br w:val="nil"/>
                    <w:tr2bl w:val="nil"/>
                  </w:tcBorders>
                  <w:shd w:val="clear" w:color="auto" w:fill="auto"/>
                  <w:tcMar>
                    <w:top w:w="0" w:type="dxa"/>
                    <w:left w:w="0" w:type="dxa"/>
                    <w:bottom w:w="0" w:type="dxa"/>
                    <w:right w:w="0" w:type="dxa"/>
                  </w:tcMar>
                  <w:vAlign w:val="center"/>
                </w:tcPr>
                <w:p w14:paraId="656B7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167910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5536E0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14</w:t>
                  </w:r>
                </w:p>
              </w:tc>
              <w:tc>
                <w:tcPr>
                  <w:tcW w:w="133" w:type="pct"/>
                  <w:tcBorders>
                    <w:tl2br w:val="nil"/>
                    <w:tr2bl w:val="nil"/>
                  </w:tcBorders>
                  <w:shd w:val="clear" w:color="auto" w:fill="auto"/>
                  <w:tcMar>
                    <w:top w:w="0" w:type="dxa"/>
                    <w:left w:w="0" w:type="dxa"/>
                    <w:bottom w:w="0" w:type="dxa"/>
                    <w:right w:w="0" w:type="dxa"/>
                  </w:tcMar>
                  <w:vAlign w:val="center"/>
                </w:tcPr>
                <w:p w14:paraId="5FC0FD5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35</w:t>
                  </w:r>
                </w:p>
              </w:tc>
              <w:tc>
                <w:tcPr>
                  <w:tcW w:w="148" w:type="pct"/>
                  <w:tcBorders>
                    <w:tl2br w:val="nil"/>
                    <w:tr2bl w:val="nil"/>
                  </w:tcBorders>
                  <w:shd w:val="clear" w:color="auto" w:fill="auto"/>
                  <w:tcMar>
                    <w:top w:w="0" w:type="dxa"/>
                    <w:left w:w="0" w:type="dxa"/>
                    <w:bottom w:w="0" w:type="dxa"/>
                    <w:right w:w="0" w:type="dxa"/>
                  </w:tcMar>
                  <w:vAlign w:val="center"/>
                </w:tcPr>
                <w:p w14:paraId="30383B0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00004AB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46.7</w:t>
                  </w:r>
                </w:p>
              </w:tc>
              <w:tc>
                <w:tcPr>
                  <w:tcW w:w="169" w:type="pct"/>
                  <w:tcBorders>
                    <w:tl2br w:val="nil"/>
                    <w:tr2bl w:val="nil"/>
                  </w:tcBorders>
                  <w:shd w:val="clear" w:color="auto" w:fill="auto"/>
                  <w:tcMar>
                    <w:top w:w="0" w:type="dxa"/>
                    <w:left w:w="0" w:type="dxa"/>
                    <w:bottom w:w="0" w:type="dxa"/>
                    <w:right w:w="0" w:type="dxa"/>
                  </w:tcMar>
                  <w:vAlign w:val="center"/>
                </w:tcPr>
                <w:p w14:paraId="0E2D625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38.2</w:t>
                  </w:r>
                </w:p>
              </w:tc>
              <w:tc>
                <w:tcPr>
                  <w:tcW w:w="174" w:type="pct"/>
                  <w:tcBorders>
                    <w:tl2br w:val="nil"/>
                    <w:tr2bl w:val="nil"/>
                  </w:tcBorders>
                  <w:shd w:val="clear" w:color="auto" w:fill="auto"/>
                  <w:tcMar>
                    <w:top w:w="0" w:type="dxa"/>
                    <w:left w:w="0" w:type="dxa"/>
                    <w:bottom w:w="0" w:type="dxa"/>
                    <w:right w:w="0" w:type="dxa"/>
                  </w:tcMar>
                  <w:vAlign w:val="center"/>
                </w:tcPr>
                <w:p w14:paraId="6ED8065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4.4</w:t>
                  </w:r>
                </w:p>
              </w:tc>
              <w:tc>
                <w:tcPr>
                  <w:tcW w:w="163" w:type="pct"/>
                  <w:tcBorders>
                    <w:tl2br w:val="nil"/>
                    <w:tr2bl w:val="nil"/>
                  </w:tcBorders>
                  <w:shd w:val="clear" w:color="auto" w:fill="auto"/>
                  <w:tcMar>
                    <w:top w:w="0" w:type="dxa"/>
                    <w:left w:w="0" w:type="dxa"/>
                    <w:bottom w:w="0" w:type="dxa"/>
                    <w:right w:w="0" w:type="dxa"/>
                  </w:tcMar>
                  <w:vAlign w:val="center"/>
                </w:tcPr>
                <w:p w14:paraId="06C4B65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13.9</w:t>
                  </w:r>
                </w:p>
              </w:tc>
              <w:tc>
                <w:tcPr>
                  <w:tcW w:w="204" w:type="pct"/>
                  <w:tcBorders>
                    <w:tl2br w:val="nil"/>
                    <w:tr2bl w:val="nil"/>
                  </w:tcBorders>
                  <w:shd w:val="clear" w:color="auto" w:fill="auto"/>
                  <w:tcMar>
                    <w:top w:w="0" w:type="dxa"/>
                    <w:left w:w="0" w:type="dxa"/>
                    <w:bottom w:w="0" w:type="dxa"/>
                    <w:right w:w="0" w:type="dxa"/>
                  </w:tcMar>
                  <w:vAlign w:val="center"/>
                </w:tcPr>
                <w:p w14:paraId="185DD21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46.6</w:t>
                  </w:r>
                </w:p>
              </w:tc>
              <w:tc>
                <w:tcPr>
                  <w:tcW w:w="215" w:type="pct"/>
                  <w:tcBorders>
                    <w:tl2br w:val="nil"/>
                    <w:tr2bl w:val="nil"/>
                  </w:tcBorders>
                  <w:shd w:val="clear" w:color="auto" w:fill="auto"/>
                  <w:tcMar>
                    <w:top w:w="0" w:type="dxa"/>
                    <w:left w:w="0" w:type="dxa"/>
                    <w:bottom w:w="0" w:type="dxa"/>
                    <w:right w:w="0" w:type="dxa"/>
                  </w:tcMar>
                  <w:vAlign w:val="center"/>
                </w:tcPr>
                <w:p w14:paraId="3CE51E3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48.4</w:t>
                  </w:r>
                </w:p>
              </w:tc>
              <w:tc>
                <w:tcPr>
                  <w:tcW w:w="179" w:type="pct"/>
                  <w:tcBorders>
                    <w:tl2br w:val="nil"/>
                    <w:tr2bl w:val="nil"/>
                  </w:tcBorders>
                  <w:shd w:val="clear" w:color="auto" w:fill="auto"/>
                  <w:tcMar>
                    <w:top w:w="0" w:type="dxa"/>
                    <w:left w:w="0" w:type="dxa"/>
                    <w:bottom w:w="0" w:type="dxa"/>
                    <w:right w:w="0" w:type="dxa"/>
                  </w:tcMar>
                  <w:vAlign w:val="center"/>
                </w:tcPr>
                <w:p w14:paraId="356322F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67.1</w:t>
                  </w:r>
                </w:p>
              </w:tc>
              <w:tc>
                <w:tcPr>
                  <w:tcW w:w="204" w:type="pct"/>
                  <w:tcBorders>
                    <w:tl2br w:val="nil"/>
                    <w:tr2bl w:val="nil"/>
                  </w:tcBorders>
                  <w:shd w:val="clear" w:color="auto" w:fill="auto"/>
                  <w:tcMar>
                    <w:top w:w="0" w:type="dxa"/>
                    <w:left w:w="0" w:type="dxa"/>
                    <w:bottom w:w="0" w:type="dxa"/>
                    <w:right w:w="0" w:type="dxa"/>
                  </w:tcMar>
                  <w:vAlign w:val="center"/>
                </w:tcPr>
                <w:p w14:paraId="403A09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57.1</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4079F4C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37B758D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12B7809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26.6</w:t>
                  </w:r>
                </w:p>
              </w:tc>
              <w:tc>
                <w:tcPr>
                  <w:tcW w:w="210" w:type="pct"/>
                  <w:tcBorders>
                    <w:tl2br w:val="nil"/>
                    <w:tr2bl w:val="nil"/>
                  </w:tcBorders>
                  <w:shd w:val="clear" w:color="auto" w:fill="auto"/>
                  <w:tcMar>
                    <w:top w:w="0" w:type="dxa"/>
                    <w:left w:w="0" w:type="dxa"/>
                    <w:bottom w:w="0" w:type="dxa"/>
                    <w:right w:w="0" w:type="dxa"/>
                  </w:tcMar>
                  <w:vAlign w:val="center"/>
                </w:tcPr>
                <w:p w14:paraId="55D1619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28.4</w:t>
                  </w:r>
                </w:p>
              </w:tc>
              <w:tc>
                <w:tcPr>
                  <w:tcW w:w="215" w:type="pct"/>
                  <w:tcBorders>
                    <w:tl2br w:val="nil"/>
                    <w:tr2bl w:val="nil"/>
                  </w:tcBorders>
                  <w:shd w:val="clear" w:color="auto" w:fill="auto"/>
                  <w:tcMar>
                    <w:top w:w="0" w:type="dxa"/>
                    <w:left w:w="0" w:type="dxa"/>
                    <w:bottom w:w="0" w:type="dxa"/>
                    <w:right w:w="0" w:type="dxa"/>
                  </w:tcMar>
                  <w:vAlign w:val="center"/>
                </w:tcPr>
                <w:p w14:paraId="36F30BD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47.1</w:t>
                  </w:r>
                </w:p>
              </w:tc>
              <w:tc>
                <w:tcPr>
                  <w:tcW w:w="179" w:type="pct"/>
                  <w:tcBorders>
                    <w:tl2br w:val="nil"/>
                    <w:tr2bl w:val="nil"/>
                  </w:tcBorders>
                  <w:shd w:val="clear" w:color="auto" w:fill="auto"/>
                  <w:tcMar>
                    <w:top w:w="0" w:type="dxa"/>
                    <w:left w:w="0" w:type="dxa"/>
                    <w:bottom w:w="0" w:type="dxa"/>
                    <w:right w:w="0" w:type="dxa"/>
                  </w:tcMar>
                  <w:vAlign w:val="center"/>
                </w:tcPr>
                <w:p w14:paraId="3DE35B4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37.1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65A5986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15661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18CD77C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8</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6F136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63EA046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喷粉房</w:t>
                  </w:r>
                </w:p>
              </w:tc>
              <w:tc>
                <w:tcPr>
                  <w:tcW w:w="215" w:type="pct"/>
                  <w:tcBorders>
                    <w:tl2br w:val="nil"/>
                    <w:tr2bl w:val="nil"/>
                  </w:tcBorders>
                  <w:shd w:val="clear" w:color="auto" w:fill="auto"/>
                  <w:tcMar>
                    <w:top w:w="0" w:type="dxa"/>
                    <w:left w:w="0" w:type="dxa"/>
                    <w:bottom w:w="0" w:type="dxa"/>
                    <w:right w:w="0" w:type="dxa"/>
                  </w:tcMar>
                  <w:vAlign w:val="center"/>
                </w:tcPr>
                <w:p w14:paraId="0B44459B">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6BA7F8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w:t>
                  </w:r>
                </w:p>
              </w:tc>
              <w:tc>
                <w:tcPr>
                  <w:tcW w:w="204" w:type="pct"/>
                  <w:tcBorders>
                    <w:tl2br w:val="nil"/>
                    <w:tr2bl w:val="nil"/>
                  </w:tcBorders>
                  <w:shd w:val="clear" w:color="auto" w:fill="auto"/>
                  <w:tcMar>
                    <w:top w:w="0" w:type="dxa"/>
                    <w:left w:w="0" w:type="dxa"/>
                    <w:bottom w:w="0" w:type="dxa"/>
                    <w:right w:w="0" w:type="dxa"/>
                  </w:tcMar>
                  <w:vAlign w:val="center"/>
                </w:tcPr>
                <w:p w14:paraId="061A2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06449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604FB84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22</w:t>
                  </w:r>
                </w:p>
              </w:tc>
              <w:tc>
                <w:tcPr>
                  <w:tcW w:w="133" w:type="pct"/>
                  <w:tcBorders>
                    <w:tl2br w:val="nil"/>
                    <w:tr2bl w:val="nil"/>
                  </w:tcBorders>
                  <w:shd w:val="clear" w:color="auto" w:fill="auto"/>
                  <w:tcMar>
                    <w:top w:w="0" w:type="dxa"/>
                    <w:left w:w="0" w:type="dxa"/>
                    <w:bottom w:w="0" w:type="dxa"/>
                    <w:right w:w="0" w:type="dxa"/>
                  </w:tcMar>
                  <w:vAlign w:val="center"/>
                </w:tcPr>
                <w:p w14:paraId="3D74F27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w:t>
                  </w:r>
                </w:p>
              </w:tc>
              <w:tc>
                <w:tcPr>
                  <w:tcW w:w="148" w:type="pct"/>
                  <w:tcBorders>
                    <w:tl2br w:val="nil"/>
                    <w:tr2bl w:val="nil"/>
                  </w:tcBorders>
                  <w:shd w:val="clear" w:color="auto" w:fill="auto"/>
                  <w:tcMar>
                    <w:top w:w="0" w:type="dxa"/>
                    <w:left w:w="0" w:type="dxa"/>
                    <w:bottom w:w="0" w:type="dxa"/>
                    <w:right w:w="0" w:type="dxa"/>
                  </w:tcMar>
                  <w:vAlign w:val="center"/>
                </w:tcPr>
                <w:p w14:paraId="542C2B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48EB84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29.9</w:t>
                  </w:r>
                </w:p>
              </w:tc>
              <w:tc>
                <w:tcPr>
                  <w:tcW w:w="169" w:type="pct"/>
                  <w:tcBorders>
                    <w:tl2br w:val="nil"/>
                    <w:tr2bl w:val="nil"/>
                  </w:tcBorders>
                  <w:shd w:val="clear" w:color="auto" w:fill="auto"/>
                  <w:tcMar>
                    <w:top w:w="0" w:type="dxa"/>
                    <w:left w:w="0" w:type="dxa"/>
                    <w:bottom w:w="0" w:type="dxa"/>
                    <w:right w:w="0" w:type="dxa"/>
                  </w:tcMar>
                  <w:vAlign w:val="center"/>
                </w:tcPr>
                <w:p w14:paraId="0C8316A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8.3</w:t>
                  </w:r>
                </w:p>
              </w:tc>
              <w:tc>
                <w:tcPr>
                  <w:tcW w:w="174" w:type="pct"/>
                  <w:tcBorders>
                    <w:tl2br w:val="nil"/>
                    <w:tr2bl w:val="nil"/>
                  </w:tcBorders>
                  <w:shd w:val="clear" w:color="auto" w:fill="auto"/>
                  <w:tcMar>
                    <w:top w:w="0" w:type="dxa"/>
                    <w:left w:w="0" w:type="dxa"/>
                    <w:bottom w:w="0" w:type="dxa"/>
                    <w:right w:w="0" w:type="dxa"/>
                  </w:tcMar>
                  <w:vAlign w:val="center"/>
                </w:tcPr>
                <w:p w14:paraId="159158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21.1</w:t>
                  </w:r>
                </w:p>
              </w:tc>
              <w:tc>
                <w:tcPr>
                  <w:tcW w:w="163" w:type="pct"/>
                  <w:tcBorders>
                    <w:tl2br w:val="nil"/>
                    <w:tr2bl w:val="nil"/>
                  </w:tcBorders>
                  <w:shd w:val="clear" w:color="auto" w:fill="auto"/>
                  <w:tcMar>
                    <w:top w:w="0" w:type="dxa"/>
                    <w:left w:w="0" w:type="dxa"/>
                    <w:bottom w:w="0" w:type="dxa"/>
                    <w:right w:w="0" w:type="dxa"/>
                  </w:tcMar>
                  <w:vAlign w:val="center"/>
                </w:tcPr>
                <w:p w14:paraId="04EABF7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43.7</w:t>
                  </w:r>
                </w:p>
              </w:tc>
              <w:tc>
                <w:tcPr>
                  <w:tcW w:w="204" w:type="pct"/>
                  <w:tcBorders>
                    <w:tl2br w:val="nil"/>
                    <w:tr2bl w:val="nil"/>
                  </w:tcBorders>
                  <w:shd w:val="clear" w:color="auto" w:fill="auto"/>
                  <w:tcMar>
                    <w:top w:w="0" w:type="dxa"/>
                    <w:left w:w="0" w:type="dxa"/>
                    <w:bottom w:w="0" w:type="dxa"/>
                    <w:right w:w="0" w:type="dxa"/>
                  </w:tcMar>
                  <w:vAlign w:val="center"/>
                </w:tcPr>
                <w:p w14:paraId="1A4B1AE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50.5</w:t>
                  </w:r>
                </w:p>
              </w:tc>
              <w:tc>
                <w:tcPr>
                  <w:tcW w:w="215" w:type="pct"/>
                  <w:tcBorders>
                    <w:tl2br w:val="nil"/>
                    <w:tr2bl w:val="nil"/>
                  </w:tcBorders>
                  <w:shd w:val="clear" w:color="auto" w:fill="auto"/>
                  <w:tcMar>
                    <w:top w:w="0" w:type="dxa"/>
                    <w:left w:w="0" w:type="dxa"/>
                    <w:bottom w:w="0" w:type="dxa"/>
                    <w:right w:w="0" w:type="dxa"/>
                  </w:tcMar>
                  <w:vAlign w:val="center"/>
                </w:tcPr>
                <w:p w14:paraId="4A8941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61.6</w:t>
                  </w:r>
                </w:p>
              </w:tc>
              <w:tc>
                <w:tcPr>
                  <w:tcW w:w="179" w:type="pct"/>
                  <w:tcBorders>
                    <w:tl2br w:val="nil"/>
                    <w:tr2bl w:val="nil"/>
                  </w:tcBorders>
                  <w:shd w:val="clear" w:color="auto" w:fill="auto"/>
                  <w:tcMar>
                    <w:top w:w="0" w:type="dxa"/>
                    <w:left w:w="0" w:type="dxa"/>
                    <w:bottom w:w="0" w:type="dxa"/>
                    <w:right w:w="0" w:type="dxa"/>
                  </w:tcMar>
                  <w:vAlign w:val="center"/>
                </w:tcPr>
                <w:p w14:paraId="20DEFF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53.5</w:t>
                  </w:r>
                </w:p>
              </w:tc>
              <w:tc>
                <w:tcPr>
                  <w:tcW w:w="204" w:type="pct"/>
                  <w:tcBorders>
                    <w:tl2br w:val="nil"/>
                    <w:tr2bl w:val="nil"/>
                  </w:tcBorders>
                  <w:shd w:val="clear" w:color="auto" w:fill="auto"/>
                  <w:tcMar>
                    <w:top w:w="0" w:type="dxa"/>
                    <w:left w:w="0" w:type="dxa"/>
                    <w:bottom w:w="0" w:type="dxa"/>
                    <w:right w:w="0" w:type="dxa"/>
                  </w:tcMar>
                  <w:vAlign w:val="center"/>
                </w:tcPr>
                <w:p w14:paraId="6CDA68F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47.2</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088F885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524B515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083DFC1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30.5</w:t>
                  </w:r>
                </w:p>
              </w:tc>
              <w:tc>
                <w:tcPr>
                  <w:tcW w:w="210" w:type="pct"/>
                  <w:tcBorders>
                    <w:tl2br w:val="nil"/>
                    <w:tr2bl w:val="nil"/>
                  </w:tcBorders>
                  <w:shd w:val="clear" w:color="auto" w:fill="auto"/>
                  <w:tcMar>
                    <w:top w:w="0" w:type="dxa"/>
                    <w:left w:w="0" w:type="dxa"/>
                    <w:bottom w:w="0" w:type="dxa"/>
                    <w:right w:w="0" w:type="dxa"/>
                  </w:tcMar>
                  <w:vAlign w:val="center"/>
                </w:tcPr>
                <w:p w14:paraId="35417B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41.6</w:t>
                  </w:r>
                </w:p>
              </w:tc>
              <w:tc>
                <w:tcPr>
                  <w:tcW w:w="215" w:type="pct"/>
                  <w:tcBorders>
                    <w:tl2br w:val="nil"/>
                    <w:tr2bl w:val="nil"/>
                  </w:tcBorders>
                  <w:shd w:val="clear" w:color="auto" w:fill="auto"/>
                  <w:tcMar>
                    <w:top w:w="0" w:type="dxa"/>
                    <w:left w:w="0" w:type="dxa"/>
                    <w:bottom w:w="0" w:type="dxa"/>
                    <w:right w:w="0" w:type="dxa"/>
                  </w:tcMar>
                  <w:vAlign w:val="center"/>
                </w:tcPr>
                <w:p w14:paraId="4222238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33.5</w:t>
                  </w:r>
                </w:p>
              </w:tc>
              <w:tc>
                <w:tcPr>
                  <w:tcW w:w="179" w:type="pct"/>
                  <w:tcBorders>
                    <w:tl2br w:val="nil"/>
                    <w:tr2bl w:val="nil"/>
                  </w:tcBorders>
                  <w:shd w:val="clear" w:color="auto" w:fill="auto"/>
                  <w:tcMar>
                    <w:top w:w="0" w:type="dxa"/>
                    <w:left w:w="0" w:type="dxa"/>
                    <w:bottom w:w="0" w:type="dxa"/>
                    <w:right w:w="0" w:type="dxa"/>
                  </w:tcMar>
                  <w:vAlign w:val="center"/>
                </w:tcPr>
                <w:p w14:paraId="5A6276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27.2</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0471C1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66950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2C38A2F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302AA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lang w:val="en-US" w:eastAsia="zh-CN"/>
                    </w:rPr>
                  </w:pPr>
                </w:p>
              </w:tc>
              <w:tc>
                <w:tcPr>
                  <w:tcW w:w="333" w:type="pct"/>
                  <w:tcBorders>
                    <w:tl2br w:val="nil"/>
                    <w:tr2bl w:val="nil"/>
                  </w:tcBorders>
                  <w:shd w:val="clear" w:color="auto" w:fill="auto"/>
                  <w:tcMar>
                    <w:top w:w="0" w:type="dxa"/>
                    <w:left w:w="0" w:type="dxa"/>
                    <w:bottom w:w="0" w:type="dxa"/>
                    <w:right w:w="0" w:type="dxa"/>
                  </w:tcMar>
                  <w:vAlign w:val="center"/>
                </w:tcPr>
                <w:p w14:paraId="2E59AEAE">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烘干房</w:t>
                  </w:r>
                </w:p>
              </w:tc>
              <w:tc>
                <w:tcPr>
                  <w:tcW w:w="215" w:type="pct"/>
                  <w:tcBorders>
                    <w:tl2br w:val="nil"/>
                    <w:tr2bl w:val="nil"/>
                  </w:tcBorders>
                  <w:shd w:val="clear" w:color="auto" w:fill="auto"/>
                  <w:tcMar>
                    <w:top w:w="0" w:type="dxa"/>
                    <w:left w:w="0" w:type="dxa"/>
                    <w:bottom w:w="0" w:type="dxa"/>
                    <w:right w:w="0" w:type="dxa"/>
                  </w:tcMar>
                  <w:vAlign w:val="center"/>
                </w:tcPr>
                <w:p w14:paraId="10437D4F">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424A80DC">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70</w:t>
                  </w:r>
                </w:p>
              </w:tc>
              <w:tc>
                <w:tcPr>
                  <w:tcW w:w="204" w:type="pct"/>
                  <w:tcBorders>
                    <w:tl2br w:val="nil"/>
                    <w:tr2bl w:val="nil"/>
                  </w:tcBorders>
                  <w:shd w:val="clear" w:color="auto" w:fill="auto"/>
                  <w:tcMar>
                    <w:top w:w="0" w:type="dxa"/>
                    <w:left w:w="0" w:type="dxa"/>
                    <w:bottom w:w="0" w:type="dxa"/>
                    <w:right w:w="0" w:type="dxa"/>
                  </w:tcMar>
                  <w:vAlign w:val="center"/>
                </w:tcPr>
                <w:p w14:paraId="0178A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b w:val="0"/>
                      <w:bCs w:val="0"/>
                      <w:color w:val="auto"/>
                      <w:kern w:val="2"/>
                      <w:sz w:val="21"/>
                      <w:szCs w:val="21"/>
                      <w:highlight w:val="none"/>
                      <w:vertAlign w:val="baseline"/>
                      <w:lang w:val="en-US" w:eastAsia="zh-CN" w:bidi="ar-SA"/>
                    </w:rPr>
                  </w:pPr>
                  <w:r>
                    <w:rPr>
                      <w:rFonts w:hint="eastAsia" w:eastAsia="仿宋" w:cs="Times New Roman"/>
                      <w:b w:val="0"/>
                      <w:bCs w:val="0"/>
                      <w:color w:val="auto"/>
                      <w:kern w:val="2"/>
                      <w:sz w:val="21"/>
                      <w:szCs w:val="21"/>
                      <w:highlight w:val="none"/>
                      <w:vertAlign w:val="baseline"/>
                      <w:lang w:val="en-US" w:eastAsia="zh-CN" w:bidi="ar-SA"/>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528E4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 w:val="0"/>
                      <w:bCs w:val="0"/>
                      <w:color w:val="auto"/>
                      <w:kern w:val="2"/>
                      <w:sz w:val="21"/>
                      <w:szCs w:val="21"/>
                      <w:highlight w:val="none"/>
                      <w:vertAlign w:val="baseline"/>
                      <w:lang w:val="en-US" w:eastAsia="zh-CN" w:bidi="ar-SA"/>
                    </w:rPr>
                  </w:pPr>
                </w:p>
              </w:tc>
              <w:tc>
                <w:tcPr>
                  <w:tcW w:w="163" w:type="pct"/>
                  <w:tcBorders>
                    <w:tl2br w:val="nil"/>
                    <w:tr2bl w:val="nil"/>
                  </w:tcBorders>
                  <w:shd w:val="clear" w:color="auto" w:fill="auto"/>
                  <w:tcMar>
                    <w:top w:w="0" w:type="dxa"/>
                    <w:left w:w="0" w:type="dxa"/>
                    <w:bottom w:w="0" w:type="dxa"/>
                    <w:right w:w="0" w:type="dxa"/>
                  </w:tcMar>
                  <w:vAlign w:val="center"/>
                </w:tcPr>
                <w:p w14:paraId="0BF882C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33</w:t>
                  </w:r>
                </w:p>
              </w:tc>
              <w:tc>
                <w:tcPr>
                  <w:tcW w:w="133" w:type="pct"/>
                  <w:tcBorders>
                    <w:tl2br w:val="nil"/>
                    <w:tr2bl w:val="nil"/>
                  </w:tcBorders>
                  <w:shd w:val="clear" w:color="auto" w:fill="auto"/>
                  <w:tcMar>
                    <w:top w:w="0" w:type="dxa"/>
                    <w:left w:w="0" w:type="dxa"/>
                    <w:bottom w:w="0" w:type="dxa"/>
                    <w:right w:w="0" w:type="dxa"/>
                  </w:tcMar>
                  <w:vAlign w:val="center"/>
                </w:tcPr>
                <w:p w14:paraId="6D6951C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48" w:type="pct"/>
                  <w:tcBorders>
                    <w:tl2br w:val="nil"/>
                    <w:tr2bl w:val="nil"/>
                  </w:tcBorders>
                  <w:shd w:val="clear" w:color="auto" w:fill="auto"/>
                  <w:tcMar>
                    <w:top w:w="0" w:type="dxa"/>
                    <w:left w:w="0" w:type="dxa"/>
                    <w:bottom w:w="0" w:type="dxa"/>
                    <w:right w:w="0" w:type="dxa"/>
                  </w:tcMar>
                  <w:vAlign w:val="center"/>
                </w:tcPr>
                <w:p w14:paraId="13BB119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22D46C6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17.8</w:t>
                  </w:r>
                </w:p>
              </w:tc>
              <w:tc>
                <w:tcPr>
                  <w:tcW w:w="169" w:type="pct"/>
                  <w:tcBorders>
                    <w:tl2br w:val="nil"/>
                    <w:tr2bl w:val="nil"/>
                  </w:tcBorders>
                  <w:shd w:val="clear" w:color="auto" w:fill="auto"/>
                  <w:tcMar>
                    <w:top w:w="0" w:type="dxa"/>
                    <w:left w:w="0" w:type="dxa"/>
                    <w:bottom w:w="0" w:type="dxa"/>
                    <w:right w:w="0" w:type="dxa"/>
                  </w:tcMar>
                  <w:vAlign w:val="center"/>
                </w:tcPr>
                <w:p w14:paraId="36259E1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8.3</w:t>
                  </w:r>
                </w:p>
              </w:tc>
              <w:tc>
                <w:tcPr>
                  <w:tcW w:w="174" w:type="pct"/>
                  <w:tcBorders>
                    <w:tl2br w:val="nil"/>
                    <w:tr2bl w:val="nil"/>
                  </w:tcBorders>
                  <w:shd w:val="clear" w:color="auto" w:fill="auto"/>
                  <w:tcMar>
                    <w:top w:w="0" w:type="dxa"/>
                    <w:left w:w="0" w:type="dxa"/>
                    <w:bottom w:w="0" w:type="dxa"/>
                    <w:right w:w="0" w:type="dxa"/>
                  </w:tcMar>
                  <w:vAlign w:val="center"/>
                </w:tcPr>
                <w:p w14:paraId="32B5CED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32.2</w:t>
                  </w:r>
                </w:p>
              </w:tc>
              <w:tc>
                <w:tcPr>
                  <w:tcW w:w="163" w:type="pct"/>
                  <w:tcBorders>
                    <w:tl2br w:val="nil"/>
                    <w:tr2bl w:val="nil"/>
                  </w:tcBorders>
                  <w:shd w:val="clear" w:color="auto" w:fill="auto"/>
                  <w:tcMar>
                    <w:top w:w="0" w:type="dxa"/>
                    <w:left w:w="0" w:type="dxa"/>
                    <w:bottom w:w="0" w:type="dxa"/>
                    <w:right w:w="0" w:type="dxa"/>
                  </w:tcMar>
                  <w:vAlign w:val="center"/>
                </w:tcPr>
                <w:p w14:paraId="2B32283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43.5</w:t>
                  </w:r>
                </w:p>
              </w:tc>
              <w:tc>
                <w:tcPr>
                  <w:tcW w:w="204" w:type="pct"/>
                  <w:tcBorders>
                    <w:tl2br w:val="nil"/>
                    <w:tr2bl w:val="nil"/>
                  </w:tcBorders>
                  <w:shd w:val="clear" w:color="auto" w:fill="auto"/>
                  <w:tcMar>
                    <w:top w:w="0" w:type="dxa"/>
                    <w:left w:w="0" w:type="dxa"/>
                    <w:bottom w:w="0" w:type="dxa"/>
                    <w:right w:w="0" w:type="dxa"/>
                  </w:tcMar>
                  <w:vAlign w:val="center"/>
                </w:tcPr>
                <w:p w14:paraId="3A2A04F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45.0</w:t>
                  </w:r>
                </w:p>
              </w:tc>
              <w:tc>
                <w:tcPr>
                  <w:tcW w:w="215" w:type="pct"/>
                  <w:tcBorders>
                    <w:tl2br w:val="nil"/>
                    <w:tr2bl w:val="nil"/>
                  </w:tcBorders>
                  <w:shd w:val="clear" w:color="auto" w:fill="auto"/>
                  <w:tcMar>
                    <w:top w:w="0" w:type="dxa"/>
                    <w:left w:w="0" w:type="dxa"/>
                    <w:bottom w:w="0" w:type="dxa"/>
                    <w:right w:w="0" w:type="dxa"/>
                  </w:tcMar>
                  <w:vAlign w:val="center"/>
                </w:tcPr>
                <w:p w14:paraId="4B1018C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51.6</w:t>
                  </w:r>
                </w:p>
              </w:tc>
              <w:tc>
                <w:tcPr>
                  <w:tcW w:w="179" w:type="pct"/>
                  <w:tcBorders>
                    <w:tl2br w:val="nil"/>
                    <w:tr2bl w:val="nil"/>
                  </w:tcBorders>
                  <w:shd w:val="clear" w:color="auto" w:fill="auto"/>
                  <w:tcMar>
                    <w:top w:w="0" w:type="dxa"/>
                    <w:left w:w="0" w:type="dxa"/>
                    <w:bottom w:w="0" w:type="dxa"/>
                    <w:right w:w="0" w:type="dxa"/>
                  </w:tcMar>
                  <w:vAlign w:val="center"/>
                </w:tcPr>
                <w:p w14:paraId="3A5311B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39.8</w:t>
                  </w:r>
                </w:p>
              </w:tc>
              <w:tc>
                <w:tcPr>
                  <w:tcW w:w="204" w:type="pct"/>
                  <w:tcBorders>
                    <w:tl2br w:val="nil"/>
                    <w:tr2bl w:val="nil"/>
                  </w:tcBorders>
                  <w:shd w:val="clear" w:color="auto" w:fill="auto"/>
                  <w:tcMar>
                    <w:top w:w="0" w:type="dxa"/>
                    <w:left w:w="0" w:type="dxa"/>
                    <w:bottom w:w="0" w:type="dxa"/>
                    <w:right w:w="0" w:type="dxa"/>
                  </w:tcMar>
                  <w:vAlign w:val="center"/>
                </w:tcPr>
                <w:p w14:paraId="33103B0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37.2</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6B40B7B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46CCEA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2F81457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25.0</w:t>
                  </w:r>
                </w:p>
              </w:tc>
              <w:tc>
                <w:tcPr>
                  <w:tcW w:w="210" w:type="pct"/>
                  <w:tcBorders>
                    <w:tl2br w:val="nil"/>
                    <w:tr2bl w:val="nil"/>
                  </w:tcBorders>
                  <w:shd w:val="clear" w:color="auto" w:fill="auto"/>
                  <w:tcMar>
                    <w:top w:w="0" w:type="dxa"/>
                    <w:left w:w="0" w:type="dxa"/>
                    <w:bottom w:w="0" w:type="dxa"/>
                    <w:right w:w="0" w:type="dxa"/>
                  </w:tcMar>
                  <w:vAlign w:val="center"/>
                </w:tcPr>
                <w:p w14:paraId="0F33CA8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31.6</w:t>
                  </w:r>
                </w:p>
              </w:tc>
              <w:tc>
                <w:tcPr>
                  <w:tcW w:w="215" w:type="pct"/>
                  <w:tcBorders>
                    <w:tl2br w:val="nil"/>
                    <w:tr2bl w:val="nil"/>
                  </w:tcBorders>
                  <w:shd w:val="clear" w:color="auto" w:fill="auto"/>
                  <w:tcMar>
                    <w:top w:w="0" w:type="dxa"/>
                    <w:left w:w="0" w:type="dxa"/>
                    <w:bottom w:w="0" w:type="dxa"/>
                    <w:right w:w="0" w:type="dxa"/>
                  </w:tcMar>
                  <w:vAlign w:val="center"/>
                </w:tcPr>
                <w:p w14:paraId="7C078D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19.8</w:t>
                  </w:r>
                </w:p>
              </w:tc>
              <w:tc>
                <w:tcPr>
                  <w:tcW w:w="179" w:type="pct"/>
                  <w:tcBorders>
                    <w:tl2br w:val="nil"/>
                    <w:tr2bl w:val="nil"/>
                  </w:tcBorders>
                  <w:shd w:val="clear" w:color="auto" w:fill="auto"/>
                  <w:tcMar>
                    <w:top w:w="0" w:type="dxa"/>
                    <w:left w:w="0" w:type="dxa"/>
                    <w:bottom w:w="0" w:type="dxa"/>
                    <w:right w:w="0" w:type="dxa"/>
                  </w:tcMar>
                  <w:vAlign w:val="center"/>
                </w:tcPr>
                <w:p w14:paraId="020669B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17.2</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6235A155">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r>
            <w:tr w14:paraId="4E7F3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52378FF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10</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405AE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7EFDED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纯水制备机</w:t>
                  </w:r>
                </w:p>
              </w:tc>
              <w:tc>
                <w:tcPr>
                  <w:tcW w:w="215" w:type="pct"/>
                  <w:tcBorders>
                    <w:tl2br w:val="nil"/>
                    <w:tr2bl w:val="nil"/>
                  </w:tcBorders>
                  <w:shd w:val="clear" w:color="auto" w:fill="auto"/>
                  <w:tcMar>
                    <w:top w:w="0" w:type="dxa"/>
                    <w:left w:w="0" w:type="dxa"/>
                    <w:bottom w:w="0" w:type="dxa"/>
                    <w:right w:w="0" w:type="dxa"/>
                  </w:tcMar>
                  <w:vAlign w:val="center"/>
                </w:tcPr>
                <w:p w14:paraId="6E8463C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2</w:t>
                  </w:r>
                </w:p>
              </w:tc>
              <w:tc>
                <w:tcPr>
                  <w:tcW w:w="327" w:type="pct"/>
                  <w:tcBorders>
                    <w:tl2br w:val="nil"/>
                    <w:tr2bl w:val="nil"/>
                  </w:tcBorders>
                  <w:shd w:val="clear" w:color="auto" w:fill="auto"/>
                  <w:tcMar>
                    <w:top w:w="0" w:type="dxa"/>
                    <w:left w:w="0" w:type="dxa"/>
                    <w:bottom w:w="0" w:type="dxa"/>
                    <w:right w:w="0" w:type="dxa"/>
                  </w:tcMar>
                  <w:vAlign w:val="center"/>
                </w:tcPr>
                <w:p w14:paraId="3ED0F9B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80（叠加后83.01）</w:t>
                  </w:r>
                </w:p>
              </w:tc>
              <w:tc>
                <w:tcPr>
                  <w:tcW w:w="204" w:type="pct"/>
                  <w:tcBorders>
                    <w:tl2br w:val="nil"/>
                    <w:tr2bl w:val="nil"/>
                  </w:tcBorders>
                  <w:shd w:val="clear" w:color="auto" w:fill="auto"/>
                  <w:tcMar>
                    <w:top w:w="0" w:type="dxa"/>
                    <w:left w:w="0" w:type="dxa"/>
                    <w:bottom w:w="0" w:type="dxa"/>
                    <w:right w:w="0" w:type="dxa"/>
                  </w:tcMar>
                  <w:vAlign w:val="center"/>
                </w:tcPr>
                <w:p w14:paraId="0E4FC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550FC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tcBorders>
                    <w:tl2br w:val="nil"/>
                    <w:tr2bl w:val="nil"/>
                  </w:tcBorders>
                  <w:shd w:val="clear" w:color="auto" w:fill="auto"/>
                  <w:tcMar>
                    <w:top w:w="0" w:type="dxa"/>
                    <w:left w:w="0" w:type="dxa"/>
                    <w:bottom w:w="0" w:type="dxa"/>
                    <w:right w:w="0" w:type="dxa"/>
                  </w:tcMar>
                  <w:vAlign w:val="center"/>
                </w:tcPr>
                <w:p w14:paraId="2C96038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33</w:t>
                  </w:r>
                </w:p>
              </w:tc>
              <w:tc>
                <w:tcPr>
                  <w:tcW w:w="133" w:type="pct"/>
                  <w:tcBorders>
                    <w:tl2br w:val="nil"/>
                    <w:tr2bl w:val="nil"/>
                  </w:tcBorders>
                  <w:shd w:val="clear" w:color="auto" w:fill="auto"/>
                  <w:tcMar>
                    <w:top w:w="0" w:type="dxa"/>
                    <w:left w:w="0" w:type="dxa"/>
                    <w:bottom w:w="0" w:type="dxa"/>
                    <w:right w:w="0" w:type="dxa"/>
                  </w:tcMar>
                  <w:vAlign w:val="center"/>
                </w:tcPr>
                <w:p w14:paraId="00DDFB7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41</w:t>
                  </w:r>
                </w:p>
              </w:tc>
              <w:tc>
                <w:tcPr>
                  <w:tcW w:w="148" w:type="pct"/>
                  <w:tcBorders>
                    <w:tl2br w:val="nil"/>
                    <w:tr2bl w:val="nil"/>
                  </w:tcBorders>
                  <w:shd w:val="clear" w:color="auto" w:fill="auto"/>
                  <w:tcMar>
                    <w:top w:w="0" w:type="dxa"/>
                    <w:left w:w="0" w:type="dxa"/>
                    <w:bottom w:w="0" w:type="dxa"/>
                    <w:right w:w="0" w:type="dxa"/>
                  </w:tcMar>
                  <w:vAlign w:val="center"/>
                </w:tcPr>
                <w:p w14:paraId="2E89B19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1E252C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10.6</w:t>
                  </w:r>
                </w:p>
              </w:tc>
              <w:tc>
                <w:tcPr>
                  <w:tcW w:w="169" w:type="pct"/>
                  <w:tcBorders>
                    <w:tl2br w:val="nil"/>
                    <w:tr2bl w:val="nil"/>
                  </w:tcBorders>
                  <w:shd w:val="clear" w:color="auto" w:fill="auto"/>
                  <w:tcMar>
                    <w:top w:w="0" w:type="dxa"/>
                    <w:left w:w="0" w:type="dxa"/>
                    <w:bottom w:w="0" w:type="dxa"/>
                    <w:right w:w="0" w:type="dxa"/>
                  </w:tcMar>
                  <w:vAlign w:val="center"/>
                </w:tcPr>
                <w:p w14:paraId="200347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48.9</w:t>
                  </w:r>
                </w:p>
              </w:tc>
              <w:tc>
                <w:tcPr>
                  <w:tcW w:w="174" w:type="pct"/>
                  <w:tcBorders>
                    <w:tl2br w:val="nil"/>
                    <w:tr2bl w:val="nil"/>
                  </w:tcBorders>
                  <w:shd w:val="clear" w:color="auto" w:fill="auto"/>
                  <w:tcMar>
                    <w:top w:w="0" w:type="dxa"/>
                    <w:left w:w="0" w:type="dxa"/>
                    <w:bottom w:w="0" w:type="dxa"/>
                    <w:right w:w="0" w:type="dxa"/>
                  </w:tcMar>
                  <w:vAlign w:val="center"/>
                </w:tcPr>
                <w:p w14:paraId="7DA66DD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21.2</w:t>
                  </w:r>
                </w:p>
              </w:tc>
              <w:tc>
                <w:tcPr>
                  <w:tcW w:w="163" w:type="pct"/>
                  <w:tcBorders>
                    <w:tl2br w:val="nil"/>
                    <w:tr2bl w:val="nil"/>
                  </w:tcBorders>
                  <w:shd w:val="clear" w:color="auto" w:fill="auto"/>
                  <w:tcMar>
                    <w:top w:w="0" w:type="dxa"/>
                    <w:left w:w="0" w:type="dxa"/>
                    <w:bottom w:w="0" w:type="dxa"/>
                    <w:right w:w="0" w:type="dxa"/>
                  </w:tcMar>
                  <w:vAlign w:val="center"/>
                </w:tcPr>
                <w:p w14:paraId="0A49A5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2.9</w:t>
                  </w:r>
                </w:p>
              </w:tc>
              <w:tc>
                <w:tcPr>
                  <w:tcW w:w="204" w:type="pct"/>
                  <w:tcBorders>
                    <w:tl2br w:val="nil"/>
                    <w:tr2bl w:val="nil"/>
                  </w:tcBorders>
                  <w:shd w:val="clear" w:color="auto" w:fill="auto"/>
                  <w:tcMar>
                    <w:top w:w="0" w:type="dxa"/>
                    <w:left w:w="0" w:type="dxa"/>
                    <w:bottom w:w="0" w:type="dxa"/>
                    <w:right w:w="0" w:type="dxa"/>
                  </w:tcMar>
                  <w:vAlign w:val="center"/>
                </w:tcPr>
                <w:p w14:paraId="1AF0B8C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59.5</w:t>
                  </w:r>
                </w:p>
              </w:tc>
              <w:tc>
                <w:tcPr>
                  <w:tcW w:w="215" w:type="pct"/>
                  <w:tcBorders>
                    <w:tl2br w:val="nil"/>
                    <w:tr2bl w:val="nil"/>
                  </w:tcBorders>
                  <w:shd w:val="clear" w:color="auto" w:fill="auto"/>
                  <w:tcMar>
                    <w:top w:w="0" w:type="dxa"/>
                    <w:left w:w="0" w:type="dxa"/>
                    <w:bottom w:w="0" w:type="dxa"/>
                    <w:right w:w="0" w:type="dxa"/>
                  </w:tcMar>
                  <w:vAlign w:val="center"/>
                </w:tcPr>
                <w:p w14:paraId="5A92C6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46.2</w:t>
                  </w:r>
                </w:p>
              </w:tc>
              <w:tc>
                <w:tcPr>
                  <w:tcW w:w="179" w:type="pct"/>
                  <w:tcBorders>
                    <w:tl2br w:val="nil"/>
                    <w:tr2bl w:val="nil"/>
                  </w:tcBorders>
                  <w:shd w:val="clear" w:color="auto" w:fill="auto"/>
                  <w:tcMar>
                    <w:top w:w="0" w:type="dxa"/>
                    <w:left w:w="0" w:type="dxa"/>
                    <w:bottom w:w="0" w:type="dxa"/>
                    <w:right w:w="0" w:type="dxa"/>
                  </w:tcMar>
                  <w:vAlign w:val="center"/>
                </w:tcPr>
                <w:p w14:paraId="2E11760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53.5</w:t>
                  </w:r>
                </w:p>
              </w:tc>
              <w:tc>
                <w:tcPr>
                  <w:tcW w:w="204" w:type="pct"/>
                  <w:tcBorders>
                    <w:tl2br w:val="nil"/>
                    <w:tr2bl w:val="nil"/>
                  </w:tcBorders>
                  <w:shd w:val="clear" w:color="auto" w:fill="auto"/>
                  <w:tcMar>
                    <w:top w:w="0" w:type="dxa"/>
                    <w:left w:w="0" w:type="dxa"/>
                    <w:bottom w:w="0" w:type="dxa"/>
                    <w:right w:w="0" w:type="dxa"/>
                  </w:tcMar>
                  <w:vAlign w:val="center"/>
                </w:tcPr>
                <w:p w14:paraId="2BE3C6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70.8</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2F879E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1213724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748414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39.5</w:t>
                  </w:r>
                </w:p>
              </w:tc>
              <w:tc>
                <w:tcPr>
                  <w:tcW w:w="210" w:type="pct"/>
                  <w:tcBorders>
                    <w:tl2br w:val="nil"/>
                    <w:tr2bl w:val="nil"/>
                  </w:tcBorders>
                  <w:shd w:val="clear" w:color="auto" w:fill="auto"/>
                  <w:tcMar>
                    <w:top w:w="0" w:type="dxa"/>
                    <w:left w:w="0" w:type="dxa"/>
                    <w:bottom w:w="0" w:type="dxa"/>
                    <w:right w:w="0" w:type="dxa"/>
                  </w:tcMar>
                  <w:vAlign w:val="center"/>
                </w:tcPr>
                <w:p w14:paraId="57FF172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26.2</w:t>
                  </w:r>
                </w:p>
              </w:tc>
              <w:tc>
                <w:tcPr>
                  <w:tcW w:w="215" w:type="pct"/>
                  <w:tcBorders>
                    <w:tl2br w:val="nil"/>
                    <w:tr2bl w:val="nil"/>
                  </w:tcBorders>
                  <w:shd w:val="clear" w:color="auto" w:fill="auto"/>
                  <w:tcMar>
                    <w:top w:w="0" w:type="dxa"/>
                    <w:left w:w="0" w:type="dxa"/>
                    <w:bottom w:w="0" w:type="dxa"/>
                    <w:right w:w="0" w:type="dxa"/>
                  </w:tcMar>
                  <w:vAlign w:val="center"/>
                </w:tcPr>
                <w:p w14:paraId="23998D4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33.5</w:t>
                  </w:r>
                </w:p>
              </w:tc>
              <w:tc>
                <w:tcPr>
                  <w:tcW w:w="179" w:type="pct"/>
                  <w:tcBorders>
                    <w:tl2br w:val="nil"/>
                    <w:tr2bl w:val="nil"/>
                  </w:tcBorders>
                  <w:shd w:val="clear" w:color="auto" w:fill="auto"/>
                  <w:tcMar>
                    <w:top w:w="0" w:type="dxa"/>
                    <w:left w:w="0" w:type="dxa"/>
                    <w:bottom w:w="0" w:type="dxa"/>
                    <w:right w:w="0" w:type="dxa"/>
                  </w:tcMar>
                  <w:vAlign w:val="center"/>
                </w:tcPr>
                <w:p w14:paraId="7AA7833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50.8</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E50BCB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p>
              </w:tc>
            </w:tr>
            <w:tr w14:paraId="17C5C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579B67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11</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20467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5F781981">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废水处理设施</w:t>
                  </w:r>
                </w:p>
              </w:tc>
              <w:tc>
                <w:tcPr>
                  <w:tcW w:w="215" w:type="pct"/>
                  <w:tcBorders>
                    <w:tl2br w:val="nil"/>
                    <w:tr2bl w:val="nil"/>
                  </w:tcBorders>
                  <w:shd w:val="clear" w:color="auto" w:fill="auto"/>
                  <w:tcMar>
                    <w:top w:w="0" w:type="dxa"/>
                    <w:left w:w="0" w:type="dxa"/>
                    <w:bottom w:w="0" w:type="dxa"/>
                    <w:right w:w="0" w:type="dxa"/>
                  </w:tcMar>
                  <w:vAlign w:val="center"/>
                </w:tcPr>
                <w:p w14:paraId="16BBC3D0">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2B11558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85</w:t>
                  </w:r>
                </w:p>
              </w:tc>
              <w:tc>
                <w:tcPr>
                  <w:tcW w:w="204" w:type="pct"/>
                  <w:tcBorders>
                    <w:tl2br w:val="nil"/>
                    <w:tr2bl w:val="nil"/>
                  </w:tcBorders>
                  <w:shd w:val="clear" w:color="auto" w:fill="auto"/>
                  <w:tcMar>
                    <w:top w:w="0" w:type="dxa"/>
                    <w:left w:w="0" w:type="dxa"/>
                    <w:bottom w:w="0" w:type="dxa"/>
                    <w:right w:w="0" w:type="dxa"/>
                  </w:tcMar>
                  <w:vAlign w:val="center"/>
                </w:tcPr>
                <w:p w14:paraId="5DDE1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1532E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tcBorders>
                    <w:tl2br w:val="nil"/>
                    <w:tr2bl w:val="nil"/>
                  </w:tcBorders>
                  <w:shd w:val="clear" w:color="auto" w:fill="auto"/>
                  <w:tcMar>
                    <w:top w:w="0" w:type="dxa"/>
                    <w:left w:w="0" w:type="dxa"/>
                    <w:bottom w:w="0" w:type="dxa"/>
                    <w:right w:w="0" w:type="dxa"/>
                  </w:tcMar>
                  <w:vAlign w:val="center"/>
                </w:tcPr>
                <w:p w14:paraId="6715B0A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6</w:t>
                  </w:r>
                </w:p>
              </w:tc>
              <w:tc>
                <w:tcPr>
                  <w:tcW w:w="133" w:type="pct"/>
                  <w:tcBorders>
                    <w:tl2br w:val="nil"/>
                    <w:tr2bl w:val="nil"/>
                  </w:tcBorders>
                  <w:shd w:val="clear" w:color="auto" w:fill="auto"/>
                  <w:tcMar>
                    <w:top w:w="0" w:type="dxa"/>
                    <w:left w:w="0" w:type="dxa"/>
                    <w:bottom w:w="0" w:type="dxa"/>
                    <w:right w:w="0" w:type="dxa"/>
                  </w:tcMar>
                  <w:vAlign w:val="center"/>
                </w:tcPr>
                <w:p w14:paraId="09D64FE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7</w:t>
                  </w:r>
                </w:p>
              </w:tc>
              <w:tc>
                <w:tcPr>
                  <w:tcW w:w="148" w:type="pct"/>
                  <w:tcBorders>
                    <w:tl2br w:val="nil"/>
                    <w:tr2bl w:val="nil"/>
                  </w:tcBorders>
                  <w:shd w:val="clear" w:color="auto" w:fill="auto"/>
                  <w:tcMar>
                    <w:top w:w="0" w:type="dxa"/>
                    <w:left w:w="0" w:type="dxa"/>
                    <w:bottom w:w="0" w:type="dxa"/>
                    <w:right w:w="0" w:type="dxa"/>
                  </w:tcMar>
                  <w:vAlign w:val="center"/>
                </w:tcPr>
                <w:p w14:paraId="265DC39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011164C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46.7</w:t>
                  </w:r>
                </w:p>
              </w:tc>
              <w:tc>
                <w:tcPr>
                  <w:tcW w:w="169" w:type="pct"/>
                  <w:tcBorders>
                    <w:tl2br w:val="nil"/>
                    <w:tr2bl w:val="nil"/>
                  </w:tcBorders>
                  <w:shd w:val="clear" w:color="auto" w:fill="auto"/>
                  <w:tcMar>
                    <w:top w:w="0" w:type="dxa"/>
                    <w:left w:w="0" w:type="dxa"/>
                    <w:bottom w:w="0" w:type="dxa"/>
                    <w:right w:w="0" w:type="dxa"/>
                  </w:tcMar>
                  <w:vAlign w:val="center"/>
                </w:tcPr>
                <w:p w14:paraId="4D4A590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8.8</w:t>
                  </w:r>
                </w:p>
              </w:tc>
              <w:tc>
                <w:tcPr>
                  <w:tcW w:w="174" w:type="pct"/>
                  <w:tcBorders>
                    <w:tl2br w:val="nil"/>
                    <w:tr2bl w:val="nil"/>
                  </w:tcBorders>
                  <w:shd w:val="clear" w:color="auto" w:fill="auto"/>
                  <w:tcMar>
                    <w:top w:w="0" w:type="dxa"/>
                    <w:left w:w="0" w:type="dxa"/>
                    <w:bottom w:w="0" w:type="dxa"/>
                    <w:right w:w="0" w:type="dxa"/>
                  </w:tcMar>
                  <w:vAlign w:val="center"/>
                </w:tcPr>
                <w:p w14:paraId="45B0FB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4.4</w:t>
                  </w:r>
                </w:p>
              </w:tc>
              <w:tc>
                <w:tcPr>
                  <w:tcW w:w="163" w:type="pct"/>
                  <w:tcBorders>
                    <w:tl2br w:val="nil"/>
                    <w:tr2bl w:val="nil"/>
                  </w:tcBorders>
                  <w:shd w:val="clear" w:color="auto" w:fill="auto"/>
                  <w:tcMar>
                    <w:top w:w="0" w:type="dxa"/>
                    <w:left w:w="0" w:type="dxa"/>
                    <w:bottom w:w="0" w:type="dxa"/>
                    <w:right w:w="0" w:type="dxa"/>
                  </w:tcMar>
                  <w:vAlign w:val="center"/>
                </w:tcPr>
                <w:p w14:paraId="4A79E7A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15.4</w:t>
                  </w:r>
                </w:p>
              </w:tc>
              <w:tc>
                <w:tcPr>
                  <w:tcW w:w="204" w:type="pct"/>
                  <w:tcBorders>
                    <w:tl2br w:val="nil"/>
                    <w:tr2bl w:val="nil"/>
                  </w:tcBorders>
                  <w:shd w:val="clear" w:color="auto" w:fill="auto"/>
                  <w:tcMar>
                    <w:top w:w="0" w:type="dxa"/>
                    <w:left w:w="0" w:type="dxa"/>
                    <w:bottom w:w="0" w:type="dxa"/>
                    <w:right w:w="0" w:type="dxa"/>
                  </w:tcMar>
                  <w:vAlign w:val="center"/>
                </w:tcPr>
                <w:p w14:paraId="2C9ED8A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51.6</w:t>
                  </w:r>
                </w:p>
              </w:tc>
              <w:tc>
                <w:tcPr>
                  <w:tcW w:w="215" w:type="pct"/>
                  <w:tcBorders>
                    <w:tl2br w:val="nil"/>
                    <w:tr2bl w:val="nil"/>
                  </w:tcBorders>
                  <w:shd w:val="clear" w:color="auto" w:fill="auto"/>
                  <w:tcMar>
                    <w:top w:w="0" w:type="dxa"/>
                    <w:left w:w="0" w:type="dxa"/>
                    <w:bottom w:w="0" w:type="dxa"/>
                    <w:right w:w="0" w:type="dxa"/>
                  </w:tcMar>
                  <w:vAlign w:val="center"/>
                </w:tcPr>
                <w:p w14:paraId="61339A7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66.1</w:t>
                  </w:r>
                </w:p>
              </w:tc>
              <w:tc>
                <w:tcPr>
                  <w:tcW w:w="179" w:type="pct"/>
                  <w:tcBorders>
                    <w:tl2br w:val="nil"/>
                    <w:tr2bl w:val="nil"/>
                  </w:tcBorders>
                  <w:shd w:val="clear" w:color="auto" w:fill="auto"/>
                  <w:tcMar>
                    <w:top w:w="0" w:type="dxa"/>
                    <w:left w:w="0" w:type="dxa"/>
                    <w:bottom w:w="0" w:type="dxa"/>
                    <w:right w:w="0" w:type="dxa"/>
                  </w:tcMar>
                  <w:vAlign w:val="center"/>
                </w:tcPr>
                <w:p w14:paraId="6865D32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72.1</w:t>
                  </w:r>
                </w:p>
              </w:tc>
              <w:tc>
                <w:tcPr>
                  <w:tcW w:w="204" w:type="pct"/>
                  <w:tcBorders>
                    <w:tl2br w:val="nil"/>
                    <w:tr2bl w:val="nil"/>
                  </w:tcBorders>
                  <w:shd w:val="clear" w:color="auto" w:fill="auto"/>
                  <w:tcMar>
                    <w:top w:w="0" w:type="dxa"/>
                    <w:left w:w="0" w:type="dxa"/>
                    <w:bottom w:w="0" w:type="dxa"/>
                    <w:right w:w="0" w:type="dxa"/>
                  </w:tcMar>
                  <w:vAlign w:val="center"/>
                </w:tcPr>
                <w:p w14:paraId="50303CA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61.2</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11FA9C0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70A3C2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563DF94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31.6</w:t>
                  </w:r>
                </w:p>
              </w:tc>
              <w:tc>
                <w:tcPr>
                  <w:tcW w:w="210" w:type="pct"/>
                  <w:tcBorders>
                    <w:tl2br w:val="nil"/>
                    <w:tr2bl w:val="nil"/>
                  </w:tcBorders>
                  <w:shd w:val="clear" w:color="auto" w:fill="auto"/>
                  <w:tcMar>
                    <w:top w:w="0" w:type="dxa"/>
                    <w:left w:w="0" w:type="dxa"/>
                    <w:bottom w:w="0" w:type="dxa"/>
                    <w:right w:w="0" w:type="dxa"/>
                  </w:tcMar>
                  <w:vAlign w:val="center"/>
                </w:tcPr>
                <w:p w14:paraId="1C90E25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46.1</w:t>
                  </w:r>
                </w:p>
              </w:tc>
              <w:tc>
                <w:tcPr>
                  <w:tcW w:w="215" w:type="pct"/>
                  <w:tcBorders>
                    <w:tl2br w:val="nil"/>
                    <w:tr2bl w:val="nil"/>
                  </w:tcBorders>
                  <w:shd w:val="clear" w:color="auto" w:fill="auto"/>
                  <w:tcMar>
                    <w:top w:w="0" w:type="dxa"/>
                    <w:left w:w="0" w:type="dxa"/>
                    <w:bottom w:w="0" w:type="dxa"/>
                    <w:right w:w="0" w:type="dxa"/>
                  </w:tcMar>
                  <w:vAlign w:val="center"/>
                </w:tcPr>
                <w:p w14:paraId="482058A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52.1</w:t>
                  </w:r>
                </w:p>
              </w:tc>
              <w:tc>
                <w:tcPr>
                  <w:tcW w:w="179" w:type="pct"/>
                  <w:tcBorders>
                    <w:tl2br w:val="nil"/>
                    <w:tr2bl w:val="nil"/>
                  </w:tcBorders>
                  <w:shd w:val="clear" w:color="auto" w:fill="auto"/>
                  <w:tcMar>
                    <w:top w:w="0" w:type="dxa"/>
                    <w:left w:w="0" w:type="dxa"/>
                    <w:bottom w:w="0" w:type="dxa"/>
                    <w:right w:w="0" w:type="dxa"/>
                  </w:tcMar>
                  <w:vAlign w:val="center"/>
                </w:tcPr>
                <w:p w14:paraId="66D5E38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41.2</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F52BDB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p>
              </w:tc>
            </w:tr>
            <w:tr w14:paraId="7D11A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0CC15FC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12</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45728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18AD8BDF">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滤芯除尘</w:t>
                  </w:r>
                </w:p>
              </w:tc>
              <w:tc>
                <w:tcPr>
                  <w:tcW w:w="215" w:type="pct"/>
                  <w:tcBorders>
                    <w:tl2br w:val="nil"/>
                    <w:tr2bl w:val="nil"/>
                  </w:tcBorders>
                  <w:shd w:val="clear" w:color="auto" w:fill="auto"/>
                  <w:tcMar>
                    <w:top w:w="0" w:type="dxa"/>
                    <w:left w:w="0" w:type="dxa"/>
                    <w:bottom w:w="0" w:type="dxa"/>
                    <w:right w:w="0" w:type="dxa"/>
                  </w:tcMar>
                  <w:vAlign w:val="center"/>
                </w:tcPr>
                <w:p w14:paraId="7A58D6E1">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4CA57BC7">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80</w:t>
                  </w:r>
                </w:p>
              </w:tc>
              <w:tc>
                <w:tcPr>
                  <w:tcW w:w="204" w:type="pct"/>
                  <w:tcBorders>
                    <w:tl2br w:val="nil"/>
                    <w:tr2bl w:val="nil"/>
                  </w:tcBorders>
                  <w:shd w:val="clear" w:color="auto" w:fill="auto"/>
                  <w:tcMar>
                    <w:top w:w="0" w:type="dxa"/>
                    <w:left w:w="0" w:type="dxa"/>
                    <w:bottom w:w="0" w:type="dxa"/>
                    <w:right w:w="0" w:type="dxa"/>
                  </w:tcMar>
                  <w:vAlign w:val="center"/>
                </w:tcPr>
                <w:p w14:paraId="326DB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5E0D1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tcBorders>
                    <w:tl2br w:val="nil"/>
                    <w:tr2bl w:val="nil"/>
                  </w:tcBorders>
                  <w:shd w:val="clear" w:color="auto" w:fill="auto"/>
                  <w:tcMar>
                    <w:top w:w="0" w:type="dxa"/>
                    <w:left w:w="0" w:type="dxa"/>
                    <w:bottom w:w="0" w:type="dxa"/>
                    <w:right w:w="0" w:type="dxa"/>
                  </w:tcMar>
                  <w:vAlign w:val="center"/>
                </w:tcPr>
                <w:p w14:paraId="19017F3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16</w:t>
                  </w:r>
                </w:p>
              </w:tc>
              <w:tc>
                <w:tcPr>
                  <w:tcW w:w="133" w:type="pct"/>
                  <w:tcBorders>
                    <w:tl2br w:val="nil"/>
                    <w:tr2bl w:val="nil"/>
                  </w:tcBorders>
                  <w:shd w:val="clear" w:color="auto" w:fill="auto"/>
                  <w:tcMar>
                    <w:top w:w="0" w:type="dxa"/>
                    <w:left w:w="0" w:type="dxa"/>
                    <w:bottom w:w="0" w:type="dxa"/>
                    <w:right w:w="0" w:type="dxa"/>
                  </w:tcMar>
                  <w:vAlign w:val="center"/>
                </w:tcPr>
                <w:p w14:paraId="7D6DA2C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tc>
              <w:tc>
                <w:tcPr>
                  <w:tcW w:w="148" w:type="pct"/>
                  <w:tcBorders>
                    <w:tl2br w:val="nil"/>
                    <w:tr2bl w:val="nil"/>
                  </w:tcBorders>
                  <w:shd w:val="clear" w:color="auto" w:fill="auto"/>
                  <w:tcMar>
                    <w:top w:w="0" w:type="dxa"/>
                    <w:left w:w="0" w:type="dxa"/>
                    <w:bottom w:w="0" w:type="dxa"/>
                    <w:right w:w="0" w:type="dxa"/>
                  </w:tcMar>
                  <w:vAlign w:val="center"/>
                </w:tcPr>
                <w:p w14:paraId="064DA52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5DB602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37.5</w:t>
                  </w:r>
                </w:p>
              </w:tc>
              <w:tc>
                <w:tcPr>
                  <w:tcW w:w="169" w:type="pct"/>
                  <w:tcBorders>
                    <w:tl2br w:val="nil"/>
                    <w:tr2bl w:val="nil"/>
                  </w:tcBorders>
                  <w:shd w:val="clear" w:color="auto" w:fill="auto"/>
                  <w:tcMar>
                    <w:top w:w="0" w:type="dxa"/>
                    <w:left w:w="0" w:type="dxa"/>
                    <w:bottom w:w="0" w:type="dxa"/>
                    <w:right w:w="0" w:type="dxa"/>
                  </w:tcMar>
                  <w:vAlign w:val="center"/>
                </w:tcPr>
                <w:p w14:paraId="0542F92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14.2</w:t>
                  </w:r>
                </w:p>
              </w:tc>
              <w:tc>
                <w:tcPr>
                  <w:tcW w:w="174" w:type="pct"/>
                  <w:tcBorders>
                    <w:tl2br w:val="nil"/>
                    <w:tr2bl w:val="nil"/>
                  </w:tcBorders>
                  <w:shd w:val="clear" w:color="auto" w:fill="auto"/>
                  <w:tcMar>
                    <w:top w:w="0" w:type="dxa"/>
                    <w:left w:w="0" w:type="dxa"/>
                    <w:bottom w:w="0" w:type="dxa"/>
                    <w:right w:w="0" w:type="dxa"/>
                  </w:tcMar>
                  <w:vAlign w:val="center"/>
                </w:tcPr>
                <w:p w14:paraId="6D9BBBE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13.6</w:t>
                  </w:r>
                </w:p>
              </w:tc>
              <w:tc>
                <w:tcPr>
                  <w:tcW w:w="163" w:type="pct"/>
                  <w:tcBorders>
                    <w:tl2br w:val="nil"/>
                    <w:tr2bl w:val="nil"/>
                  </w:tcBorders>
                  <w:shd w:val="clear" w:color="auto" w:fill="auto"/>
                  <w:tcMar>
                    <w:top w:w="0" w:type="dxa"/>
                    <w:left w:w="0" w:type="dxa"/>
                    <w:bottom w:w="0" w:type="dxa"/>
                    <w:right w:w="0" w:type="dxa"/>
                  </w:tcMar>
                  <w:vAlign w:val="center"/>
                </w:tcPr>
                <w:p w14:paraId="18BA598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37.9</w:t>
                  </w:r>
                </w:p>
              </w:tc>
              <w:tc>
                <w:tcPr>
                  <w:tcW w:w="204" w:type="pct"/>
                  <w:tcBorders>
                    <w:tl2br w:val="nil"/>
                    <w:tr2bl w:val="nil"/>
                  </w:tcBorders>
                  <w:shd w:val="clear" w:color="auto" w:fill="auto"/>
                  <w:tcMar>
                    <w:top w:w="0" w:type="dxa"/>
                    <w:left w:w="0" w:type="dxa"/>
                    <w:bottom w:w="0" w:type="dxa"/>
                    <w:right w:w="0" w:type="dxa"/>
                  </w:tcMar>
                  <w:vAlign w:val="center"/>
                </w:tcPr>
                <w:p w14:paraId="65BC5E0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48.5</w:t>
                  </w:r>
                </w:p>
              </w:tc>
              <w:tc>
                <w:tcPr>
                  <w:tcW w:w="215" w:type="pct"/>
                  <w:tcBorders>
                    <w:tl2br w:val="nil"/>
                    <w:tr2bl w:val="nil"/>
                  </w:tcBorders>
                  <w:shd w:val="clear" w:color="auto" w:fill="auto"/>
                  <w:tcMar>
                    <w:top w:w="0" w:type="dxa"/>
                    <w:left w:w="0" w:type="dxa"/>
                    <w:bottom w:w="0" w:type="dxa"/>
                    <w:right w:w="0" w:type="dxa"/>
                  </w:tcMar>
                  <w:vAlign w:val="center"/>
                </w:tcPr>
                <w:p w14:paraId="2B83308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57.0</w:t>
                  </w:r>
                </w:p>
              </w:tc>
              <w:tc>
                <w:tcPr>
                  <w:tcW w:w="179" w:type="pct"/>
                  <w:tcBorders>
                    <w:tl2br w:val="nil"/>
                    <w:tr2bl w:val="nil"/>
                  </w:tcBorders>
                  <w:shd w:val="clear" w:color="auto" w:fill="auto"/>
                  <w:tcMar>
                    <w:top w:w="0" w:type="dxa"/>
                    <w:left w:w="0" w:type="dxa"/>
                    <w:bottom w:w="0" w:type="dxa"/>
                    <w:right w:w="0" w:type="dxa"/>
                  </w:tcMar>
                  <w:vAlign w:val="center"/>
                </w:tcPr>
                <w:p w14:paraId="0F6957A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57.3</w:t>
                  </w:r>
                </w:p>
              </w:tc>
              <w:tc>
                <w:tcPr>
                  <w:tcW w:w="204" w:type="pct"/>
                  <w:tcBorders>
                    <w:tl2br w:val="nil"/>
                    <w:tr2bl w:val="nil"/>
                  </w:tcBorders>
                  <w:shd w:val="clear" w:color="auto" w:fill="auto"/>
                  <w:tcMar>
                    <w:top w:w="0" w:type="dxa"/>
                    <w:left w:w="0" w:type="dxa"/>
                    <w:bottom w:w="0" w:type="dxa"/>
                    <w:right w:w="0" w:type="dxa"/>
                  </w:tcMar>
                  <w:vAlign w:val="center"/>
                </w:tcPr>
                <w:p w14:paraId="4127C24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48.4</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6E042F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66D0011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20</w:t>
                  </w:r>
                </w:p>
              </w:tc>
              <w:tc>
                <w:tcPr>
                  <w:tcW w:w="190" w:type="pct"/>
                  <w:tcBorders>
                    <w:tl2br w:val="nil"/>
                    <w:tr2bl w:val="nil"/>
                  </w:tcBorders>
                  <w:shd w:val="clear" w:color="auto" w:fill="auto"/>
                  <w:tcMar>
                    <w:top w:w="0" w:type="dxa"/>
                    <w:left w:w="0" w:type="dxa"/>
                    <w:bottom w:w="0" w:type="dxa"/>
                    <w:right w:w="0" w:type="dxa"/>
                  </w:tcMar>
                  <w:vAlign w:val="center"/>
                </w:tcPr>
                <w:p w14:paraId="0CDDACA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28.5</w:t>
                  </w:r>
                </w:p>
              </w:tc>
              <w:tc>
                <w:tcPr>
                  <w:tcW w:w="210" w:type="pct"/>
                  <w:tcBorders>
                    <w:tl2br w:val="nil"/>
                    <w:tr2bl w:val="nil"/>
                  </w:tcBorders>
                  <w:shd w:val="clear" w:color="auto" w:fill="auto"/>
                  <w:tcMar>
                    <w:top w:w="0" w:type="dxa"/>
                    <w:left w:w="0" w:type="dxa"/>
                    <w:bottom w:w="0" w:type="dxa"/>
                    <w:right w:w="0" w:type="dxa"/>
                  </w:tcMar>
                  <w:vAlign w:val="center"/>
                </w:tcPr>
                <w:p w14:paraId="7D74E8F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37.0</w:t>
                  </w:r>
                </w:p>
              </w:tc>
              <w:tc>
                <w:tcPr>
                  <w:tcW w:w="215" w:type="pct"/>
                  <w:tcBorders>
                    <w:tl2br w:val="nil"/>
                    <w:tr2bl w:val="nil"/>
                  </w:tcBorders>
                  <w:shd w:val="clear" w:color="auto" w:fill="auto"/>
                  <w:tcMar>
                    <w:top w:w="0" w:type="dxa"/>
                    <w:left w:w="0" w:type="dxa"/>
                    <w:bottom w:w="0" w:type="dxa"/>
                    <w:right w:w="0" w:type="dxa"/>
                  </w:tcMar>
                  <w:vAlign w:val="center"/>
                </w:tcPr>
                <w:p w14:paraId="7CCFE05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37.3</w:t>
                  </w:r>
                </w:p>
              </w:tc>
              <w:tc>
                <w:tcPr>
                  <w:tcW w:w="179" w:type="pct"/>
                  <w:tcBorders>
                    <w:tl2br w:val="nil"/>
                    <w:tr2bl w:val="nil"/>
                  </w:tcBorders>
                  <w:shd w:val="clear" w:color="auto" w:fill="auto"/>
                  <w:tcMar>
                    <w:top w:w="0" w:type="dxa"/>
                    <w:left w:w="0" w:type="dxa"/>
                    <w:bottom w:w="0" w:type="dxa"/>
                    <w:right w:w="0" w:type="dxa"/>
                  </w:tcMar>
                  <w:vAlign w:val="center"/>
                </w:tcPr>
                <w:p w14:paraId="0C7F152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28.4</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16B4870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p>
              </w:tc>
            </w:tr>
            <w:tr w14:paraId="7634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279044DB">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13</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1E4A3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7259D7EC">
                  <w:pPr>
                    <w:keepNext w:val="0"/>
                    <w:keepLines w:val="0"/>
                    <w:widowControl/>
                    <w:suppressLineNumbers w:val="0"/>
                    <w:jc w:val="center"/>
                    <w:textAlignment w:val="center"/>
                    <w:rPr>
                      <w:rFonts w:hint="eastAsia"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空压机</w:t>
                  </w:r>
                </w:p>
              </w:tc>
              <w:tc>
                <w:tcPr>
                  <w:tcW w:w="215" w:type="pct"/>
                  <w:tcBorders>
                    <w:tl2br w:val="nil"/>
                    <w:tr2bl w:val="nil"/>
                  </w:tcBorders>
                  <w:shd w:val="clear" w:color="auto" w:fill="auto"/>
                  <w:tcMar>
                    <w:top w:w="0" w:type="dxa"/>
                    <w:left w:w="0" w:type="dxa"/>
                    <w:bottom w:w="0" w:type="dxa"/>
                    <w:right w:w="0" w:type="dxa"/>
                  </w:tcMar>
                  <w:vAlign w:val="center"/>
                </w:tcPr>
                <w:p w14:paraId="6634A876">
                  <w:pPr>
                    <w:widowControl/>
                    <w:jc w:val="center"/>
                    <w:textAlignment w:val="center"/>
                    <w:rPr>
                      <w:rFonts w:hint="eastAsia" w:eastAsia="仿宋"/>
                      <w:color w:val="auto"/>
                      <w:kern w:val="0"/>
                      <w:szCs w:val="21"/>
                      <w:highlight w:val="none"/>
                      <w:u w:val="none"/>
                      <w:lang w:val="en-US" w:eastAsia="zh-CN" w:bidi="ar"/>
                    </w:rPr>
                  </w:pPr>
                  <w:r>
                    <w:rPr>
                      <w:rFonts w:hint="eastAsia" w:eastAsia="仿宋"/>
                      <w:color w:val="auto"/>
                      <w:kern w:val="0"/>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225AD9F8">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2"/>
                      <w:sz w:val="21"/>
                      <w:szCs w:val="21"/>
                      <w:highlight w:val="none"/>
                      <w:lang w:val="en-US" w:eastAsia="zh-CN" w:bidi="ar-SA"/>
                    </w:rPr>
                    <w:t>85</w:t>
                  </w:r>
                </w:p>
              </w:tc>
              <w:tc>
                <w:tcPr>
                  <w:tcW w:w="204" w:type="pct"/>
                  <w:tcBorders>
                    <w:tl2br w:val="nil"/>
                    <w:tr2bl w:val="nil"/>
                  </w:tcBorders>
                  <w:shd w:val="clear" w:color="auto" w:fill="auto"/>
                  <w:tcMar>
                    <w:top w:w="0" w:type="dxa"/>
                    <w:left w:w="0" w:type="dxa"/>
                    <w:bottom w:w="0" w:type="dxa"/>
                    <w:right w:w="0" w:type="dxa"/>
                  </w:tcMar>
                  <w:vAlign w:val="center"/>
                </w:tcPr>
                <w:p w14:paraId="695EF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54A3E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仿宋" w:cs="Times New Roman"/>
                      <w:color w:val="auto"/>
                      <w:kern w:val="0"/>
                      <w:sz w:val="21"/>
                      <w:szCs w:val="21"/>
                      <w:highlight w:val="none"/>
                      <w:u w:val="none"/>
                      <w:lang w:bidi="ar"/>
                    </w:rPr>
                  </w:pPr>
                </w:p>
              </w:tc>
              <w:tc>
                <w:tcPr>
                  <w:tcW w:w="163" w:type="pct"/>
                  <w:tcBorders>
                    <w:tl2br w:val="nil"/>
                    <w:tr2bl w:val="nil"/>
                  </w:tcBorders>
                  <w:shd w:val="clear" w:color="auto" w:fill="auto"/>
                  <w:tcMar>
                    <w:top w:w="0" w:type="dxa"/>
                    <w:left w:w="0" w:type="dxa"/>
                    <w:bottom w:w="0" w:type="dxa"/>
                    <w:right w:w="0" w:type="dxa"/>
                  </w:tcMar>
                  <w:vAlign w:val="center"/>
                </w:tcPr>
                <w:p w14:paraId="509344F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29</w:t>
                  </w:r>
                </w:p>
              </w:tc>
              <w:tc>
                <w:tcPr>
                  <w:tcW w:w="133" w:type="pct"/>
                  <w:tcBorders>
                    <w:tl2br w:val="nil"/>
                    <w:tr2bl w:val="nil"/>
                  </w:tcBorders>
                  <w:shd w:val="clear" w:color="auto" w:fill="auto"/>
                  <w:tcMar>
                    <w:top w:w="0" w:type="dxa"/>
                    <w:left w:w="0" w:type="dxa"/>
                    <w:bottom w:w="0" w:type="dxa"/>
                    <w:right w:w="0" w:type="dxa"/>
                  </w:tcMar>
                  <w:vAlign w:val="center"/>
                </w:tcPr>
                <w:p w14:paraId="189D527A">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w:t>
                  </w:r>
                </w:p>
              </w:tc>
              <w:tc>
                <w:tcPr>
                  <w:tcW w:w="148" w:type="pct"/>
                  <w:tcBorders>
                    <w:tl2br w:val="nil"/>
                    <w:tr2bl w:val="nil"/>
                  </w:tcBorders>
                  <w:shd w:val="clear" w:color="auto" w:fill="auto"/>
                  <w:tcMar>
                    <w:top w:w="0" w:type="dxa"/>
                    <w:left w:w="0" w:type="dxa"/>
                    <w:bottom w:w="0" w:type="dxa"/>
                    <w:right w:w="0" w:type="dxa"/>
                  </w:tcMar>
                  <w:vAlign w:val="center"/>
                </w:tcPr>
                <w:p w14:paraId="0EAA0710">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1</w:t>
                  </w:r>
                </w:p>
              </w:tc>
              <w:tc>
                <w:tcPr>
                  <w:tcW w:w="156" w:type="pct"/>
                  <w:tcBorders>
                    <w:tl2br w:val="nil"/>
                    <w:tr2bl w:val="nil"/>
                  </w:tcBorders>
                  <w:shd w:val="clear" w:color="auto" w:fill="auto"/>
                  <w:tcMar>
                    <w:top w:w="0" w:type="dxa"/>
                    <w:left w:w="0" w:type="dxa"/>
                    <w:bottom w:w="0" w:type="dxa"/>
                    <w:right w:w="0" w:type="dxa"/>
                  </w:tcMar>
                  <w:vAlign w:val="center"/>
                </w:tcPr>
                <w:p w14:paraId="5883E89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23.4</w:t>
                  </w:r>
                </w:p>
              </w:tc>
              <w:tc>
                <w:tcPr>
                  <w:tcW w:w="169" w:type="pct"/>
                  <w:tcBorders>
                    <w:tl2br w:val="nil"/>
                    <w:tr2bl w:val="nil"/>
                  </w:tcBorders>
                  <w:shd w:val="clear" w:color="auto" w:fill="auto"/>
                  <w:tcMar>
                    <w:top w:w="0" w:type="dxa"/>
                    <w:left w:w="0" w:type="dxa"/>
                    <w:bottom w:w="0" w:type="dxa"/>
                    <w:right w:w="0" w:type="dxa"/>
                  </w:tcMar>
                  <w:vAlign w:val="center"/>
                </w:tcPr>
                <w:p w14:paraId="21E09CA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13.8</w:t>
                  </w:r>
                </w:p>
              </w:tc>
              <w:tc>
                <w:tcPr>
                  <w:tcW w:w="174" w:type="pct"/>
                  <w:tcBorders>
                    <w:tl2br w:val="nil"/>
                    <w:tr2bl w:val="nil"/>
                  </w:tcBorders>
                  <w:shd w:val="clear" w:color="auto" w:fill="auto"/>
                  <w:tcMar>
                    <w:top w:w="0" w:type="dxa"/>
                    <w:left w:w="0" w:type="dxa"/>
                    <w:bottom w:w="0" w:type="dxa"/>
                    <w:right w:w="0" w:type="dxa"/>
                  </w:tcMar>
                  <w:vAlign w:val="center"/>
                </w:tcPr>
                <w:p w14:paraId="06DEE61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27.7</w:t>
                  </w:r>
                </w:p>
              </w:tc>
              <w:tc>
                <w:tcPr>
                  <w:tcW w:w="163" w:type="pct"/>
                  <w:tcBorders>
                    <w:tl2br w:val="nil"/>
                    <w:tr2bl w:val="nil"/>
                  </w:tcBorders>
                  <w:shd w:val="clear" w:color="auto" w:fill="auto"/>
                  <w:tcMar>
                    <w:top w:w="0" w:type="dxa"/>
                    <w:left w:w="0" w:type="dxa"/>
                    <w:bottom w:w="0" w:type="dxa"/>
                    <w:right w:w="0" w:type="dxa"/>
                  </w:tcMar>
                  <w:vAlign w:val="center"/>
                </w:tcPr>
                <w:p w14:paraId="48A7044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38.1</w:t>
                  </w:r>
                </w:p>
              </w:tc>
              <w:tc>
                <w:tcPr>
                  <w:tcW w:w="600" w:type="dxa"/>
                  <w:tcBorders>
                    <w:tl2br w:val="nil"/>
                    <w:tr2bl w:val="nil"/>
                  </w:tcBorders>
                  <w:shd w:val="clear" w:color="auto" w:fill="auto"/>
                  <w:tcMar>
                    <w:top w:w="0" w:type="dxa"/>
                    <w:left w:w="0" w:type="dxa"/>
                    <w:bottom w:w="0" w:type="dxa"/>
                    <w:right w:w="0" w:type="dxa"/>
                  </w:tcMar>
                  <w:vAlign w:val="center"/>
                </w:tcPr>
                <w:p w14:paraId="2518E47E">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53.3</w:t>
                  </w:r>
                </w:p>
              </w:tc>
              <w:tc>
                <w:tcPr>
                  <w:tcW w:w="630" w:type="dxa"/>
                  <w:tcBorders>
                    <w:tl2br w:val="nil"/>
                    <w:tr2bl w:val="nil"/>
                  </w:tcBorders>
                  <w:shd w:val="clear" w:color="auto" w:fill="auto"/>
                  <w:tcMar>
                    <w:top w:w="0" w:type="dxa"/>
                    <w:left w:w="0" w:type="dxa"/>
                    <w:bottom w:w="0" w:type="dxa"/>
                    <w:right w:w="0" w:type="dxa"/>
                  </w:tcMar>
                  <w:vAlign w:val="center"/>
                </w:tcPr>
                <w:p w14:paraId="7F2A8367">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61.4</w:t>
                  </w:r>
                </w:p>
              </w:tc>
              <w:tc>
                <w:tcPr>
                  <w:tcW w:w="525" w:type="dxa"/>
                  <w:tcBorders>
                    <w:tl2br w:val="nil"/>
                    <w:tr2bl w:val="nil"/>
                  </w:tcBorders>
                  <w:shd w:val="clear" w:color="auto" w:fill="auto"/>
                  <w:tcMar>
                    <w:top w:w="0" w:type="dxa"/>
                    <w:left w:w="0" w:type="dxa"/>
                    <w:bottom w:w="0" w:type="dxa"/>
                    <w:right w:w="0" w:type="dxa"/>
                  </w:tcMar>
                  <w:vAlign w:val="center"/>
                </w:tcPr>
                <w:p w14:paraId="25CA39C5">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61.7</w:t>
                  </w:r>
                </w:p>
              </w:tc>
              <w:tc>
                <w:tcPr>
                  <w:tcW w:w="600" w:type="dxa"/>
                  <w:tcBorders>
                    <w:tl2br w:val="nil"/>
                    <w:tr2bl w:val="nil"/>
                  </w:tcBorders>
                  <w:shd w:val="clear" w:color="auto" w:fill="auto"/>
                  <w:tcMar>
                    <w:top w:w="0" w:type="dxa"/>
                    <w:left w:w="0" w:type="dxa"/>
                    <w:bottom w:w="0" w:type="dxa"/>
                    <w:right w:w="0" w:type="dxa"/>
                  </w:tcMar>
                  <w:vAlign w:val="center"/>
                </w:tcPr>
                <w:p w14:paraId="650184F5">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53.2</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2015B5AF">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val="en-US" w:eastAsia="zh-CN" w:bidi="ar"/>
                    </w:rPr>
                  </w:pPr>
                </w:p>
              </w:tc>
              <w:tc>
                <w:tcPr>
                  <w:tcW w:w="317" w:type="pct"/>
                  <w:tcBorders>
                    <w:tl2br w:val="nil"/>
                    <w:tr2bl w:val="nil"/>
                  </w:tcBorders>
                  <w:shd w:val="clear" w:color="auto" w:fill="auto"/>
                  <w:tcMar>
                    <w:top w:w="0" w:type="dxa"/>
                    <w:left w:w="0" w:type="dxa"/>
                    <w:bottom w:w="0" w:type="dxa"/>
                    <w:right w:w="0" w:type="dxa"/>
                  </w:tcMar>
                  <w:vAlign w:val="center"/>
                </w:tcPr>
                <w:p w14:paraId="65B0B1C0">
                  <w:pPr>
                    <w:keepNext w:val="0"/>
                    <w:keepLines w:val="0"/>
                    <w:widowControl/>
                    <w:suppressLineNumbers w:val="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20</w:t>
                  </w:r>
                </w:p>
              </w:tc>
              <w:tc>
                <w:tcPr>
                  <w:tcW w:w="559" w:type="dxa"/>
                  <w:tcBorders>
                    <w:tl2br w:val="nil"/>
                    <w:tr2bl w:val="nil"/>
                  </w:tcBorders>
                  <w:shd w:val="clear" w:color="auto" w:fill="auto"/>
                  <w:tcMar>
                    <w:top w:w="0" w:type="dxa"/>
                    <w:left w:w="0" w:type="dxa"/>
                    <w:bottom w:w="0" w:type="dxa"/>
                    <w:right w:w="0" w:type="dxa"/>
                  </w:tcMar>
                  <w:vAlign w:val="center"/>
                </w:tcPr>
                <w:p w14:paraId="70904F75">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33.3</w:t>
                  </w:r>
                </w:p>
              </w:tc>
              <w:tc>
                <w:tcPr>
                  <w:tcW w:w="615" w:type="dxa"/>
                  <w:tcBorders>
                    <w:tl2br w:val="nil"/>
                    <w:tr2bl w:val="nil"/>
                  </w:tcBorders>
                  <w:shd w:val="clear" w:color="auto" w:fill="auto"/>
                  <w:tcMar>
                    <w:top w:w="0" w:type="dxa"/>
                    <w:left w:w="0" w:type="dxa"/>
                    <w:bottom w:w="0" w:type="dxa"/>
                    <w:right w:w="0" w:type="dxa"/>
                  </w:tcMar>
                  <w:vAlign w:val="center"/>
                </w:tcPr>
                <w:p w14:paraId="66587CE1">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41.4</w:t>
                  </w:r>
                </w:p>
              </w:tc>
              <w:tc>
                <w:tcPr>
                  <w:tcW w:w="630" w:type="dxa"/>
                  <w:tcBorders>
                    <w:tl2br w:val="nil"/>
                    <w:tr2bl w:val="nil"/>
                  </w:tcBorders>
                  <w:shd w:val="clear" w:color="auto" w:fill="auto"/>
                  <w:tcMar>
                    <w:top w:w="0" w:type="dxa"/>
                    <w:left w:w="0" w:type="dxa"/>
                    <w:bottom w:w="0" w:type="dxa"/>
                    <w:right w:w="0" w:type="dxa"/>
                  </w:tcMar>
                  <w:vAlign w:val="center"/>
                </w:tcPr>
                <w:p w14:paraId="27F87544">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41.7</w:t>
                  </w:r>
                </w:p>
              </w:tc>
              <w:tc>
                <w:tcPr>
                  <w:tcW w:w="525" w:type="dxa"/>
                  <w:tcBorders>
                    <w:tl2br w:val="nil"/>
                    <w:tr2bl w:val="nil"/>
                  </w:tcBorders>
                  <w:shd w:val="clear" w:color="auto" w:fill="auto"/>
                  <w:tcMar>
                    <w:top w:w="0" w:type="dxa"/>
                    <w:left w:w="0" w:type="dxa"/>
                    <w:bottom w:w="0" w:type="dxa"/>
                    <w:right w:w="0" w:type="dxa"/>
                  </w:tcMar>
                  <w:vAlign w:val="center"/>
                </w:tcPr>
                <w:p w14:paraId="63B37A5F">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33.2</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3EEB5A47">
                  <w:pPr>
                    <w:keepNext w:val="0"/>
                    <w:keepLines w:val="0"/>
                    <w:widowControl/>
                    <w:suppressLineNumbers w:val="0"/>
                    <w:jc w:val="center"/>
                    <w:textAlignment w:val="center"/>
                    <w:rPr>
                      <w:rFonts w:hint="eastAsia" w:ascii="Times New Roman" w:hAnsi="Times New Roman" w:eastAsia="仿宋" w:cs="Times New Roman"/>
                      <w:color w:val="auto"/>
                      <w:kern w:val="0"/>
                      <w:sz w:val="21"/>
                      <w:szCs w:val="21"/>
                      <w:highlight w:val="none"/>
                      <w:u w:val="none"/>
                      <w:lang w:bidi="ar"/>
                    </w:rPr>
                  </w:pPr>
                </w:p>
              </w:tc>
            </w:tr>
            <w:tr w14:paraId="3BF94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083AC637">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14</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3BE16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73F5B321">
                  <w:pPr>
                    <w:keepNext w:val="0"/>
                    <w:keepLines w:val="0"/>
                    <w:widowControl/>
                    <w:suppressLineNumbers w:val="0"/>
                    <w:jc w:val="center"/>
                    <w:textAlignment w:val="center"/>
                    <w:rPr>
                      <w:rFonts w:hint="eastAsia"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空压机</w:t>
                  </w:r>
                </w:p>
              </w:tc>
              <w:tc>
                <w:tcPr>
                  <w:tcW w:w="215" w:type="pct"/>
                  <w:tcBorders>
                    <w:tl2br w:val="nil"/>
                    <w:tr2bl w:val="nil"/>
                  </w:tcBorders>
                  <w:shd w:val="clear" w:color="auto" w:fill="auto"/>
                  <w:tcMar>
                    <w:top w:w="0" w:type="dxa"/>
                    <w:left w:w="0" w:type="dxa"/>
                    <w:bottom w:w="0" w:type="dxa"/>
                    <w:right w:w="0" w:type="dxa"/>
                  </w:tcMar>
                  <w:vAlign w:val="center"/>
                </w:tcPr>
                <w:p w14:paraId="0E5DCFA6">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20111798">
                  <w:pPr>
                    <w:keepNext w:val="0"/>
                    <w:keepLines w:val="0"/>
                    <w:widowControl/>
                    <w:suppressLineNumbers w:val="0"/>
                    <w:jc w:val="center"/>
                    <w:textAlignment w:val="center"/>
                    <w:rPr>
                      <w:rFonts w:hint="eastAsia"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85</w:t>
                  </w:r>
                </w:p>
              </w:tc>
              <w:tc>
                <w:tcPr>
                  <w:tcW w:w="204" w:type="pct"/>
                  <w:tcBorders>
                    <w:tl2br w:val="nil"/>
                    <w:tr2bl w:val="nil"/>
                  </w:tcBorders>
                  <w:shd w:val="clear" w:color="auto" w:fill="auto"/>
                  <w:tcMar>
                    <w:top w:w="0" w:type="dxa"/>
                    <w:left w:w="0" w:type="dxa"/>
                    <w:bottom w:w="0" w:type="dxa"/>
                    <w:right w:w="0" w:type="dxa"/>
                  </w:tcMar>
                  <w:vAlign w:val="center"/>
                </w:tcPr>
                <w:p w14:paraId="050E8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5BE0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tcBorders>
                    <w:tl2br w:val="nil"/>
                    <w:tr2bl w:val="nil"/>
                  </w:tcBorders>
                  <w:shd w:val="clear" w:color="auto" w:fill="auto"/>
                  <w:tcMar>
                    <w:top w:w="0" w:type="dxa"/>
                    <w:left w:w="0" w:type="dxa"/>
                    <w:bottom w:w="0" w:type="dxa"/>
                    <w:right w:w="0" w:type="dxa"/>
                  </w:tcMar>
                  <w:vAlign w:val="center"/>
                </w:tcPr>
                <w:p w14:paraId="1D45B25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26</w:t>
                  </w:r>
                </w:p>
              </w:tc>
              <w:tc>
                <w:tcPr>
                  <w:tcW w:w="133" w:type="pct"/>
                  <w:tcBorders>
                    <w:tl2br w:val="nil"/>
                    <w:tr2bl w:val="nil"/>
                  </w:tcBorders>
                  <w:shd w:val="clear" w:color="auto" w:fill="auto"/>
                  <w:tcMar>
                    <w:top w:w="0" w:type="dxa"/>
                    <w:left w:w="0" w:type="dxa"/>
                    <w:bottom w:w="0" w:type="dxa"/>
                    <w:right w:w="0" w:type="dxa"/>
                  </w:tcMar>
                  <w:vAlign w:val="center"/>
                </w:tcPr>
                <w:p w14:paraId="2C9E9E1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w:t>
                  </w:r>
                </w:p>
              </w:tc>
              <w:tc>
                <w:tcPr>
                  <w:tcW w:w="148" w:type="pct"/>
                  <w:tcBorders>
                    <w:tl2br w:val="nil"/>
                    <w:tr2bl w:val="nil"/>
                  </w:tcBorders>
                  <w:shd w:val="clear" w:color="auto" w:fill="auto"/>
                  <w:tcMar>
                    <w:top w:w="0" w:type="dxa"/>
                    <w:left w:w="0" w:type="dxa"/>
                    <w:bottom w:w="0" w:type="dxa"/>
                    <w:right w:w="0" w:type="dxa"/>
                  </w:tcMar>
                  <w:vAlign w:val="center"/>
                </w:tcPr>
                <w:p w14:paraId="3B20B4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40FC324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26.6</w:t>
                  </w:r>
                </w:p>
              </w:tc>
              <w:tc>
                <w:tcPr>
                  <w:tcW w:w="169" w:type="pct"/>
                  <w:tcBorders>
                    <w:tl2br w:val="nil"/>
                    <w:tr2bl w:val="nil"/>
                  </w:tcBorders>
                  <w:shd w:val="clear" w:color="auto" w:fill="auto"/>
                  <w:tcMar>
                    <w:top w:w="0" w:type="dxa"/>
                    <w:left w:w="0" w:type="dxa"/>
                    <w:bottom w:w="0" w:type="dxa"/>
                    <w:right w:w="0" w:type="dxa"/>
                  </w:tcMar>
                  <w:vAlign w:val="center"/>
                </w:tcPr>
                <w:p w14:paraId="116FEE9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13.8</w:t>
                  </w:r>
                </w:p>
              </w:tc>
              <w:tc>
                <w:tcPr>
                  <w:tcW w:w="174" w:type="pct"/>
                  <w:tcBorders>
                    <w:tl2br w:val="nil"/>
                    <w:tr2bl w:val="nil"/>
                  </w:tcBorders>
                  <w:shd w:val="clear" w:color="auto" w:fill="auto"/>
                  <w:tcMar>
                    <w:top w:w="0" w:type="dxa"/>
                    <w:left w:w="0" w:type="dxa"/>
                    <w:bottom w:w="0" w:type="dxa"/>
                    <w:right w:w="0" w:type="dxa"/>
                  </w:tcMar>
                  <w:vAlign w:val="center"/>
                </w:tcPr>
                <w:p w14:paraId="7B3E343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24.5</w:t>
                  </w:r>
                </w:p>
              </w:tc>
              <w:tc>
                <w:tcPr>
                  <w:tcW w:w="163" w:type="pct"/>
                  <w:tcBorders>
                    <w:tl2br w:val="nil"/>
                    <w:tr2bl w:val="nil"/>
                  </w:tcBorders>
                  <w:shd w:val="clear" w:color="auto" w:fill="auto"/>
                  <w:tcMar>
                    <w:top w:w="0" w:type="dxa"/>
                    <w:left w:w="0" w:type="dxa"/>
                    <w:bottom w:w="0" w:type="dxa"/>
                    <w:right w:w="0" w:type="dxa"/>
                  </w:tcMar>
                  <w:vAlign w:val="center"/>
                </w:tcPr>
                <w:p w14:paraId="4626E4D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38.1</w:t>
                  </w:r>
                </w:p>
              </w:tc>
              <w:tc>
                <w:tcPr>
                  <w:tcW w:w="600" w:type="dxa"/>
                  <w:tcBorders>
                    <w:tl2br w:val="nil"/>
                    <w:tr2bl w:val="nil"/>
                  </w:tcBorders>
                  <w:shd w:val="clear" w:color="auto" w:fill="auto"/>
                  <w:tcMar>
                    <w:top w:w="0" w:type="dxa"/>
                    <w:left w:w="0" w:type="dxa"/>
                    <w:bottom w:w="0" w:type="dxa"/>
                    <w:right w:w="0" w:type="dxa"/>
                  </w:tcMar>
                  <w:vAlign w:val="center"/>
                </w:tcPr>
                <w:p w14:paraId="0FFD401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53.1</w:t>
                  </w:r>
                </w:p>
              </w:tc>
              <w:tc>
                <w:tcPr>
                  <w:tcW w:w="630" w:type="dxa"/>
                  <w:tcBorders>
                    <w:tl2br w:val="nil"/>
                    <w:tr2bl w:val="nil"/>
                  </w:tcBorders>
                  <w:shd w:val="clear" w:color="auto" w:fill="auto"/>
                  <w:tcMar>
                    <w:top w:w="0" w:type="dxa"/>
                    <w:left w:w="0" w:type="dxa"/>
                    <w:bottom w:w="0" w:type="dxa"/>
                    <w:right w:w="0" w:type="dxa"/>
                  </w:tcMar>
                  <w:vAlign w:val="center"/>
                </w:tcPr>
                <w:p w14:paraId="046F915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60.8</w:t>
                  </w:r>
                </w:p>
              </w:tc>
              <w:tc>
                <w:tcPr>
                  <w:tcW w:w="525" w:type="dxa"/>
                  <w:tcBorders>
                    <w:tl2br w:val="nil"/>
                    <w:tr2bl w:val="nil"/>
                  </w:tcBorders>
                  <w:shd w:val="clear" w:color="auto" w:fill="auto"/>
                  <w:tcMar>
                    <w:top w:w="0" w:type="dxa"/>
                    <w:left w:w="0" w:type="dxa"/>
                    <w:bottom w:w="0" w:type="dxa"/>
                    <w:right w:w="0" w:type="dxa"/>
                  </w:tcMar>
                  <w:vAlign w:val="center"/>
                </w:tcPr>
                <w:p w14:paraId="3A5E467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61.1</w:t>
                  </w:r>
                </w:p>
              </w:tc>
              <w:tc>
                <w:tcPr>
                  <w:tcW w:w="600" w:type="dxa"/>
                  <w:tcBorders>
                    <w:tl2br w:val="nil"/>
                    <w:tr2bl w:val="nil"/>
                  </w:tcBorders>
                  <w:shd w:val="clear" w:color="auto" w:fill="auto"/>
                  <w:tcMar>
                    <w:top w:w="0" w:type="dxa"/>
                    <w:left w:w="0" w:type="dxa"/>
                    <w:bottom w:w="0" w:type="dxa"/>
                    <w:right w:w="0" w:type="dxa"/>
                  </w:tcMar>
                  <w:vAlign w:val="center"/>
                </w:tcPr>
                <w:p w14:paraId="2B9FB711">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53.0</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54EE024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60846D0C">
                  <w:pPr>
                    <w:keepNext w:val="0"/>
                    <w:keepLines w:val="0"/>
                    <w:widowControl/>
                    <w:suppressLineNumbers w:val="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20</w:t>
                  </w:r>
                </w:p>
              </w:tc>
              <w:tc>
                <w:tcPr>
                  <w:tcW w:w="559" w:type="dxa"/>
                  <w:tcBorders>
                    <w:tl2br w:val="nil"/>
                    <w:tr2bl w:val="nil"/>
                  </w:tcBorders>
                  <w:shd w:val="clear" w:color="auto" w:fill="auto"/>
                  <w:tcMar>
                    <w:top w:w="0" w:type="dxa"/>
                    <w:left w:w="0" w:type="dxa"/>
                    <w:bottom w:w="0" w:type="dxa"/>
                    <w:right w:w="0" w:type="dxa"/>
                  </w:tcMar>
                  <w:vAlign w:val="center"/>
                </w:tcPr>
                <w:p w14:paraId="2CD0039B">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33.1</w:t>
                  </w:r>
                </w:p>
              </w:tc>
              <w:tc>
                <w:tcPr>
                  <w:tcW w:w="615" w:type="dxa"/>
                  <w:tcBorders>
                    <w:tl2br w:val="nil"/>
                    <w:tr2bl w:val="nil"/>
                  </w:tcBorders>
                  <w:shd w:val="clear" w:color="auto" w:fill="auto"/>
                  <w:tcMar>
                    <w:top w:w="0" w:type="dxa"/>
                    <w:left w:w="0" w:type="dxa"/>
                    <w:bottom w:w="0" w:type="dxa"/>
                    <w:right w:w="0" w:type="dxa"/>
                  </w:tcMar>
                  <w:vAlign w:val="center"/>
                </w:tcPr>
                <w:p w14:paraId="12067B20">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40.8</w:t>
                  </w:r>
                </w:p>
              </w:tc>
              <w:tc>
                <w:tcPr>
                  <w:tcW w:w="630" w:type="dxa"/>
                  <w:tcBorders>
                    <w:tl2br w:val="nil"/>
                    <w:tr2bl w:val="nil"/>
                  </w:tcBorders>
                  <w:shd w:val="clear" w:color="auto" w:fill="auto"/>
                  <w:tcMar>
                    <w:top w:w="0" w:type="dxa"/>
                    <w:left w:w="0" w:type="dxa"/>
                    <w:bottom w:w="0" w:type="dxa"/>
                    <w:right w:w="0" w:type="dxa"/>
                  </w:tcMar>
                  <w:vAlign w:val="center"/>
                </w:tcPr>
                <w:p w14:paraId="43A578DF">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41.1</w:t>
                  </w:r>
                </w:p>
              </w:tc>
              <w:tc>
                <w:tcPr>
                  <w:tcW w:w="525" w:type="dxa"/>
                  <w:tcBorders>
                    <w:tl2br w:val="nil"/>
                    <w:tr2bl w:val="nil"/>
                  </w:tcBorders>
                  <w:shd w:val="clear" w:color="auto" w:fill="auto"/>
                  <w:tcMar>
                    <w:top w:w="0" w:type="dxa"/>
                    <w:left w:w="0" w:type="dxa"/>
                    <w:bottom w:w="0" w:type="dxa"/>
                    <w:right w:w="0" w:type="dxa"/>
                  </w:tcMar>
                  <w:vAlign w:val="center"/>
                </w:tcPr>
                <w:p w14:paraId="03014741">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33.0</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47FB6846">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p>
              </w:tc>
            </w:tr>
            <w:tr w14:paraId="68995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3" w:type="pct"/>
                  <w:tcBorders>
                    <w:tl2br w:val="nil"/>
                    <w:tr2bl w:val="nil"/>
                  </w:tcBorders>
                  <w:shd w:val="clear" w:color="auto" w:fill="auto"/>
                  <w:tcMar>
                    <w:top w:w="0" w:type="dxa"/>
                    <w:left w:w="0" w:type="dxa"/>
                    <w:bottom w:w="0" w:type="dxa"/>
                    <w:right w:w="0" w:type="dxa"/>
                  </w:tcMar>
                  <w:vAlign w:val="center"/>
                </w:tcPr>
                <w:p w14:paraId="2B6ECB3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15</w:t>
                  </w:r>
                </w:p>
              </w:tc>
              <w:tc>
                <w:tcPr>
                  <w:tcW w:w="154" w:type="pct"/>
                  <w:vMerge w:val="continue"/>
                  <w:tcBorders>
                    <w:tl2br w:val="nil"/>
                    <w:tr2bl w:val="nil"/>
                  </w:tcBorders>
                  <w:shd w:val="clear" w:color="auto" w:fill="auto"/>
                  <w:tcMar>
                    <w:top w:w="0" w:type="dxa"/>
                    <w:left w:w="0" w:type="dxa"/>
                    <w:bottom w:w="0" w:type="dxa"/>
                    <w:right w:w="0" w:type="dxa"/>
                  </w:tcMar>
                  <w:vAlign w:val="center"/>
                </w:tcPr>
                <w:p w14:paraId="09A0DC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333" w:type="pct"/>
                  <w:tcBorders>
                    <w:tl2br w:val="nil"/>
                    <w:tr2bl w:val="nil"/>
                  </w:tcBorders>
                  <w:shd w:val="clear" w:color="auto" w:fill="auto"/>
                  <w:tcMar>
                    <w:top w:w="0" w:type="dxa"/>
                    <w:left w:w="0" w:type="dxa"/>
                    <w:bottom w:w="0" w:type="dxa"/>
                    <w:right w:w="0" w:type="dxa"/>
                  </w:tcMar>
                  <w:vAlign w:val="center"/>
                </w:tcPr>
                <w:p w14:paraId="54D24769">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空压机</w:t>
                  </w:r>
                </w:p>
              </w:tc>
              <w:tc>
                <w:tcPr>
                  <w:tcW w:w="215" w:type="pct"/>
                  <w:tcBorders>
                    <w:tl2br w:val="nil"/>
                    <w:tr2bl w:val="nil"/>
                  </w:tcBorders>
                  <w:shd w:val="clear" w:color="auto" w:fill="auto"/>
                  <w:tcMar>
                    <w:top w:w="0" w:type="dxa"/>
                    <w:left w:w="0" w:type="dxa"/>
                    <w:bottom w:w="0" w:type="dxa"/>
                    <w:right w:w="0" w:type="dxa"/>
                  </w:tcMar>
                  <w:vAlign w:val="center"/>
                </w:tcPr>
                <w:p w14:paraId="48D27EFC">
                  <w:pPr>
                    <w:keepNext w:val="0"/>
                    <w:keepLines w:val="0"/>
                    <w:widowControl/>
                    <w:suppressLineNumbers w:val="0"/>
                    <w:jc w:val="center"/>
                    <w:textAlignment w:val="center"/>
                    <w:rPr>
                      <w:rFonts w:hint="default" w:eastAsia="仿宋" w:cs="Times New Roman"/>
                      <w:i w:val="0"/>
                      <w:iCs w:val="0"/>
                      <w:color w:val="auto"/>
                      <w:kern w:val="0"/>
                      <w:sz w:val="21"/>
                      <w:szCs w:val="21"/>
                      <w:highlight w:val="none"/>
                      <w:u w:val="none"/>
                      <w:lang w:val="en-US" w:eastAsia="zh-CN" w:bidi="ar"/>
                    </w:rPr>
                  </w:pPr>
                  <w:r>
                    <w:rPr>
                      <w:rFonts w:hint="eastAsia" w:eastAsia="仿宋" w:cs="Times New Roman"/>
                      <w:i w:val="0"/>
                      <w:iCs w:val="0"/>
                      <w:color w:val="auto"/>
                      <w:kern w:val="0"/>
                      <w:sz w:val="21"/>
                      <w:szCs w:val="21"/>
                      <w:highlight w:val="none"/>
                      <w:u w:val="none"/>
                      <w:lang w:val="en-US" w:eastAsia="zh-CN" w:bidi="ar"/>
                    </w:rPr>
                    <w:t>1</w:t>
                  </w:r>
                </w:p>
              </w:tc>
              <w:tc>
                <w:tcPr>
                  <w:tcW w:w="327" w:type="pct"/>
                  <w:tcBorders>
                    <w:tl2br w:val="nil"/>
                    <w:tr2bl w:val="nil"/>
                  </w:tcBorders>
                  <w:shd w:val="clear" w:color="auto" w:fill="auto"/>
                  <w:tcMar>
                    <w:top w:w="0" w:type="dxa"/>
                    <w:left w:w="0" w:type="dxa"/>
                    <w:bottom w:w="0" w:type="dxa"/>
                    <w:right w:w="0" w:type="dxa"/>
                  </w:tcMar>
                  <w:vAlign w:val="center"/>
                </w:tcPr>
                <w:p w14:paraId="7B517239">
                  <w:pPr>
                    <w:keepNext w:val="0"/>
                    <w:keepLines w:val="0"/>
                    <w:widowControl/>
                    <w:suppressLineNumbers w:val="0"/>
                    <w:jc w:val="center"/>
                    <w:textAlignment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85</w:t>
                  </w:r>
                </w:p>
              </w:tc>
              <w:tc>
                <w:tcPr>
                  <w:tcW w:w="204" w:type="pct"/>
                  <w:tcBorders>
                    <w:tl2br w:val="nil"/>
                    <w:tr2bl w:val="nil"/>
                  </w:tcBorders>
                  <w:shd w:val="clear" w:color="auto" w:fill="auto"/>
                  <w:tcMar>
                    <w:top w:w="0" w:type="dxa"/>
                    <w:left w:w="0" w:type="dxa"/>
                    <w:bottom w:w="0" w:type="dxa"/>
                    <w:right w:w="0" w:type="dxa"/>
                  </w:tcMar>
                  <w:vAlign w:val="center"/>
                </w:tcPr>
                <w:p w14:paraId="67CC0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6F7DF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color w:val="auto"/>
                      <w:sz w:val="21"/>
                      <w:szCs w:val="21"/>
                      <w:highlight w:val="none"/>
                    </w:rPr>
                  </w:pPr>
                </w:p>
              </w:tc>
              <w:tc>
                <w:tcPr>
                  <w:tcW w:w="163" w:type="pct"/>
                  <w:tcBorders>
                    <w:tl2br w:val="nil"/>
                    <w:tr2bl w:val="nil"/>
                  </w:tcBorders>
                  <w:shd w:val="clear" w:color="auto" w:fill="auto"/>
                  <w:tcMar>
                    <w:top w:w="0" w:type="dxa"/>
                    <w:left w:w="0" w:type="dxa"/>
                    <w:bottom w:w="0" w:type="dxa"/>
                    <w:right w:w="0" w:type="dxa"/>
                  </w:tcMar>
                  <w:vAlign w:val="center"/>
                </w:tcPr>
                <w:p w14:paraId="2E9D484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44</w:t>
                  </w:r>
                </w:p>
              </w:tc>
              <w:tc>
                <w:tcPr>
                  <w:tcW w:w="133" w:type="pct"/>
                  <w:tcBorders>
                    <w:tl2br w:val="nil"/>
                    <w:tr2bl w:val="nil"/>
                  </w:tcBorders>
                  <w:shd w:val="clear" w:color="auto" w:fill="auto"/>
                  <w:tcMar>
                    <w:top w:w="0" w:type="dxa"/>
                    <w:left w:w="0" w:type="dxa"/>
                    <w:bottom w:w="0" w:type="dxa"/>
                    <w:right w:w="0" w:type="dxa"/>
                  </w:tcMar>
                  <w:vAlign w:val="center"/>
                </w:tcPr>
                <w:p w14:paraId="55B034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-3</w:t>
                  </w:r>
                </w:p>
              </w:tc>
              <w:tc>
                <w:tcPr>
                  <w:tcW w:w="148" w:type="pct"/>
                  <w:tcBorders>
                    <w:tl2br w:val="nil"/>
                    <w:tr2bl w:val="nil"/>
                  </w:tcBorders>
                  <w:shd w:val="clear" w:color="auto" w:fill="auto"/>
                  <w:tcMar>
                    <w:top w:w="0" w:type="dxa"/>
                    <w:left w:w="0" w:type="dxa"/>
                    <w:bottom w:w="0" w:type="dxa"/>
                    <w:right w:w="0" w:type="dxa"/>
                  </w:tcMar>
                  <w:vAlign w:val="center"/>
                </w:tcPr>
                <w:p w14:paraId="191B8C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w:t>
                  </w:r>
                </w:p>
              </w:tc>
              <w:tc>
                <w:tcPr>
                  <w:tcW w:w="156" w:type="pct"/>
                  <w:tcBorders>
                    <w:tl2br w:val="nil"/>
                    <w:tr2bl w:val="nil"/>
                  </w:tcBorders>
                  <w:shd w:val="clear" w:color="auto" w:fill="auto"/>
                  <w:tcMar>
                    <w:top w:w="0" w:type="dxa"/>
                    <w:left w:w="0" w:type="dxa"/>
                    <w:bottom w:w="0" w:type="dxa"/>
                    <w:right w:w="0" w:type="dxa"/>
                  </w:tcMar>
                  <w:vAlign w:val="center"/>
                </w:tcPr>
                <w:p w14:paraId="10CFA98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6.1</w:t>
                  </w:r>
                </w:p>
              </w:tc>
              <w:tc>
                <w:tcPr>
                  <w:tcW w:w="169" w:type="pct"/>
                  <w:tcBorders>
                    <w:tl2br w:val="nil"/>
                    <w:tr2bl w:val="nil"/>
                  </w:tcBorders>
                  <w:shd w:val="clear" w:color="auto" w:fill="auto"/>
                  <w:tcMar>
                    <w:top w:w="0" w:type="dxa"/>
                    <w:left w:w="0" w:type="dxa"/>
                    <w:bottom w:w="0" w:type="dxa"/>
                    <w:right w:w="0" w:type="dxa"/>
                  </w:tcMar>
                  <w:vAlign w:val="center"/>
                </w:tcPr>
                <w:p w14:paraId="028846F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8.4</w:t>
                  </w:r>
                </w:p>
              </w:tc>
              <w:tc>
                <w:tcPr>
                  <w:tcW w:w="174" w:type="pct"/>
                  <w:tcBorders>
                    <w:tl2br w:val="nil"/>
                    <w:tr2bl w:val="nil"/>
                  </w:tcBorders>
                  <w:shd w:val="clear" w:color="auto" w:fill="auto"/>
                  <w:tcMar>
                    <w:top w:w="0" w:type="dxa"/>
                    <w:left w:w="0" w:type="dxa"/>
                    <w:bottom w:w="0" w:type="dxa"/>
                    <w:right w:w="0" w:type="dxa"/>
                  </w:tcMar>
                  <w:vAlign w:val="center"/>
                </w:tcPr>
                <w:p w14:paraId="42A2167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32.8</w:t>
                  </w:r>
                </w:p>
              </w:tc>
              <w:tc>
                <w:tcPr>
                  <w:tcW w:w="163" w:type="pct"/>
                  <w:tcBorders>
                    <w:tl2br w:val="nil"/>
                    <w:tr2bl w:val="nil"/>
                  </w:tcBorders>
                  <w:shd w:val="clear" w:color="auto" w:fill="auto"/>
                  <w:tcMar>
                    <w:top w:w="0" w:type="dxa"/>
                    <w:left w:w="0" w:type="dxa"/>
                    <w:bottom w:w="0" w:type="dxa"/>
                    <w:right w:w="0" w:type="dxa"/>
                  </w:tcMar>
                  <w:vAlign w:val="center"/>
                </w:tcPr>
                <w:p w14:paraId="4B605BE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43.1</w:t>
                  </w:r>
                </w:p>
              </w:tc>
              <w:tc>
                <w:tcPr>
                  <w:tcW w:w="600" w:type="dxa"/>
                  <w:tcBorders>
                    <w:tl2br w:val="nil"/>
                    <w:tr2bl w:val="nil"/>
                  </w:tcBorders>
                  <w:shd w:val="clear" w:color="auto" w:fill="auto"/>
                  <w:tcMar>
                    <w:top w:w="0" w:type="dxa"/>
                    <w:left w:w="0" w:type="dxa"/>
                    <w:bottom w:w="0" w:type="dxa"/>
                    <w:right w:w="0" w:type="dxa"/>
                  </w:tcMar>
                  <w:vAlign w:val="center"/>
                </w:tcPr>
                <w:p w14:paraId="52F9943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52.9</w:t>
                  </w:r>
                </w:p>
              </w:tc>
              <w:tc>
                <w:tcPr>
                  <w:tcW w:w="630" w:type="dxa"/>
                  <w:tcBorders>
                    <w:tl2br w:val="nil"/>
                    <w:tr2bl w:val="nil"/>
                  </w:tcBorders>
                  <w:shd w:val="clear" w:color="auto" w:fill="auto"/>
                  <w:tcMar>
                    <w:top w:w="0" w:type="dxa"/>
                    <w:left w:w="0" w:type="dxa"/>
                    <w:bottom w:w="0" w:type="dxa"/>
                    <w:right w:w="0" w:type="dxa"/>
                  </w:tcMar>
                  <w:vAlign w:val="center"/>
                </w:tcPr>
                <w:p w14:paraId="2498985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60.3</w:t>
                  </w:r>
                </w:p>
              </w:tc>
              <w:tc>
                <w:tcPr>
                  <w:tcW w:w="525" w:type="dxa"/>
                  <w:tcBorders>
                    <w:tl2br w:val="nil"/>
                    <w:tr2bl w:val="nil"/>
                  </w:tcBorders>
                  <w:shd w:val="clear" w:color="auto" w:fill="auto"/>
                  <w:tcMar>
                    <w:top w:w="0" w:type="dxa"/>
                    <w:left w:w="0" w:type="dxa"/>
                    <w:bottom w:w="0" w:type="dxa"/>
                    <w:right w:w="0" w:type="dxa"/>
                  </w:tcMar>
                  <w:vAlign w:val="center"/>
                </w:tcPr>
                <w:p w14:paraId="1B49082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60.6</w:t>
                  </w:r>
                </w:p>
              </w:tc>
              <w:tc>
                <w:tcPr>
                  <w:tcW w:w="600" w:type="dxa"/>
                  <w:tcBorders>
                    <w:tl2br w:val="nil"/>
                    <w:tr2bl w:val="nil"/>
                  </w:tcBorders>
                  <w:shd w:val="clear" w:color="auto" w:fill="auto"/>
                  <w:tcMar>
                    <w:top w:w="0" w:type="dxa"/>
                    <w:left w:w="0" w:type="dxa"/>
                    <w:bottom w:w="0" w:type="dxa"/>
                    <w:right w:w="0" w:type="dxa"/>
                  </w:tcMar>
                  <w:vAlign w:val="center"/>
                </w:tcPr>
                <w:p w14:paraId="13104C7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0"/>
                      <w:sz w:val="21"/>
                      <w:szCs w:val="21"/>
                      <w:highlight w:val="none"/>
                      <w:u w:val="none"/>
                      <w:lang w:val="en-US" w:eastAsia="zh-CN" w:bidi="ar"/>
                    </w:rPr>
                    <w:t>52.8</w:t>
                  </w:r>
                </w:p>
              </w:tc>
              <w:tc>
                <w:tcPr>
                  <w:tcW w:w="133" w:type="pct"/>
                  <w:vMerge w:val="continue"/>
                  <w:tcBorders>
                    <w:tl2br w:val="nil"/>
                    <w:tr2bl w:val="nil"/>
                  </w:tcBorders>
                  <w:shd w:val="clear" w:color="auto" w:fill="auto"/>
                  <w:tcMar>
                    <w:top w:w="0" w:type="dxa"/>
                    <w:left w:w="0" w:type="dxa"/>
                    <w:bottom w:w="0" w:type="dxa"/>
                    <w:right w:w="0" w:type="dxa"/>
                  </w:tcMar>
                  <w:vAlign w:val="center"/>
                </w:tcPr>
                <w:p w14:paraId="70C5AE7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p>
              </w:tc>
              <w:tc>
                <w:tcPr>
                  <w:tcW w:w="317" w:type="pct"/>
                  <w:tcBorders>
                    <w:tl2br w:val="nil"/>
                    <w:tr2bl w:val="nil"/>
                  </w:tcBorders>
                  <w:shd w:val="clear" w:color="auto" w:fill="auto"/>
                  <w:tcMar>
                    <w:top w:w="0" w:type="dxa"/>
                    <w:left w:w="0" w:type="dxa"/>
                    <w:bottom w:w="0" w:type="dxa"/>
                    <w:right w:w="0" w:type="dxa"/>
                  </w:tcMar>
                  <w:vAlign w:val="center"/>
                </w:tcPr>
                <w:p w14:paraId="01786F65">
                  <w:pPr>
                    <w:keepNext w:val="0"/>
                    <w:keepLines w:val="0"/>
                    <w:widowControl/>
                    <w:suppressLineNumbers w:val="0"/>
                    <w:jc w:val="center"/>
                    <w:textAlignment w:val="center"/>
                    <w:rPr>
                      <w:rFonts w:hint="default"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20</w:t>
                  </w:r>
                </w:p>
              </w:tc>
              <w:tc>
                <w:tcPr>
                  <w:tcW w:w="559" w:type="dxa"/>
                  <w:tcBorders>
                    <w:tl2br w:val="nil"/>
                    <w:tr2bl w:val="nil"/>
                  </w:tcBorders>
                  <w:shd w:val="clear" w:color="auto" w:fill="auto"/>
                  <w:tcMar>
                    <w:top w:w="0" w:type="dxa"/>
                    <w:left w:w="0" w:type="dxa"/>
                    <w:bottom w:w="0" w:type="dxa"/>
                    <w:right w:w="0" w:type="dxa"/>
                  </w:tcMar>
                  <w:vAlign w:val="center"/>
                </w:tcPr>
                <w:p w14:paraId="6E33C185">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32.9</w:t>
                  </w:r>
                </w:p>
              </w:tc>
              <w:tc>
                <w:tcPr>
                  <w:tcW w:w="615" w:type="dxa"/>
                  <w:tcBorders>
                    <w:tl2br w:val="nil"/>
                    <w:tr2bl w:val="nil"/>
                  </w:tcBorders>
                  <w:shd w:val="clear" w:color="auto" w:fill="auto"/>
                  <w:tcMar>
                    <w:top w:w="0" w:type="dxa"/>
                    <w:left w:w="0" w:type="dxa"/>
                    <w:bottom w:w="0" w:type="dxa"/>
                    <w:right w:w="0" w:type="dxa"/>
                  </w:tcMar>
                  <w:vAlign w:val="center"/>
                </w:tcPr>
                <w:p w14:paraId="776D24E8">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40.3</w:t>
                  </w:r>
                </w:p>
              </w:tc>
              <w:tc>
                <w:tcPr>
                  <w:tcW w:w="630" w:type="dxa"/>
                  <w:tcBorders>
                    <w:tl2br w:val="nil"/>
                    <w:tr2bl w:val="nil"/>
                  </w:tcBorders>
                  <w:shd w:val="clear" w:color="auto" w:fill="auto"/>
                  <w:tcMar>
                    <w:top w:w="0" w:type="dxa"/>
                    <w:left w:w="0" w:type="dxa"/>
                    <w:bottom w:w="0" w:type="dxa"/>
                    <w:right w:w="0" w:type="dxa"/>
                  </w:tcMar>
                  <w:vAlign w:val="center"/>
                </w:tcPr>
                <w:p w14:paraId="24899E94">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40.6</w:t>
                  </w:r>
                </w:p>
              </w:tc>
              <w:tc>
                <w:tcPr>
                  <w:tcW w:w="525" w:type="dxa"/>
                  <w:tcBorders>
                    <w:tl2br w:val="nil"/>
                    <w:tr2bl w:val="nil"/>
                  </w:tcBorders>
                  <w:shd w:val="clear" w:color="auto" w:fill="auto"/>
                  <w:tcMar>
                    <w:top w:w="0" w:type="dxa"/>
                    <w:left w:w="0" w:type="dxa"/>
                    <w:bottom w:w="0" w:type="dxa"/>
                    <w:right w:w="0" w:type="dxa"/>
                  </w:tcMar>
                  <w:vAlign w:val="center"/>
                </w:tcPr>
                <w:p w14:paraId="0910CA4C">
                  <w:pPr>
                    <w:keepNext w:val="0"/>
                    <w:keepLines w:val="0"/>
                    <w:widowControl/>
                    <w:suppressLineNumbers w:val="0"/>
                    <w:jc w:val="center"/>
                    <w:textAlignment w:val="center"/>
                    <w:rPr>
                      <w:rFonts w:hint="eastAsia" w:eastAsia="仿宋" w:cs="Times New Roman"/>
                      <w:color w:val="auto"/>
                      <w:kern w:val="0"/>
                      <w:sz w:val="21"/>
                      <w:szCs w:val="21"/>
                      <w:highlight w:val="none"/>
                      <w:u w:val="none"/>
                      <w:lang w:val="en-US" w:eastAsia="zh-CN" w:bidi="ar"/>
                    </w:rPr>
                  </w:pPr>
                  <w:r>
                    <w:rPr>
                      <w:rFonts w:hint="eastAsia" w:eastAsia="仿宋" w:cs="Times New Roman"/>
                      <w:color w:val="auto"/>
                      <w:kern w:val="0"/>
                      <w:sz w:val="21"/>
                      <w:szCs w:val="21"/>
                      <w:highlight w:val="none"/>
                      <w:u w:val="none"/>
                      <w:lang w:val="en-US" w:eastAsia="zh-CN" w:bidi="ar"/>
                    </w:rPr>
                    <w:t>32.8</w:t>
                  </w:r>
                </w:p>
              </w:tc>
              <w:tc>
                <w:tcPr>
                  <w:tcW w:w="225" w:type="pct"/>
                  <w:vMerge w:val="continue"/>
                  <w:tcBorders>
                    <w:tl2br w:val="nil"/>
                    <w:tr2bl w:val="nil"/>
                  </w:tcBorders>
                  <w:shd w:val="clear" w:color="auto" w:fill="auto"/>
                  <w:tcMar>
                    <w:top w:w="0" w:type="dxa"/>
                    <w:left w:w="0" w:type="dxa"/>
                    <w:bottom w:w="0" w:type="dxa"/>
                    <w:right w:w="0" w:type="dxa"/>
                  </w:tcMar>
                  <w:vAlign w:val="center"/>
                </w:tcPr>
                <w:p w14:paraId="71A54615">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rPr>
                  </w:pPr>
                </w:p>
              </w:tc>
            </w:tr>
            <w:tr w14:paraId="26059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5"/>
                  <w:shd w:val="clear" w:color="auto" w:fill="auto"/>
                  <w:vAlign w:val="center"/>
                </w:tcPr>
                <w:p w14:paraId="4E2BEAC3">
                  <w:pPr>
                    <w:keepNext w:val="0"/>
                    <w:keepLines w:val="0"/>
                    <w:widowControl/>
                    <w:suppressLineNumbers w:val="0"/>
                    <w:jc w:val="both"/>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color w:val="auto"/>
                      <w:sz w:val="21"/>
                      <w:szCs w:val="21"/>
                      <w:highlight w:val="none"/>
                    </w:rPr>
                    <w:t>注：</w:t>
                  </w:r>
                  <w:r>
                    <w:rPr>
                      <w:rFonts w:hint="default" w:ascii="Times New Roman" w:hAnsi="Times New Roman" w:eastAsia="仿宋" w:cs="Times New Roman"/>
                      <w:color w:val="auto"/>
                      <w:sz w:val="21"/>
                      <w:szCs w:val="21"/>
                      <w:highlight w:val="none"/>
                    </w:rPr>
                    <w:t>[1]本项目车间内设备按点源预测；[2]坐标原点为</w:t>
                  </w:r>
                  <w:r>
                    <w:rPr>
                      <w:rFonts w:hint="default" w:ascii="Times New Roman" w:hAnsi="Times New Roman" w:eastAsia="仿宋" w:cs="Times New Roman"/>
                      <w:color w:val="auto"/>
                      <w:sz w:val="21"/>
                      <w:szCs w:val="21"/>
                      <w:highlight w:val="none"/>
                      <w:lang w:val="en-US" w:eastAsia="zh-CN"/>
                    </w:rPr>
                    <w:t>厂房西南角</w:t>
                  </w:r>
                  <w:r>
                    <w:rPr>
                      <w:rFonts w:hint="default" w:ascii="Times New Roman" w:hAnsi="Times New Roman" w:eastAsia="仿宋" w:cs="Times New Roman"/>
                      <w:color w:val="auto"/>
                      <w:sz w:val="21"/>
                      <w:szCs w:val="21"/>
                      <w:highlight w:val="none"/>
                    </w:rPr>
                    <w:t>（0，0，0）</w:t>
                  </w:r>
                </w:p>
              </w:tc>
            </w:tr>
          </w:tbl>
          <w:p w14:paraId="1DC3CC7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工业企业噪声源强调查清单（室外声源）</w:t>
            </w:r>
          </w:p>
          <w:tbl>
            <w:tblPr>
              <w:tblStyle w:val="20"/>
              <w:tblW w:w="4997" w:type="pct"/>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2129"/>
              <w:gridCol w:w="1649"/>
              <w:gridCol w:w="1239"/>
              <w:gridCol w:w="1121"/>
              <w:gridCol w:w="1336"/>
              <w:gridCol w:w="1187"/>
              <w:gridCol w:w="3863"/>
              <w:gridCol w:w="1299"/>
            </w:tblGrid>
            <w:tr w14:paraId="3580F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exact"/>
              </w:trPr>
              <w:tc>
                <w:tcPr>
                  <w:tcW w:w="279" w:type="pct"/>
                  <w:vMerge w:val="restart"/>
                  <w:tcBorders>
                    <w:tl2br w:val="nil"/>
                    <w:tr2bl w:val="nil"/>
                  </w:tcBorders>
                  <w:noWrap w:val="0"/>
                  <w:vAlign w:val="center"/>
                </w:tcPr>
                <w:p w14:paraId="3BBBF824">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序号</w:t>
                  </w:r>
                </w:p>
              </w:tc>
              <w:tc>
                <w:tcPr>
                  <w:tcW w:w="727" w:type="pct"/>
                  <w:vMerge w:val="restart"/>
                  <w:tcBorders>
                    <w:tl2br w:val="nil"/>
                    <w:tr2bl w:val="nil"/>
                  </w:tcBorders>
                  <w:noWrap w:val="0"/>
                  <w:vAlign w:val="center"/>
                </w:tcPr>
                <w:p w14:paraId="5AD0D065">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声源名称</w:t>
                  </w:r>
                </w:p>
              </w:tc>
              <w:tc>
                <w:tcPr>
                  <w:tcW w:w="563" w:type="pct"/>
                  <w:vMerge w:val="restart"/>
                  <w:tcBorders>
                    <w:tl2br w:val="nil"/>
                    <w:tr2bl w:val="nil"/>
                  </w:tcBorders>
                  <w:noWrap w:val="0"/>
                  <w:vAlign w:val="center"/>
                </w:tcPr>
                <w:p w14:paraId="60B1CE3D">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型号</w:t>
                  </w:r>
                </w:p>
              </w:tc>
              <w:tc>
                <w:tcPr>
                  <w:tcW w:w="1262" w:type="pct"/>
                  <w:gridSpan w:val="3"/>
                  <w:tcBorders>
                    <w:tl2br w:val="nil"/>
                    <w:tr2bl w:val="nil"/>
                  </w:tcBorders>
                  <w:noWrap w:val="0"/>
                  <w:vAlign w:val="center"/>
                </w:tcPr>
                <w:p w14:paraId="1C53E851">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空间相对位置/m</w:t>
                  </w:r>
                </w:p>
              </w:tc>
              <w:tc>
                <w:tcPr>
                  <w:tcW w:w="405" w:type="pct"/>
                  <w:vMerge w:val="restart"/>
                  <w:tcBorders>
                    <w:tl2br w:val="nil"/>
                    <w:tr2bl w:val="nil"/>
                  </w:tcBorders>
                  <w:noWrap w:val="0"/>
                  <w:vAlign w:val="center"/>
                </w:tcPr>
                <w:p w14:paraId="552CAFC8">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lang w:val="en-US" w:eastAsia="zh-CN"/>
                    </w:rPr>
                  </w:pPr>
                  <w:r>
                    <w:rPr>
                      <w:rFonts w:hint="default" w:ascii="Times New Roman" w:hAnsi="Times New Roman" w:eastAsia="仿宋" w:cs="Times New Roman"/>
                      <w:b/>
                      <w:color w:val="auto"/>
                      <w:sz w:val="21"/>
                      <w:szCs w:val="21"/>
                      <w:highlight w:val="none"/>
                    </w:rPr>
                    <w:t>声源源强dB</w:t>
                  </w:r>
                  <w:r>
                    <w:rPr>
                      <w:rFonts w:hint="default" w:ascii="Times New Roman" w:hAnsi="Times New Roman" w:eastAsia="仿宋" w:cs="Times New Roman"/>
                      <w:b/>
                      <w:color w:val="auto"/>
                      <w:sz w:val="21"/>
                      <w:szCs w:val="21"/>
                      <w:highlight w:val="none"/>
                      <w:lang w:val="en-US" w:eastAsia="zh-CN"/>
                    </w:rPr>
                    <w:t>(A)</w:t>
                  </w:r>
                </w:p>
              </w:tc>
              <w:tc>
                <w:tcPr>
                  <w:tcW w:w="1319" w:type="pct"/>
                  <w:vMerge w:val="restart"/>
                  <w:tcBorders>
                    <w:tl2br w:val="nil"/>
                    <w:tr2bl w:val="nil"/>
                  </w:tcBorders>
                  <w:noWrap w:val="0"/>
                  <w:vAlign w:val="center"/>
                </w:tcPr>
                <w:p w14:paraId="23C23753">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声源控制措施</w:t>
                  </w:r>
                </w:p>
              </w:tc>
              <w:tc>
                <w:tcPr>
                  <w:tcW w:w="443" w:type="pct"/>
                  <w:vMerge w:val="restart"/>
                  <w:tcBorders>
                    <w:tl2br w:val="nil"/>
                    <w:tr2bl w:val="nil"/>
                  </w:tcBorders>
                  <w:noWrap w:val="0"/>
                  <w:vAlign w:val="center"/>
                </w:tcPr>
                <w:p w14:paraId="06A84FB1">
                  <w:pPr>
                    <w:keepNext w:val="0"/>
                    <w:keepLines w:val="0"/>
                    <w:pageBreakBefore w:val="0"/>
                    <w:kinsoku/>
                    <w:wordWrap/>
                    <w:overflowPunct/>
                    <w:topLinePunct w:val="0"/>
                    <w:autoSpaceDE/>
                    <w:autoSpaceDN/>
                    <w:bidi w:val="0"/>
                    <w:snapToGrid w:val="0"/>
                    <w:jc w:val="center"/>
                    <w:textAlignment w:val="auto"/>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运行时段</w:t>
                  </w:r>
                </w:p>
              </w:tc>
            </w:tr>
            <w:tr w14:paraId="11934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1" w:hRule="atLeast"/>
              </w:trPr>
              <w:tc>
                <w:tcPr>
                  <w:tcW w:w="279" w:type="pct"/>
                  <w:vMerge w:val="continue"/>
                  <w:tcBorders>
                    <w:tl2br w:val="nil"/>
                    <w:tr2bl w:val="nil"/>
                  </w:tcBorders>
                  <w:noWrap w:val="0"/>
                  <w:vAlign w:val="center"/>
                </w:tcPr>
                <w:p w14:paraId="70B11927">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p>
              </w:tc>
              <w:tc>
                <w:tcPr>
                  <w:tcW w:w="727" w:type="pct"/>
                  <w:vMerge w:val="continue"/>
                  <w:tcBorders>
                    <w:tl2br w:val="nil"/>
                    <w:tr2bl w:val="nil"/>
                  </w:tcBorders>
                  <w:noWrap w:val="0"/>
                  <w:vAlign w:val="center"/>
                </w:tcPr>
                <w:p w14:paraId="214C94E8">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p>
              </w:tc>
              <w:tc>
                <w:tcPr>
                  <w:tcW w:w="563" w:type="pct"/>
                  <w:vMerge w:val="continue"/>
                  <w:tcBorders>
                    <w:tl2br w:val="nil"/>
                    <w:tr2bl w:val="nil"/>
                  </w:tcBorders>
                  <w:noWrap w:val="0"/>
                  <w:vAlign w:val="center"/>
                </w:tcPr>
                <w:p w14:paraId="4ED01F8F">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p>
              </w:tc>
              <w:tc>
                <w:tcPr>
                  <w:tcW w:w="423" w:type="pct"/>
                  <w:tcBorders>
                    <w:tl2br w:val="nil"/>
                    <w:tr2bl w:val="nil"/>
                  </w:tcBorders>
                  <w:noWrap w:val="0"/>
                  <w:vAlign w:val="center"/>
                </w:tcPr>
                <w:p w14:paraId="161EBC50">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X</w:t>
                  </w:r>
                </w:p>
              </w:tc>
              <w:tc>
                <w:tcPr>
                  <w:tcW w:w="382" w:type="pct"/>
                  <w:tcBorders>
                    <w:tl2br w:val="nil"/>
                    <w:tr2bl w:val="nil"/>
                  </w:tcBorders>
                  <w:noWrap w:val="0"/>
                  <w:vAlign w:val="center"/>
                </w:tcPr>
                <w:p w14:paraId="041BCCCF">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Y</w:t>
                  </w:r>
                </w:p>
              </w:tc>
              <w:tc>
                <w:tcPr>
                  <w:tcW w:w="456" w:type="pct"/>
                  <w:tcBorders>
                    <w:tl2br w:val="nil"/>
                    <w:tr2bl w:val="nil"/>
                  </w:tcBorders>
                  <w:noWrap w:val="0"/>
                  <w:vAlign w:val="center"/>
                </w:tcPr>
                <w:p w14:paraId="7B659353">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Z</w:t>
                  </w:r>
                </w:p>
              </w:tc>
              <w:tc>
                <w:tcPr>
                  <w:tcW w:w="405" w:type="pct"/>
                  <w:vMerge w:val="continue"/>
                  <w:tcBorders>
                    <w:tl2br w:val="nil"/>
                    <w:tr2bl w:val="nil"/>
                  </w:tcBorders>
                  <w:noWrap w:val="0"/>
                  <w:vAlign w:val="center"/>
                </w:tcPr>
                <w:p w14:paraId="6C4309D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color w:val="auto"/>
                      <w:sz w:val="21"/>
                      <w:szCs w:val="21"/>
                      <w:highlight w:val="none"/>
                    </w:rPr>
                  </w:pPr>
                </w:p>
              </w:tc>
              <w:tc>
                <w:tcPr>
                  <w:tcW w:w="1319" w:type="pct"/>
                  <w:vMerge w:val="continue"/>
                  <w:tcBorders>
                    <w:tl2br w:val="nil"/>
                    <w:tr2bl w:val="nil"/>
                  </w:tcBorders>
                  <w:noWrap w:val="0"/>
                  <w:vAlign w:val="center"/>
                </w:tcPr>
                <w:p w14:paraId="0A03D750">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p>
              </w:tc>
              <w:tc>
                <w:tcPr>
                  <w:tcW w:w="443" w:type="pct"/>
                  <w:vMerge w:val="continue"/>
                  <w:tcBorders>
                    <w:tl2br w:val="nil"/>
                    <w:tr2bl w:val="nil"/>
                  </w:tcBorders>
                  <w:noWrap w:val="0"/>
                  <w:vAlign w:val="center"/>
                </w:tcPr>
                <w:p w14:paraId="4C8F8EA5">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p>
              </w:tc>
            </w:tr>
            <w:tr w14:paraId="12B6AE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279" w:type="pct"/>
                  <w:tcBorders>
                    <w:tl2br w:val="nil"/>
                    <w:tr2bl w:val="nil"/>
                  </w:tcBorders>
                  <w:noWrap w:val="0"/>
                  <w:vAlign w:val="center"/>
                </w:tcPr>
                <w:p w14:paraId="1F690372">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727" w:type="pct"/>
                  <w:tcBorders>
                    <w:tl2br w:val="nil"/>
                    <w:tr2bl w:val="nil"/>
                  </w:tcBorders>
                  <w:noWrap w:val="0"/>
                  <w:vAlign w:val="center"/>
                </w:tcPr>
                <w:p w14:paraId="4E4AF80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风机</w:t>
                  </w:r>
                </w:p>
              </w:tc>
              <w:tc>
                <w:tcPr>
                  <w:tcW w:w="563" w:type="pct"/>
                  <w:tcBorders>
                    <w:tl2br w:val="nil"/>
                    <w:tr2bl w:val="nil"/>
                  </w:tcBorders>
                  <w:noWrap w:val="0"/>
                  <w:vAlign w:val="center"/>
                </w:tcPr>
                <w:p w14:paraId="74D4254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w:t>
                  </w:r>
                </w:p>
              </w:tc>
              <w:tc>
                <w:tcPr>
                  <w:tcW w:w="423" w:type="pct"/>
                  <w:tcBorders>
                    <w:tl2br w:val="nil"/>
                    <w:tr2bl w:val="nil"/>
                  </w:tcBorders>
                  <w:noWrap w:val="0"/>
                  <w:vAlign w:val="center"/>
                </w:tcPr>
                <w:p w14:paraId="20237D43">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39</w:t>
                  </w:r>
                </w:p>
              </w:tc>
              <w:tc>
                <w:tcPr>
                  <w:tcW w:w="382" w:type="pct"/>
                  <w:tcBorders>
                    <w:tl2br w:val="nil"/>
                    <w:tr2bl w:val="nil"/>
                  </w:tcBorders>
                  <w:noWrap w:val="0"/>
                  <w:vAlign w:val="center"/>
                </w:tcPr>
                <w:p w14:paraId="14DDC41F">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w:t>
                  </w:r>
                </w:p>
              </w:tc>
              <w:tc>
                <w:tcPr>
                  <w:tcW w:w="456" w:type="pct"/>
                  <w:tcBorders>
                    <w:tl2br w:val="nil"/>
                    <w:tr2bl w:val="nil"/>
                  </w:tcBorders>
                  <w:noWrap w:val="0"/>
                  <w:vAlign w:val="center"/>
                </w:tcPr>
                <w:p w14:paraId="2D815FC4">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13</w:t>
                  </w:r>
                </w:p>
              </w:tc>
              <w:tc>
                <w:tcPr>
                  <w:tcW w:w="405" w:type="pct"/>
                  <w:tcBorders>
                    <w:tl2br w:val="nil"/>
                    <w:tr2bl w:val="nil"/>
                  </w:tcBorders>
                  <w:noWrap w:val="0"/>
                  <w:vAlign w:val="center"/>
                </w:tcPr>
                <w:p w14:paraId="483020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80</w:t>
                  </w:r>
                </w:p>
              </w:tc>
              <w:tc>
                <w:tcPr>
                  <w:tcW w:w="1319" w:type="pct"/>
                  <w:tcBorders>
                    <w:tl2br w:val="nil"/>
                    <w:tr2bl w:val="nil"/>
                  </w:tcBorders>
                  <w:noWrap w:val="0"/>
                  <w:vAlign w:val="center"/>
                </w:tcPr>
                <w:p w14:paraId="6A3287AE">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shd w:val="clear" w:color="auto" w:fill="auto"/>
                      <w:lang w:val="en-US" w:eastAsia="zh-CN"/>
                    </w:rPr>
                    <w:t>设减振垫，加强设备维护管理</w:t>
                  </w:r>
                  <w:r>
                    <w:rPr>
                      <w:rFonts w:hint="eastAsia" w:eastAsia="仿宋" w:cs="Times New Roman"/>
                      <w:color w:val="auto"/>
                      <w:sz w:val="21"/>
                      <w:szCs w:val="21"/>
                      <w:highlight w:val="none"/>
                      <w:shd w:val="clear" w:color="auto" w:fill="auto"/>
                      <w:lang w:val="en-US" w:eastAsia="zh-CN"/>
                    </w:rPr>
                    <w:t>20dB(A)</w:t>
                  </w:r>
                </w:p>
              </w:tc>
              <w:tc>
                <w:tcPr>
                  <w:tcW w:w="443" w:type="pct"/>
                  <w:tcBorders>
                    <w:tl2br w:val="nil"/>
                    <w:tr2bl w:val="nil"/>
                  </w:tcBorders>
                  <w:noWrap w:val="0"/>
                  <w:vAlign w:val="center"/>
                </w:tcPr>
                <w:p w14:paraId="7E2E1ACA">
                  <w:pPr>
                    <w:keepNext w:val="0"/>
                    <w:keepLines w:val="0"/>
                    <w:pageBreakBefore w:val="0"/>
                    <w:kinsoku/>
                    <w:wordWrap/>
                    <w:overflowPunct/>
                    <w:topLinePunct w:val="0"/>
                    <w:autoSpaceDE/>
                    <w:autoSpaceDN/>
                    <w:bidi w:val="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昼间</w:t>
                  </w:r>
                </w:p>
              </w:tc>
            </w:tr>
            <w:tr w14:paraId="7FF3B6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1" w:hRule="atLeast"/>
              </w:trPr>
              <w:tc>
                <w:tcPr>
                  <w:tcW w:w="5000" w:type="pct"/>
                  <w:gridSpan w:val="9"/>
                  <w:tcBorders>
                    <w:tl2br w:val="nil"/>
                    <w:tr2bl w:val="nil"/>
                  </w:tcBorders>
                  <w:noWrap w:val="0"/>
                  <w:vAlign w:val="center"/>
                </w:tcPr>
                <w:p w14:paraId="0684C40A">
                  <w:pPr>
                    <w:keepNext w:val="0"/>
                    <w:keepLines w:val="0"/>
                    <w:pageBreakBefore w:val="0"/>
                    <w:kinsoku/>
                    <w:wordWrap/>
                    <w:overflowPunct/>
                    <w:topLinePunct w:val="0"/>
                    <w:autoSpaceDE/>
                    <w:autoSpaceDN/>
                    <w:bidi w:val="0"/>
                    <w:jc w:val="both"/>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color w:val="auto"/>
                      <w:sz w:val="21"/>
                      <w:szCs w:val="21"/>
                      <w:highlight w:val="none"/>
                    </w:rPr>
                    <w:t>注：</w:t>
                  </w:r>
                  <w:r>
                    <w:rPr>
                      <w:rFonts w:hint="default" w:ascii="Times New Roman" w:hAnsi="Times New Roman" w:eastAsia="仿宋" w:cs="Times New Roman"/>
                      <w:color w:val="auto"/>
                      <w:sz w:val="21"/>
                      <w:szCs w:val="21"/>
                      <w:highlight w:val="none"/>
                    </w:rPr>
                    <w:t>坐标原点为</w:t>
                  </w:r>
                  <w:r>
                    <w:rPr>
                      <w:rFonts w:hint="default" w:ascii="Times New Roman" w:hAnsi="Times New Roman" w:eastAsia="仿宋" w:cs="Times New Roman"/>
                      <w:color w:val="auto"/>
                      <w:sz w:val="21"/>
                      <w:szCs w:val="21"/>
                      <w:highlight w:val="none"/>
                      <w:lang w:val="en-US" w:eastAsia="zh-CN"/>
                    </w:rPr>
                    <w:t>厂房西南角</w:t>
                  </w:r>
                  <w:r>
                    <w:rPr>
                      <w:rFonts w:hint="default" w:ascii="Times New Roman" w:hAnsi="Times New Roman" w:eastAsia="仿宋" w:cs="Times New Roman"/>
                      <w:color w:val="auto"/>
                      <w:sz w:val="21"/>
                      <w:szCs w:val="21"/>
                      <w:highlight w:val="none"/>
                    </w:rPr>
                    <w:t>（0，0，0）</w:t>
                  </w:r>
                </w:p>
              </w:tc>
            </w:tr>
          </w:tbl>
          <w:p w14:paraId="0E3E04FA">
            <w:pPr>
              <w:pStyle w:val="4"/>
              <w:ind w:left="0" w:leftChars="0" w:firstLine="0" w:firstLineChars="0"/>
              <w:rPr>
                <w:color w:val="auto"/>
              </w:rPr>
            </w:pPr>
          </w:p>
        </w:tc>
      </w:tr>
    </w:tbl>
    <w:p w14:paraId="2DC0DD77">
      <w:pPr>
        <w:tabs>
          <w:tab w:val="left" w:pos="2010"/>
        </w:tabs>
        <w:adjustRightInd w:val="0"/>
        <w:snapToGrid w:val="0"/>
        <w:spacing w:line="360" w:lineRule="auto"/>
        <w:rPr>
          <w:b/>
          <w:color w:val="auto"/>
          <w:kern w:val="0"/>
          <w:sz w:val="28"/>
          <w:szCs w:val="28"/>
          <w:highlight w:val="none"/>
        </w:rPr>
        <w:sectPr>
          <w:pgSz w:w="16840" w:h="11907"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2"/>
        <w:gridCol w:w="9539"/>
      </w:tblGrid>
      <w:tr w14:paraId="26A79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4" w:hRule="atLeast"/>
          <w:jc w:val="center"/>
        </w:trPr>
        <w:tc>
          <w:tcPr>
            <w:tcW w:w="173" w:type="pct"/>
            <w:tcMar>
              <w:left w:w="28" w:type="dxa"/>
              <w:right w:w="28" w:type="dxa"/>
            </w:tcMar>
            <w:vAlign w:val="center"/>
          </w:tcPr>
          <w:p w14:paraId="50B27E7F">
            <w:pPr>
              <w:adjustRightInd w:val="0"/>
              <w:snapToGrid w:val="0"/>
              <w:jc w:val="center"/>
              <w:rPr>
                <w:color w:val="auto"/>
                <w:highlight w:val="none"/>
              </w:rPr>
            </w:pPr>
            <w:r>
              <w:rPr>
                <w:rFonts w:hint="eastAsia"/>
                <w:color w:val="auto"/>
                <w:sz w:val="24"/>
                <w:szCs w:val="24"/>
                <w:highlight w:val="none"/>
              </w:rPr>
              <w:t>运营期环境影响和保护措施</w:t>
            </w:r>
          </w:p>
        </w:tc>
        <w:tc>
          <w:tcPr>
            <w:tcW w:w="4826" w:type="pct"/>
          </w:tcPr>
          <w:p w14:paraId="24ADCF8D">
            <w:pPr>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3.2  主要预测模式</w:t>
            </w:r>
          </w:p>
          <w:p w14:paraId="30CD4036">
            <w:pPr>
              <w:pStyle w:val="58"/>
              <w:rPr>
                <w:rFonts w:cs="Times New Roman"/>
                <w:bCs/>
                <w:color w:val="auto"/>
                <w:sz w:val="24"/>
                <w:szCs w:val="24"/>
                <w:highlight w:val="none"/>
              </w:rPr>
            </w:pPr>
            <w:r>
              <w:rPr>
                <w:rFonts w:cs="Times New Roman"/>
                <w:bCs/>
                <w:color w:val="auto"/>
                <w:sz w:val="24"/>
                <w:szCs w:val="24"/>
                <w:highlight w:val="none"/>
              </w:rPr>
              <w:t>根据项目建设内容及《环境影响评价技术导则 声环境》（HJ2.4-2021）的要求，项目采用的模型为《环境影响评价技术导则 声环境》（HJ2.4-2021）附录A（规范性附录）户外声传播的衰减和附录B（规范性附录）中</w:t>
            </w:r>
            <w:r>
              <w:rPr>
                <w:rFonts w:hint="eastAsia" w:cs="Times New Roman"/>
                <w:bCs/>
                <w:color w:val="auto"/>
                <w:sz w:val="24"/>
                <w:szCs w:val="24"/>
                <w:highlight w:val="none"/>
                <w:lang w:eastAsia="zh-CN"/>
              </w:rPr>
              <w:t>“</w:t>
            </w:r>
            <w:r>
              <w:rPr>
                <w:rFonts w:cs="Times New Roman"/>
                <w:bCs/>
                <w:color w:val="auto"/>
                <w:sz w:val="24"/>
                <w:szCs w:val="24"/>
                <w:highlight w:val="none"/>
              </w:rPr>
              <w:t>B.1工业噪声预测计算模型</w:t>
            </w:r>
            <w:r>
              <w:rPr>
                <w:rFonts w:hint="eastAsia" w:cs="Times New Roman"/>
                <w:bCs/>
                <w:color w:val="auto"/>
                <w:sz w:val="24"/>
                <w:szCs w:val="24"/>
                <w:highlight w:val="none"/>
                <w:lang w:eastAsia="zh-CN"/>
              </w:rPr>
              <w:t>”</w:t>
            </w:r>
            <w:r>
              <w:rPr>
                <w:rFonts w:cs="Times New Roman"/>
                <w:bCs/>
                <w:color w:val="auto"/>
                <w:sz w:val="24"/>
                <w:szCs w:val="24"/>
                <w:highlight w:val="none"/>
              </w:rPr>
              <w:t>。</w:t>
            </w:r>
          </w:p>
          <w:p w14:paraId="69C41A01">
            <w:pPr>
              <w:widowControl/>
              <w:spacing w:line="360" w:lineRule="auto"/>
              <w:ind w:left="630"/>
              <w:jc w:val="left"/>
              <w:rPr>
                <w:color w:val="auto"/>
                <w:kern w:val="0"/>
                <w:sz w:val="24"/>
                <w:highlight w:val="none"/>
                <w:lang w:bidi="ar"/>
              </w:rPr>
            </w:pPr>
            <w:r>
              <w:rPr>
                <w:rFonts w:hint="eastAsia"/>
                <w:color w:val="auto"/>
                <w:kern w:val="0"/>
                <w:sz w:val="24"/>
                <w:highlight w:val="none"/>
                <w:lang w:eastAsia="zh-Hans" w:bidi="ar"/>
              </w:rPr>
              <w:t>①</w:t>
            </w:r>
            <w:r>
              <w:rPr>
                <w:rFonts w:hint="eastAsia"/>
                <w:color w:val="auto"/>
                <w:kern w:val="0"/>
                <w:sz w:val="24"/>
                <w:highlight w:val="none"/>
                <w:lang w:bidi="ar"/>
              </w:rPr>
              <w:t>声源位于室内，室内声源可采用等效室外声源声功率级法进行计算</w:t>
            </w:r>
          </w:p>
          <w:p w14:paraId="315F0230">
            <w:pPr>
              <w:widowControl/>
              <w:spacing w:line="360" w:lineRule="auto"/>
              <w:jc w:val="center"/>
              <w:rPr>
                <w:color w:val="auto"/>
                <w:kern w:val="0"/>
                <w:sz w:val="24"/>
                <w:highlight w:val="none"/>
                <w:lang w:bidi="ar"/>
              </w:rPr>
            </w:pPr>
            <w:r>
              <w:rPr>
                <w:color w:val="auto"/>
                <w:highlight w:val="none"/>
              </w:rPr>
              <w:drawing>
                <wp:inline distT="0" distB="0" distL="114300" distR="114300">
                  <wp:extent cx="1466850" cy="371475"/>
                  <wp:effectExtent l="0" t="0" r="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8"/>
                          <a:stretch>
                            <a:fillRect/>
                          </a:stretch>
                        </pic:blipFill>
                        <pic:spPr>
                          <a:xfrm>
                            <a:off x="0" y="0"/>
                            <a:ext cx="1466850" cy="371475"/>
                          </a:xfrm>
                          <a:prstGeom prst="rect">
                            <a:avLst/>
                          </a:prstGeom>
                          <a:noFill/>
                          <a:ln>
                            <a:noFill/>
                          </a:ln>
                        </pic:spPr>
                      </pic:pic>
                    </a:graphicData>
                  </a:graphic>
                </wp:inline>
              </w:drawing>
            </w:r>
            <w:r>
              <w:rPr>
                <w:rFonts w:hint="eastAsia"/>
                <w:color w:val="auto"/>
                <w:kern w:val="0"/>
                <w:sz w:val="24"/>
                <w:highlight w:val="none"/>
                <w:lang w:bidi="ar"/>
              </w:rPr>
              <w:t></w:t>
            </w:r>
          </w:p>
          <w:p w14:paraId="7D639658">
            <w:pPr>
              <w:widowControl/>
              <w:spacing w:line="360" w:lineRule="auto"/>
              <w:ind w:left="1199" w:leftChars="228" w:hanging="720" w:hangingChars="300"/>
              <w:jc w:val="left"/>
              <w:rPr>
                <w:color w:val="auto"/>
                <w:kern w:val="0"/>
                <w:sz w:val="24"/>
                <w:highlight w:val="none"/>
                <w:lang w:bidi="ar"/>
              </w:rPr>
            </w:pPr>
            <w:r>
              <w:rPr>
                <w:rFonts w:hint="eastAsia"/>
                <w:color w:val="auto"/>
                <w:kern w:val="0"/>
                <w:sz w:val="24"/>
                <w:highlight w:val="none"/>
                <w:lang w:bidi="ar"/>
              </w:rPr>
              <w:t>式中：Lp</w:t>
            </w:r>
            <w:r>
              <w:rPr>
                <w:rFonts w:hint="eastAsia"/>
                <w:color w:val="auto"/>
                <w:kern w:val="0"/>
                <w:sz w:val="24"/>
                <w:highlight w:val="none"/>
                <w:vertAlign w:val="subscript"/>
                <w:lang w:bidi="ar"/>
              </w:rPr>
              <w:t>1</w:t>
            </w:r>
            <w:r>
              <w:rPr>
                <w:rFonts w:hint="eastAsia"/>
                <w:color w:val="auto"/>
                <w:kern w:val="0"/>
                <w:sz w:val="24"/>
                <w:highlight w:val="none"/>
                <w:lang w:bidi="ar"/>
              </w:rPr>
              <w:t>—靠近开口处（或窗户）室内某倍频带的声压级或A声级，dB；</w:t>
            </w:r>
          </w:p>
          <w:p w14:paraId="10D27FE9">
            <w:pPr>
              <w:widowControl/>
              <w:spacing w:line="360" w:lineRule="auto"/>
              <w:ind w:left="1197" w:leftChars="570"/>
              <w:jc w:val="left"/>
              <w:rPr>
                <w:color w:val="auto"/>
                <w:kern w:val="0"/>
                <w:sz w:val="24"/>
                <w:highlight w:val="none"/>
                <w:lang w:bidi="ar"/>
              </w:rPr>
            </w:pPr>
            <w:r>
              <w:rPr>
                <w:rFonts w:hint="eastAsia"/>
                <w:color w:val="auto"/>
                <w:kern w:val="0"/>
                <w:sz w:val="24"/>
                <w:highlight w:val="none"/>
                <w:lang w:bidi="ar"/>
              </w:rPr>
              <w:t>Lp</w:t>
            </w:r>
            <w:r>
              <w:rPr>
                <w:rFonts w:hint="eastAsia"/>
                <w:color w:val="auto"/>
                <w:kern w:val="0"/>
                <w:sz w:val="24"/>
                <w:highlight w:val="none"/>
                <w:vertAlign w:val="subscript"/>
                <w:lang w:bidi="ar"/>
              </w:rPr>
              <w:t>2</w:t>
            </w:r>
            <w:r>
              <w:rPr>
                <w:rFonts w:hint="eastAsia"/>
                <w:color w:val="auto"/>
                <w:kern w:val="0"/>
                <w:sz w:val="24"/>
                <w:highlight w:val="none"/>
                <w:lang w:bidi="ar"/>
              </w:rPr>
              <w:t>—靠近开口处（或窗户）室外某倍频带的声压级或A声级，dB；</w:t>
            </w:r>
          </w:p>
          <w:p w14:paraId="5E42C6AB">
            <w:pPr>
              <w:widowControl/>
              <w:spacing w:line="360" w:lineRule="auto"/>
              <w:ind w:left="1197" w:leftChars="570"/>
              <w:jc w:val="left"/>
              <w:rPr>
                <w:color w:val="auto"/>
                <w:kern w:val="0"/>
                <w:sz w:val="24"/>
                <w:highlight w:val="none"/>
                <w:lang w:bidi="ar"/>
              </w:rPr>
            </w:pPr>
            <w:r>
              <w:rPr>
                <w:rFonts w:hint="eastAsia"/>
                <w:color w:val="auto"/>
                <w:kern w:val="0"/>
                <w:sz w:val="24"/>
                <w:highlight w:val="none"/>
                <w:lang w:bidi="ar"/>
              </w:rPr>
              <w:t>TL—隔墙（或窗户）倍频带或A声级的隔声量，dB。</w:t>
            </w:r>
          </w:p>
          <w:p w14:paraId="09CACF32">
            <w:pPr>
              <w:pStyle w:val="9"/>
              <w:ind w:firstLine="420"/>
              <w:jc w:val="center"/>
              <w:rPr>
                <w:color w:val="auto"/>
                <w:highlight w:val="none"/>
              </w:rPr>
            </w:pPr>
            <w:r>
              <w:rPr>
                <w:color w:val="auto"/>
                <w:highlight w:val="none"/>
              </w:rPr>
              <w:drawing>
                <wp:inline distT="0" distB="0" distL="114300" distR="114300">
                  <wp:extent cx="2398395" cy="777875"/>
                  <wp:effectExtent l="0" t="0" r="1905" b="31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9"/>
                          <a:stretch>
                            <a:fillRect/>
                          </a:stretch>
                        </pic:blipFill>
                        <pic:spPr>
                          <a:xfrm>
                            <a:off x="0" y="0"/>
                            <a:ext cx="2398395" cy="777875"/>
                          </a:xfrm>
                          <a:prstGeom prst="rect">
                            <a:avLst/>
                          </a:prstGeom>
                          <a:noFill/>
                          <a:ln>
                            <a:noFill/>
                          </a:ln>
                        </pic:spPr>
                      </pic:pic>
                    </a:graphicData>
                  </a:graphic>
                </wp:inline>
              </w:drawing>
            </w:r>
          </w:p>
          <w:p w14:paraId="156A6FAC">
            <w:pPr>
              <w:widowControl/>
              <w:spacing w:line="360" w:lineRule="auto"/>
              <w:ind w:left="1199" w:leftChars="228" w:hanging="720" w:hangingChars="300"/>
              <w:jc w:val="left"/>
              <w:rPr>
                <w:color w:val="auto"/>
                <w:kern w:val="0"/>
                <w:sz w:val="24"/>
                <w:highlight w:val="none"/>
                <w:lang w:bidi="ar"/>
              </w:rPr>
            </w:pPr>
            <w:r>
              <w:rPr>
                <w:rFonts w:hint="eastAsia"/>
                <w:color w:val="auto"/>
                <w:kern w:val="0"/>
                <w:sz w:val="24"/>
                <w:highlight w:val="none"/>
                <w:lang w:bidi="ar"/>
              </w:rPr>
              <w:t>②计算某个室内声源在靠近围护结构处的倍频带声压级：</w:t>
            </w:r>
          </w:p>
          <w:p w14:paraId="1E542882">
            <w:pPr>
              <w:spacing w:line="520" w:lineRule="atLeast"/>
              <w:ind w:firstLine="420" w:firstLineChars="200"/>
              <w:jc w:val="center"/>
              <w:rPr>
                <w:b/>
                <w:bCs/>
                <w:color w:val="auto"/>
                <w:sz w:val="24"/>
                <w:highlight w:val="none"/>
              </w:rPr>
            </w:pPr>
            <w:r>
              <w:rPr>
                <w:color w:val="auto"/>
                <w:highlight w:val="none"/>
              </w:rPr>
              <w:drawing>
                <wp:inline distT="0" distB="0" distL="114300" distR="114300">
                  <wp:extent cx="1647825" cy="485775"/>
                  <wp:effectExtent l="0" t="0" r="9525" b="952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40"/>
                          <a:stretch>
                            <a:fillRect/>
                          </a:stretch>
                        </pic:blipFill>
                        <pic:spPr>
                          <a:xfrm>
                            <a:off x="0" y="0"/>
                            <a:ext cx="1647825" cy="485775"/>
                          </a:xfrm>
                          <a:prstGeom prst="rect">
                            <a:avLst/>
                          </a:prstGeom>
                          <a:noFill/>
                          <a:ln>
                            <a:noFill/>
                          </a:ln>
                        </pic:spPr>
                      </pic:pic>
                    </a:graphicData>
                  </a:graphic>
                </wp:inline>
              </w:drawing>
            </w:r>
          </w:p>
          <w:p w14:paraId="4D133469">
            <w:pPr>
              <w:widowControl/>
              <w:spacing w:line="360" w:lineRule="auto"/>
              <w:ind w:left="1199" w:leftChars="228" w:hanging="720" w:hangingChars="300"/>
              <w:jc w:val="left"/>
              <w:rPr>
                <w:rFonts w:ascii="Times New Roman Regular" w:hAnsi="Times New Roman Regular" w:cs="Times New Roman Regular"/>
                <w:color w:val="auto"/>
                <w:kern w:val="0"/>
                <w:sz w:val="24"/>
                <w:highlight w:val="none"/>
                <w:lang w:bidi="ar"/>
              </w:rPr>
            </w:pPr>
            <w:r>
              <w:rPr>
                <w:rFonts w:ascii="宋体" w:hAnsi="宋体" w:cs="宋体"/>
                <w:color w:val="auto"/>
                <w:kern w:val="0"/>
                <w:sz w:val="24"/>
                <w:highlight w:val="none"/>
                <w:lang w:bidi="ar"/>
              </w:rPr>
              <w:t>式中：</w:t>
            </w:r>
            <w:r>
              <w:rPr>
                <w:rFonts w:ascii="Times New Roman Regular" w:hAnsi="Times New Roman Regular" w:cs="Times New Roman Regular"/>
                <w:color w:val="auto"/>
                <w:kern w:val="0"/>
                <w:sz w:val="24"/>
                <w:highlight w:val="none"/>
                <w:lang w:bidi="ar"/>
              </w:rPr>
              <w:t>Lp</w:t>
            </w:r>
            <w:r>
              <w:rPr>
                <w:rFonts w:ascii="Times New Roman Regular" w:hAnsi="Times New Roman Regular" w:cs="Times New Roman Regular"/>
                <w:color w:val="auto"/>
                <w:kern w:val="0"/>
                <w:sz w:val="24"/>
                <w:highlight w:val="none"/>
                <w:vertAlign w:val="subscript"/>
                <w:lang w:bidi="ar"/>
              </w:rPr>
              <w:t>1</w:t>
            </w:r>
            <w:r>
              <w:rPr>
                <w:rFonts w:ascii="Times New Roman Regular" w:hAnsi="Times New Roman Regular" w:cs="Times New Roman Regular"/>
                <w:color w:val="auto"/>
                <w:kern w:val="0"/>
                <w:sz w:val="24"/>
                <w:highlight w:val="none"/>
                <w:lang w:bidi="ar"/>
              </w:rPr>
              <w:t>—靠近开口处（或窗户）室内某倍频带的声压级或A声级，dB；</w:t>
            </w:r>
          </w:p>
          <w:p w14:paraId="7E962A51">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ascii="Times New Roman Regular" w:hAnsi="Times New Roman Regular" w:cs="Times New Roman Regular"/>
                <w:color w:val="auto"/>
                <w:kern w:val="0"/>
                <w:sz w:val="24"/>
                <w:highlight w:val="none"/>
                <w:lang w:bidi="ar"/>
              </w:rPr>
              <w:t>Lw—点声源声功率级（A计权或倍频带），dB；</w:t>
            </w:r>
          </w:p>
          <w:p w14:paraId="64C517BE">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ascii="Times New Roman Regular" w:hAnsi="Times New Roman Regular" w:cs="Times New Roman Regular"/>
                <w:color w:val="auto"/>
                <w:kern w:val="0"/>
                <w:sz w:val="24"/>
                <w:highlight w:val="none"/>
                <w:lang w:bidi="ar"/>
              </w:rPr>
              <w:t>Q——指向性因数；通常对无指向性声源，当声源放在房间中心时，Q=1；当放在一面墙的中心时，Q=2；当放在两面墙夹角处时，Q=4；当放在三面墙夹角处时，Q=8；</w:t>
            </w:r>
          </w:p>
          <w:p w14:paraId="584D58B1">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ascii="Times New Roman Regular" w:hAnsi="Times New Roman Regular" w:cs="Times New Roman Regular"/>
                <w:color w:val="auto"/>
                <w:kern w:val="0"/>
                <w:sz w:val="24"/>
                <w:highlight w:val="none"/>
                <w:lang w:bidi="ar"/>
              </w:rPr>
              <w:t>R——房间常数；R=Sα/（1-α），S为房间内表面面积，m</w:t>
            </w:r>
            <w:r>
              <w:rPr>
                <w:rFonts w:ascii="Times New Roman Regular" w:hAnsi="Times New Roman Regular" w:cs="Times New Roman Regular"/>
                <w:color w:val="auto"/>
                <w:kern w:val="0"/>
                <w:sz w:val="24"/>
                <w:highlight w:val="none"/>
                <w:vertAlign w:val="superscript"/>
                <w:lang w:bidi="ar"/>
              </w:rPr>
              <w:t>2</w:t>
            </w:r>
            <w:r>
              <w:rPr>
                <w:rFonts w:ascii="Times New Roman Regular" w:hAnsi="Times New Roman Regular" w:cs="Times New Roman Regular"/>
                <w:color w:val="auto"/>
                <w:kern w:val="0"/>
                <w:sz w:val="24"/>
                <w:highlight w:val="none"/>
                <w:lang w:bidi="ar"/>
              </w:rPr>
              <w:t>；α为平均吸声系数；</w:t>
            </w:r>
          </w:p>
          <w:p w14:paraId="098D2BA3">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ascii="Times New Roman Regular" w:hAnsi="Times New Roman Regular" w:cs="Times New Roman Regular"/>
                <w:color w:val="auto"/>
                <w:kern w:val="0"/>
                <w:sz w:val="24"/>
                <w:highlight w:val="none"/>
                <w:lang w:bidi="ar"/>
              </w:rPr>
              <w:t>r——声源到靠近围护结构某点处的距离，m；</w:t>
            </w:r>
          </w:p>
          <w:p w14:paraId="605DB666">
            <w:pPr>
              <w:widowControl/>
              <w:spacing w:line="360" w:lineRule="auto"/>
              <w:ind w:firstLine="480" w:firstLineChars="200"/>
              <w:jc w:val="left"/>
              <w:rPr>
                <w:rFonts w:ascii="Times New Roman Regular" w:hAnsi="Times New Roman Regular" w:cs="Times New Roman Regular"/>
                <w:color w:val="auto"/>
                <w:highlight w:val="none"/>
              </w:rPr>
            </w:pPr>
            <w:r>
              <w:rPr>
                <w:rFonts w:ascii="Times New Roman Regular" w:hAnsi="Times New Roman Regular" w:cs="Times New Roman Regular"/>
                <w:color w:val="auto"/>
                <w:kern w:val="0"/>
                <w:sz w:val="24"/>
                <w:highlight w:val="none"/>
                <w:lang w:bidi="ar"/>
              </w:rPr>
              <w:t>③计算所有室内声源在靠近围护结构处产生的总倍频带声压级：</w:t>
            </w:r>
          </w:p>
          <w:p w14:paraId="1789E195">
            <w:pPr>
              <w:pStyle w:val="29"/>
              <w:spacing w:line="360" w:lineRule="auto"/>
              <w:jc w:val="center"/>
              <w:rPr>
                <w:color w:val="auto"/>
                <w:highlight w:val="none"/>
              </w:rPr>
            </w:pPr>
            <w:r>
              <w:rPr>
                <w:color w:val="auto"/>
                <w:highlight w:val="none"/>
              </w:rPr>
              <w:drawing>
                <wp:inline distT="0" distB="0" distL="114300" distR="114300">
                  <wp:extent cx="1495425" cy="485775"/>
                  <wp:effectExtent l="0" t="0" r="9525"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1"/>
                          <a:stretch>
                            <a:fillRect/>
                          </a:stretch>
                        </pic:blipFill>
                        <pic:spPr>
                          <a:xfrm>
                            <a:off x="0" y="0"/>
                            <a:ext cx="1495425" cy="485775"/>
                          </a:xfrm>
                          <a:prstGeom prst="rect">
                            <a:avLst/>
                          </a:prstGeom>
                          <a:noFill/>
                          <a:ln>
                            <a:noFill/>
                          </a:ln>
                        </pic:spPr>
                      </pic:pic>
                    </a:graphicData>
                  </a:graphic>
                </wp:inline>
              </w:drawing>
            </w:r>
          </w:p>
          <w:p w14:paraId="1F6D7787">
            <w:pPr>
              <w:pStyle w:val="59"/>
              <w:spacing w:line="360" w:lineRule="auto"/>
              <w:ind w:left="0" w:firstLine="480" w:firstLineChars="200"/>
              <w:rPr>
                <w:rFonts w:ascii="Times New Roman Regular" w:hAnsi="Times New Roman Regular" w:cs="Times New Roman Regular"/>
                <w:b w:val="0"/>
                <w:bCs w:val="0"/>
                <w:color w:val="auto"/>
                <w:kern w:val="0"/>
                <w:sz w:val="24"/>
                <w:szCs w:val="24"/>
                <w:highlight w:val="none"/>
                <w:lang w:bidi="ar"/>
              </w:rPr>
            </w:pPr>
            <w:r>
              <w:rPr>
                <w:rFonts w:hint="eastAsia" w:ascii="Times New Roman Regular" w:hAnsi="Times New Roman Regular" w:cs="Times New Roman Regular"/>
                <w:b w:val="0"/>
                <w:bCs w:val="0"/>
                <w:color w:val="auto"/>
                <w:kern w:val="0"/>
                <w:sz w:val="24"/>
                <w:szCs w:val="24"/>
                <w:highlight w:val="none"/>
                <w:lang w:bidi="ar"/>
              </w:rPr>
              <w:t>式中：L</w:t>
            </w:r>
            <w:r>
              <w:rPr>
                <w:rFonts w:hint="eastAsia" w:ascii="Times New Roman Regular" w:hAnsi="Times New Roman Regular" w:cs="Times New Roman Regular"/>
                <w:b w:val="0"/>
                <w:bCs w:val="0"/>
                <w:color w:val="auto"/>
                <w:kern w:val="0"/>
                <w:sz w:val="24"/>
                <w:szCs w:val="24"/>
                <w:highlight w:val="none"/>
                <w:vertAlign w:val="subscript"/>
                <w:lang w:bidi="ar"/>
              </w:rPr>
              <w:t>p1i</w:t>
            </w:r>
            <w:r>
              <w:rPr>
                <w:rFonts w:hint="eastAsia" w:ascii="Times New Roman Regular" w:hAnsi="Times New Roman Regular" w:cs="Times New Roman Regular"/>
                <w:b w:val="0"/>
                <w:bCs w:val="0"/>
                <w:color w:val="auto"/>
                <w:kern w:val="0"/>
                <w:sz w:val="24"/>
                <w:szCs w:val="24"/>
                <w:highlight w:val="none"/>
                <w:lang w:eastAsia="zh-CN" w:bidi="ar"/>
              </w:rPr>
              <w:t>（</w:t>
            </w:r>
            <w:r>
              <w:rPr>
                <w:rFonts w:hint="eastAsia" w:ascii="Times New Roman Regular" w:hAnsi="Times New Roman Regular" w:cs="Times New Roman Regular"/>
                <w:b w:val="0"/>
                <w:bCs w:val="0"/>
                <w:color w:val="auto"/>
                <w:kern w:val="0"/>
                <w:sz w:val="24"/>
                <w:szCs w:val="24"/>
                <w:highlight w:val="none"/>
                <w:lang w:bidi="ar"/>
              </w:rPr>
              <w:t>T</w:t>
            </w:r>
            <w:r>
              <w:rPr>
                <w:rFonts w:hint="eastAsia" w:ascii="Times New Roman Regular" w:hAnsi="Times New Roman Regular" w:cs="Times New Roman Regular"/>
                <w:b w:val="0"/>
                <w:bCs w:val="0"/>
                <w:color w:val="auto"/>
                <w:kern w:val="0"/>
                <w:sz w:val="24"/>
                <w:szCs w:val="24"/>
                <w:highlight w:val="none"/>
                <w:lang w:eastAsia="zh-CN" w:bidi="ar"/>
              </w:rPr>
              <w:t>）</w:t>
            </w:r>
            <w:r>
              <w:rPr>
                <w:rFonts w:hint="eastAsia" w:ascii="Times New Roman Regular" w:hAnsi="Times New Roman Regular" w:cs="Times New Roman Regular"/>
                <w:b w:val="0"/>
                <w:bCs w:val="0"/>
                <w:color w:val="auto"/>
                <w:kern w:val="0"/>
                <w:sz w:val="24"/>
                <w:szCs w:val="24"/>
                <w:highlight w:val="none"/>
                <w:lang w:bidi="ar"/>
              </w:rPr>
              <w:t>——靠近围护结构处室内N个声源i倍频带的叠加声压级，dB；</w:t>
            </w:r>
          </w:p>
          <w:p w14:paraId="53102047">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L</w:t>
            </w:r>
            <w:r>
              <w:rPr>
                <w:rFonts w:hint="eastAsia" w:ascii="Times New Roman Regular" w:hAnsi="Times New Roman Regular" w:cs="Times New Roman Regular"/>
                <w:color w:val="auto"/>
                <w:kern w:val="0"/>
                <w:sz w:val="24"/>
                <w:highlight w:val="none"/>
                <w:vertAlign w:val="subscript"/>
                <w:lang w:bidi="ar"/>
              </w:rPr>
              <w:t>p1ij</w:t>
            </w:r>
            <w:r>
              <w:rPr>
                <w:rFonts w:hint="eastAsia" w:ascii="Times New Roman Regular" w:hAnsi="Times New Roman Regular" w:cs="Times New Roman Regular"/>
                <w:color w:val="auto"/>
                <w:kern w:val="0"/>
                <w:sz w:val="24"/>
                <w:highlight w:val="none"/>
                <w:lang w:bidi="ar"/>
              </w:rPr>
              <w:t>——室内j声源i倍频带的声压级，dB；</w:t>
            </w:r>
          </w:p>
          <w:p w14:paraId="2069E9C8">
            <w:pPr>
              <w:widowControl/>
              <w:spacing w:line="360" w:lineRule="auto"/>
              <w:ind w:firstLine="480" w:firstLineChars="200"/>
              <w:jc w:val="left"/>
              <w:rPr>
                <w:color w:val="auto"/>
                <w:highlight w:val="none"/>
              </w:rPr>
            </w:pPr>
            <w:r>
              <w:rPr>
                <w:rFonts w:ascii="宋体" w:hAnsi="宋体" w:cs="宋体"/>
                <w:color w:val="auto"/>
                <w:kern w:val="0"/>
                <w:sz w:val="24"/>
                <w:highlight w:val="none"/>
                <w:lang w:bidi="ar"/>
              </w:rPr>
              <w:t>④在室内近似为扩散声场时，计算靠近室外围护结构处的声压级：</w:t>
            </w:r>
          </w:p>
          <w:p w14:paraId="14BFE5EA">
            <w:pPr>
              <w:pStyle w:val="29"/>
              <w:spacing w:line="360" w:lineRule="auto"/>
              <w:jc w:val="center"/>
              <w:rPr>
                <w:rFonts w:ascii="Times New Roman"/>
                <w:b w:val="0"/>
                <w:bCs/>
                <w:color w:val="auto"/>
                <w:highlight w:val="none"/>
              </w:rPr>
            </w:pPr>
            <w:r>
              <w:rPr>
                <w:color w:val="auto"/>
                <w:highlight w:val="none"/>
              </w:rPr>
              <w:drawing>
                <wp:inline distT="0" distB="0" distL="114300" distR="114300">
                  <wp:extent cx="1600200" cy="314325"/>
                  <wp:effectExtent l="0" t="0" r="0" b="952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42"/>
                          <a:stretch>
                            <a:fillRect/>
                          </a:stretch>
                        </pic:blipFill>
                        <pic:spPr>
                          <a:xfrm>
                            <a:off x="0" y="0"/>
                            <a:ext cx="1600200" cy="314325"/>
                          </a:xfrm>
                          <a:prstGeom prst="rect">
                            <a:avLst/>
                          </a:prstGeom>
                          <a:noFill/>
                          <a:ln>
                            <a:noFill/>
                          </a:ln>
                        </pic:spPr>
                      </pic:pic>
                    </a:graphicData>
                  </a:graphic>
                </wp:inline>
              </w:drawing>
            </w:r>
          </w:p>
          <w:p w14:paraId="5BC9CFE5">
            <w:pPr>
              <w:pStyle w:val="29"/>
              <w:spacing w:line="360" w:lineRule="auto"/>
              <w:ind w:firstLine="480" w:firstLineChars="200"/>
              <w:rPr>
                <w:rFonts w:ascii="Times New Roman Regular" w:hAnsi="Times New Roman Regular" w:cs="Times New Roman Regular"/>
                <w:b w:val="0"/>
                <w:bCs/>
                <w:color w:val="auto"/>
                <w:kern w:val="0"/>
                <w:highlight w:val="none"/>
                <w:lang w:bidi="ar"/>
              </w:rPr>
            </w:pPr>
            <w:r>
              <w:rPr>
                <w:b w:val="0"/>
                <w:bCs/>
                <w:color w:val="auto"/>
                <w:kern w:val="0"/>
                <w:highlight w:val="none"/>
                <w:lang w:bidi="ar"/>
              </w:rPr>
              <w:t>式中：</w:t>
            </w:r>
            <w:r>
              <w:rPr>
                <w:rFonts w:ascii="Times New Roman Regular" w:hAnsi="Times New Roman Regular" w:cs="Times New Roman Regular"/>
                <w:b w:val="0"/>
                <w:bCs/>
                <w:color w:val="auto"/>
                <w:kern w:val="0"/>
                <w:highlight w:val="none"/>
                <w:lang w:bidi="ar"/>
              </w:rPr>
              <w:t>L</w:t>
            </w:r>
            <w:r>
              <w:rPr>
                <w:rFonts w:ascii="Times New Roman Regular" w:hAnsi="Times New Roman Regular" w:cs="Times New Roman Regular"/>
                <w:b w:val="0"/>
                <w:bCs/>
                <w:color w:val="auto"/>
                <w:kern w:val="0"/>
                <w:highlight w:val="none"/>
                <w:vertAlign w:val="subscript"/>
                <w:lang w:bidi="ar"/>
              </w:rPr>
              <w:t>p2i</w:t>
            </w:r>
            <w:r>
              <w:rPr>
                <w:rFonts w:hint="eastAsia" w:ascii="Times New Roman Regular" w:hAnsi="Times New Roman Regular" w:cs="Times New Roman Regular"/>
                <w:b w:val="0"/>
                <w:bCs/>
                <w:color w:val="auto"/>
                <w:kern w:val="0"/>
                <w:highlight w:val="none"/>
                <w:lang w:eastAsia="zh-CN" w:bidi="ar"/>
              </w:rPr>
              <w:t>（</w:t>
            </w:r>
            <w:r>
              <w:rPr>
                <w:rFonts w:ascii="Times New Roman Regular" w:hAnsi="Times New Roman Regular" w:cs="Times New Roman Regular"/>
                <w:b w:val="0"/>
                <w:bCs/>
                <w:color w:val="auto"/>
                <w:kern w:val="0"/>
                <w:highlight w:val="none"/>
                <w:lang w:bidi="ar"/>
              </w:rPr>
              <w:t>T</w:t>
            </w:r>
            <w:r>
              <w:rPr>
                <w:rFonts w:hint="eastAsia" w:ascii="Times New Roman Regular" w:hAnsi="Times New Roman Regular" w:cs="Times New Roman Regular"/>
                <w:b w:val="0"/>
                <w:bCs/>
                <w:color w:val="auto"/>
                <w:kern w:val="0"/>
                <w:highlight w:val="none"/>
                <w:lang w:eastAsia="zh-CN" w:bidi="ar"/>
              </w:rPr>
              <w:t>）</w:t>
            </w:r>
            <w:r>
              <w:rPr>
                <w:rFonts w:ascii="Times New Roman Regular" w:hAnsi="Times New Roman Regular" w:cs="Times New Roman Regular"/>
                <w:b w:val="0"/>
                <w:bCs/>
                <w:color w:val="auto"/>
                <w:kern w:val="0"/>
                <w:highlight w:val="none"/>
                <w:lang w:bidi="ar"/>
              </w:rPr>
              <w:t>——靠近围护结构处室外N个声源I倍频带的叠加声压级，dB；</w:t>
            </w:r>
          </w:p>
          <w:p w14:paraId="26889A6A">
            <w:pPr>
              <w:pStyle w:val="29"/>
              <w:spacing w:line="360" w:lineRule="auto"/>
              <w:ind w:firstLine="1200" w:firstLineChars="500"/>
              <w:rPr>
                <w:rFonts w:ascii="Times New Roman Regular" w:hAnsi="Times New Roman Regular" w:cs="Times New Roman Regular"/>
                <w:b w:val="0"/>
                <w:bCs/>
                <w:color w:val="auto"/>
                <w:kern w:val="0"/>
                <w:highlight w:val="none"/>
                <w:lang w:bidi="ar"/>
              </w:rPr>
            </w:pPr>
            <w:r>
              <w:rPr>
                <w:rFonts w:ascii="Times New Roman Regular" w:hAnsi="Times New Roman Regular" w:cs="Times New Roman Regular"/>
                <w:b w:val="0"/>
                <w:bCs/>
                <w:color w:val="auto"/>
                <w:kern w:val="0"/>
                <w:highlight w:val="none"/>
                <w:lang w:bidi="ar"/>
              </w:rPr>
              <w:t>TL</w:t>
            </w:r>
            <w:r>
              <w:rPr>
                <w:rFonts w:ascii="Times New Roman Regular" w:hAnsi="Times New Roman Regular" w:cs="Times New Roman Regular"/>
                <w:b w:val="0"/>
                <w:bCs/>
                <w:color w:val="auto"/>
                <w:kern w:val="0"/>
                <w:highlight w:val="none"/>
                <w:vertAlign w:val="subscript"/>
                <w:lang w:bidi="ar"/>
              </w:rPr>
              <w:t>i</w:t>
            </w:r>
            <w:r>
              <w:rPr>
                <w:rFonts w:ascii="Times New Roman Regular" w:hAnsi="Times New Roman Regular" w:cs="Times New Roman Regular"/>
                <w:b w:val="0"/>
                <w:bCs/>
                <w:color w:val="auto"/>
                <w:kern w:val="0"/>
                <w:highlight w:val="none"/>
                <w:lang w:bidi="ar"/>
              </w:rPr>
              <w:t>——围护结构i倍频带的隔声量，dB；</w:t>
            </w:r>
          </w:p>
          <w:p w14:paraId="176140B9">
            <w:pPr>
              <w:pStyle w:val="59"/>
              <w:spacing w:line="360" w:lineRule="auto"/>
              <w:ind w:left="0" w:firstLine="480" w:firstLineChars="200"/>
              <w:rPr>
                <w:rFonts w:ascii="Times New Roman Regular" w:hAnsi="Times New Roman Regular" w:cs="Times New Roman Regular"/>
                <w:b w:val="0"/>
                <w:bCs w:val="0"/>
                <w:color w:val="auto"/>
                <w:kern w:val="0"/>
                <w:sz w:val="24"/>
                <w:szCs w:val="24"/>
                <w:highlight w:val="none"/>
                <w:lang w:bidi="ar"/>
              </w:rPr>
            </w:pPr>
            <w:r>
              <w:rPr>
                <w:rFonts w:hint="eastAsia" w:ascii="Times New Roman Regular" w:hAnsi="Times New Roman Regular" w:cs="Times New Roman Regular"/>
                <w:b w:val="0"/>
                <w:bCs w:val="0"/>
                <w:color w:val="auto"/>
                <w:kern w:val="0"/>
                <w:sz w:val="24"/>
                <w:szCs w:val="24"/>
                <w:highlight w:val="none"/>
                <w:lang w:eastAsia="zh-Hans" w:bidi="ar"/>
              </w:rPr>
              <w:t>⑤</w:t>
            </w:r>
            <w:r>
              <w:rPr>
                <w:rFonts w:hint="eastAsia" w:ascii="Times New Roman Regular" w:hAnsi="Times New Roman Regular" w:cs="Times New Roman Regular"/>
                <w:b w:val="0"/>
                <w:bCs w:val="0"/>
                <w:color w:val="auto"/>
                <w:kern w:val="0"/>
                <w:sz w:val="24"/>
                <w:szCs w:val="24"/>
                <w:highlight w:val="none"/>
                <w:lang w:bidi="ar"/>
              </w:rPr>
              <w:t>将室外声源的声压级和透过面积换算成等效的室外声源，计算出中心位置位于透声面积（S）处的等效声源的倍频带声功率级。</w:t>
            </w:r>
          </w:p>
          <w:p w14:paraId="585F9BD2">
            <w:pPr>
              <w:pStyle w:val="29"/>
              <w:spacing w:line="360" w:lineRule="auto"/>
              <w:jc w:val="center"/>
              <w:rPr>
                <w:rFonts w:ascii="Times New Roman"/>
                <w:b w:val="0"/>
                <w:bCs/>
                <w:color w:val="auto"/>
                <w:highlight w:val="none"/>
              </w:rPr>
            </w:pPr>
            <w:r>
              <w:rPr>
                <w:color w:val="auto"/>
                <w:highlight w:val="none"/>
              </w:rPr>
              <w:drawing>
                <wp:inline distT="0" distB="0" distL="114300" distR="114300">
                  <wp:extent cx="1247775" cy="381000"/>
                  <wp:effectExtent l="0" t="0" r="9525"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43"/>
                          <a:stretch>
                            <a:fillRect/>
                          </a:stretch>
                        </pic:blipFill>
                        <pic:spPr>
                          <a:xfrm>
                            <a:off x="0" y="0"/>
                            <a:ext cx="1247775" cy="381000"/>
                          </a:xfrm>
                          <a:prstGeom prst="rect">
                            <a:avLst/>
                          </a:prstGeom>
                          <a:noFill/>
                          <a:ln>
                            <a:noFill/>
                          </a:ln>
                        </pic:spPr>
                      </pic:pic>
                    </a:graphicData>
                  </a:graphic>
                </wp:inline>
              </w:drawing>
            </w:r>
          </w:p>
          <w:p w14:paraId="66C5864F">
            <w:pPr>
              <w:pStyle w:val="29"/>
              <w:spacing w:line="360" w:lineRule="auto"/>
              <w:ind w:firstLine="480" w:firstLineChars="200"/>
              <w:rPr>
                <w:rFonts w:ascii="Times New Roman Regular" w:hAnsi="Times New Roman Regular" w:cs="Times New Roman Regular"/>
                <w:b w:val="0"/>
                <w:bCs/>
                <w:color w:val="auto"/>
                <w:kern w:val="0"/>
                <w:highlight w:val="none"/>
                <w:lang w:bidi="ar"/>
              </w:rPr>
            </w:pPr>
            <w:r>
              <w:rPr>
                <w:rFonts w:ascii="Times New Roman Regular" w:hAnsi="Times New Roman Regular" w:cs="Times New Roman Regular"/>
                <w:b w:val="0"/>
                <w:bCs/>
                <w:color w:val="auto"/>
                <w:kern w:val="0"/>
                <w:highlight w:val="none"/>
                <w:lang w:bidi="ar"/>
              </w:rPr>
              <w:t>式中：Lw—中心位置位于透声面积（S）处的等效声源的倍频带声功率级，dB；</w:t>
            </w:r>
          </w:p>
          <w:p w14:paraId="38F178B6">
            <w:pPr>
              <w:pStyle w:val="29"/>
              <w:spacing w:line="360" w:lineRule="auto"/>
              <w:ind w:firstLine="1200" w:firstLineChars="500"/>
              <w:rPr>
                <w:rFonts w:ascii="Times New Roman Regular" w:hAnsi="Times New Roman Regular" w:cs="Times New Roman Regular"/>
                <w:b w:val="0"/>
                <w:bCs/>
                <w:color w:val="auto"/>
                <w:kern w:val="0"/>
                <w:highlight w:val="none"/>
                <w:lang w:bidi="ar"/>
              </w:rPr>
            </w:pPr>
            <w:r>
              <w:rPr>
                <w:rFonts w:ascii="Times New Roman Regular" w:hAnsi="Times New Roman Regular" w:cs="Times New Roman Regular"/>
                <w:b w:val="0"/>
                <w:bCs/>
                <w:color w:val="auto"/>
                <w:kern w:val="0"/>
                <w:highlight w:val="none"/>
                <w:lang w:bidi="ar"/>
              </w:rPr>
              <w:t>L</w:t>
            </w:r>
            <w:r>
              <w:rPr>
                <w:rFonts w:ascii="Times New Roman Regular" w:hAnsi="Times New Roman Regular" w:cs="Times New Roman Regular"/>
                <w:b w:val="0"/>
                <w:bCs/>
                <w:color w:val="auto"/>
                <w:kern w:val="0"/>
                <w:highlight w:val="none"/>
                <w:vertAlign w:val="subscript"/>
                <w:lang w:bidi="ar"/>
              </w:rPr>
              <w:t>p2</w:t>
            </w:r>
            <w:r>
              <w:rPr>
                <w:rFonts w:hint="eastAsia" w:ascii="Times New Roman Regular" w:hAnsi="Times New Roman Regular" w:cs="Times New Roman Regular"/>
                <w:b w:val="0"/>
                <w:bCs/>
                <w:color w:val="auto"/>
                <w:kern w:val="0"/>
                <w:highlight w:val="none"/>
                <w:lang w:bidi="ar"/>
              </w:rPr>
              <w:t>（T）</w:t>
            </w:r>
            <w:r>
              <w:rPr>
                <w:rFonts w:ascii="Times New Roman Regular" w:hAnsi="Times New Roman Regular" w:cs="Times New Roman Regular"/>
                <w:b w:val="0"/>
                <w:bCs/>
                <w:color w:val="auto"/>
                <w:kern w:val="0"/>
                <w:highlight w:val="none"/>
                <w:lang w:bidi="ar"/>
              </w:rPr>
              <w:t>—靠近围护结构处室外声源的声压级，dB；S—透声面积，m</w:t>
            </w:r>
            <w:r>
              <w:rPr>
                <w:rFonts w:ascii="Times New Roman Regular" w:hAnsi="Times New Roman Regular" w:cs="Times New Roman Regular"/>
                <w:b w:val="0"/>
                <w:bCs/>
                <w:color w:val="auto"/>
                <w:kern w:val="0"/>
                <w:highlight w:val="none"/>
                <w:vertAlign w:val="superscript"/>
                <w:lang w:bidi="ar"/>
              </w:rPr>
              <w:t>2</w:t>
            </w:r>
            <w:r>
              <w:rPr>
                <w:rFonts w:ascii="Times New Roman Regular" w:hAnsi="Times New Roman Regular" w:cs="Times New Roman Regular"/>
                <w:b w:val="0"/>
                <w:bCs/>
                <w:color w:val="auto"/>
                <w:kern w:val="0"/>
                <w:highlight w:val="none"/>
                <w:lang w:bidi="ar"/>
              </w:rPr>
              <w:t>。</w:t>
            </w:r>
          </w:p>
          <w:p w14:paraId="30495324">
            <w:pPr>
              <w:widowControl/>
              <w:ind w:firstLine="480" w:firstLineChars="200"/>
              <w:jc w:val="left"/>
              <w:rPr>
                <w:color w:val="auto"/>
                <w:highlight w:val="none"/>
              </w:rPr>
            </w:pPr>
            <w:r>
              <w:rPr>
                <w:rFonts w:ascii="宋体" w:hAnsi="宋体" w:cs="宋体"/>
                <w:color w:val="auto"/>
                <w:kern w:val="0"/>
                <w:sz w:val="24"/>
                <w:highlight w:val="none"/>
                <w:lang w:bidi="ar"/>
              </w:rPr>
              <w:t>⑥计算某个室外声源在预测点产生的倍频带声压级：</w:t>
            </w:r>
          </w:p>
          <w:p w14:paraId="5DE68141">
            <w:pPr>
              <w:pStyle w:val="58"/>
              <w:ind w:firstLine="0" w:firstLineChars="0"/>
              <w:jc w:val="center"/>
              <w:rPr>
                <w:rFonts w:ascii="Times New Roman Regular" w:hAnsi="Times New Roman Regular" w:cs="Times New Roman Regular"/>
                <w:color w:val="auto"/>
                <w:highlight w:val="none"/>
              </w:rPr>
            </w:pPr>
            <w:r>
              <w:rPr>
                <w:color w:val="auto"/>
                <w:highlight w:val="none"/>
              </w:rPr>
              <w:drawing>
                <wp:inline distT="0" distB="0" distL="114300" distR="114300">
                  <wp:extent cx="1571625" cy="323850"/>
                  <wp:effectExtent l="0" t="0" r="9525"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44"/>
                          <a:stretch>
                            <a:fillRect/>
                          </a:stretch>
                        </pic:blipFill>
                        <pic:spPr>
                          <a:xfrm>
                            <a:off x="0" y="0"/>
                            <a:ext cx="1571625" cy="323850"/>
                          </a:xfrm>
                          <a:prstGeom prst="rect">
                            <a:avLst/>
                          </a:prstGeom>
                          <a:noFill/>
                          <a:ln>
                            <a:noFill/>
                          </a:ln>
                        </pic:spPr>
                      </pic:pic>
                    </a:graphicData>
                  </a:graphic>
                </wp:inline>
              </w:drawing>
            </w:r>
          </w:p>
          <w:p w14:paraId="7205417D">
            <w:pPr>
              <w:widowControl/>
              <w:spacing w:line="360" w:lineRule="auto"/>
              <w:ind w:firstLine="480" w:firstLineChars="2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式中：L</w:t>
            </w:r>
            <w:r>
              <w:rPr>
                <w:rFonts w:hint="eastAsia" w:ascii="Times New Roman Regular" w:hAnsi="Times New Roman Regular" w:cs="Times New Roman Regular"/>
                <w:color w:val="auto"/>
                <w:kern w:val="0"/>
                <w:sz w:val="24"/>
                <w:highlight w:val="none"/>
                <w:vertAlign w:val="subscript"/>
                <w:lang w:bidi="ar"/>
              </w:rPr>
              <w:t>p</w:t>
            </w:r>
            <w:r>
              <w:rPr>
                <w:rFonts w:hint="eastAsia" w:ascii="Times New Roman Regular" w:hAnsi="Times New Roman Regular" w:cs="Times New Roman Regular"/>
                <w:color w:val="auto"/>
                <w:kern w:val="0"/>
                <w:sz w:val="24"/>
                <w:highlight w:val="none"/>
                <w:lang w:eastAsia="zh-CN" w:bidi="ar"/>
              </w:rPr>
              <w:t>（</w:t>
            </w:r>
            <w:r>
              <w:rPr>
                <w:rFonts w:hint="eastAsia" w:ascii="Times New Roman Regular" w:hAnsi="Times New Roman Regular" w:cs="Times New Roman Regular"/>
                <w:color w:val="auto"/>
                <w:kern w:val="0"/>
                <w:sz w:val="24"/>
                <w:highlight w:val="none"/>
                <w:lang w:val="en-US" w:eastAsia="zh-CN" w:bidi="ar"/>
              </w:rPr>
              <w:t>r</w:t>
            </w:r>
            <w:r>
              <w:rPr>
                <w:rFonts w:hint="eastAsia" w:ascii="Times New Roman Regular" w:hAnsi="Times New Roman Regular" w:cs="Times New Roman Regular"/>
                <w:color w:val="auto"/>
                <w:kern w:val="0"/>
                <w:sz w:val="24"/>
                <w:highlight w:val="none"/>
                <w:lang w:eastAsia="zh-CN" w:bidi="ar"/>
              </w:rPr>
              <w:t>）</w:t>
            </w:r>
            <w:r>
              <w:rPr>
                <w:rFonts w:hint="eastAsia" w:ascii="Times New Roman Regular" w:hAnsi="Times New Roman Regular" w:cs="Times New Roman Regular"/>
                <w:color w:val="auto"/>
                <w:kern w:val="0"/>
                <w:sz w:val="24"/>
                <w:highlight w:val="none"/>
                <w:lang w:bidi="ar"/>
              </w:rPr>
              <w:t>——预测点处声压级，dB；</w:t>
            </w:r>
          </w:p>
          <w:p w14:paraId="029FAA4B">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Lp</w:t>
            </w:r>
            <w:r>
              <w:rPr>
                <w:rFonts w:hint="eastAsia" w:ascii="Times New Roman Regular" w:hAnsi="Times New Roman Regular" w:cs="Times New Roman Regular"/>
                <w:color w:val="auto"/>
                <w:kern w:val="0"/>
                <w:sz w:val="24"/>
                <w:highlight w:val="none"/>
                <w:lang w:eastAsia="zh-CN" w:bidi="ar"/>
              </w:rPr>
              <w:t>（</w:t>
            </w:r>
            <w:r>
              <w:rPr>
                <w:rFonts w:hint="eastAsia" w:ascii="Times New Roman Regular" w:hAnsi="Times New Roman Regular" w:cs="Times New Roman Regular"/>
                <w:color w:val="auto"/>
                <w:kern w:val="0"/>
                <w:sz w:val="24"/>
                <w:highlight w:val="none"/>
                <w:lang w:bidi="ar"/>
              </w:rPr>
              <w:t>r</w:t>
            </w:r>
            <w:r>
              <w:rPr>
                <w:rFonts w:hint="eastAsia" w:ascii="Times New Roman Regular" w:hAnsi="Times New Roman Regular" w:cs="Times New Roman Regular"/>
                <w:color w:val="auto"/>
                <w:kern w:val="0"/>
                <w:sz w:val="24"/>
                <w:highlight w:val="none"/>
                <w:vertAlign w:val="subscript"/>
                <w:lang w:bidi="ar"/>
              </w:rPr>
              <w:t>0</w:t>
            </w:r>
            <w:r>
              <w:rPr>
                <w:rFonts w:hint="eastAsia" w:ascii="Times New Roman Regular" w:hAnsi="Times New Roman Regular" w:cs="Times New Roman Regular"/>
                <w:color w:val="auto"/>
                <w:kern w:val="0"/>
                <w:sz w:val="24"/>
                <w:highlight w:val="none"/>
                <w:lang w:eastAsia="zh-CN" w:bidi="ar"/>
              </w:rPr>
              <w:t>）</w:t>
            </w:r>
            <w:r>
              <w:rPr>
                <w:rFonts w:hint="eastAsia" w:ascii="Times New Roman Regular" w:hAnsi="Times New Roman Regular" w:cs="Times New Roman Regular"/>
                <w:color w:val="auto"/>
                <w:kern w:val="0"/>
                <w:sz w:val="24"/>
                <w:highlight w:val="none"/>
                <w:lang w:bidi="ar"/>
              </w:rPr>
              <w:t>——参考位置r</w:t>
            </w:r>
            <w:r>
              <w:rPr>
                <w:rFonts w:hint="eastAsia" w:ascii="Times New Roman Regular" w:hAnsi="Times New Roman Regular" w:cs="Times New Roman Regular"/>
                <w:color w:val="auto"/>
                <w:kern w:val="0"/>
                <w:sz w:val="24"/>
                <w:highlight w:val="none"/>
                <w:vertAlign w:val="subscript"/>
                <w:lang w:bidi="ar"/>
              </w:rPr>
              <w:t>0</w:t>
            </w:r>
            <w:r>
              <w:rPr>
                <w:rFonts w:hint="eastAsia" w:ascii="Times New Roman Regular" w:hAnsi="Times New Roman Regular" w:cs="Times New Roman Regular"/>
                <w:color w:val="auto"/>
                <w:kern w:val="0"/>
                <w:sz w:val="24"/>
                <w:highlight w:val="none"/>
                <w:lang w:bidi="ar"/>
              </w:rPr>
              <w:t>处的声压级，dB；</w:t>
            </w:r>
          </w:p>
          <w:p w14:paraId="50CED824">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r——预测点距声源的距离；</w:t>
            </w:r>
          </w:p>
          <w:p w14:paraId="72A759BF">
            <w:pPr>
              <w:widowControl/>
              <w:spacing w:line="360" w:lineRule="auto"/>
              <w:ind w:firstLine="1200" w:firstLineChars="5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r</w:t>
            </w:r>
            <w:r>
              <w:rPr>
                <w:rFonts w:hint="eastAsia" w:ascii="Times New Roman Regular" w:hAnsi="Times New Roman Regular" w:cs="Times New Roman Regular"/>
                <w:color w:val="auto"/>
                <w:kern w:val="0"/>
                <w:sz w:val="24"/>
                <w:highlight w:val="none"/>
                <w:vertAlign w:val="subscript"/>
                <w:lang w:bidi="ar"/>
              </w:rPr>
              <w:t>0</w:t>
            </w:r>
            <w:r>
              <w:rPr>
                <w:rFonts w:hint="eastAsia" w:ascii="Times New Roman Regular" w:hAnsi="Times New Roman Regular" w:cs="Times New Roman Regular"/>
                <w:color w:val="auto"/>
                <w:kern w:val="0"/>
                <w:sz w:val="24"/>
                <w:highlight w:val="none"/>
                <w:lang w:bidi="ar"/>
              </w:rPr>
              <w:t>——参考位置距声源的距离。</w:t>
            </w:r>
          </w:p>
          <w:p w14:paraId="0C5F56F8">
            <w:pPr>
              <w:widowControl/>
              <w:spacing w:line="360" w:lineRule="auto"/>
              <w:ind w:firstLine="480" w:firstLineChars="200"/>
              <w:jc w:val="left"/>
              <w:rPr>
                <w:rFonts w:ascii="Times New Roman Regular" w:hAnsi="Times New Roman Regular" w:cs="Times New Roman Regular"/>
                <w:color w:val="auto"/>
                <w:kern w:val="0"/>
                <w:sz w:val="24"/>
                <w:highlight w:val="none"/>
                <w:lang w:bidi="ar"/>
              </w:rPr>
            </w:pPr>
            <w:r>
              <w:rPr>
                <w:rFonts w:hint="eastAsia" w:ascii="Times New Roman Regular" w:hAnsi="Times New Roman Regular" w:cs="Times New Roman Regular"/>
                <w:color w:val="auto"/>
                <w:kern w:val="0"/>
                <w:sz w:val="24"/>
                <w:highlight w:val="none"/>
                <w:lang w:bidi="ar"/>
              </w:rPr>
              <w:t>如果已知声源的倍频带声功率级L</w:t>
            </w:r>
            <w:r>
              <w:rPr>
                <w:rFonts w:ascii="Times New Roman Regular" w:hAnsi="Times New Roman Regular" w:cs="Times New Roman Regular"/>
                <w:color w:val="auto"/>
                <w:kern w:val="0"/>
                <w:sz w:val="24"/>
                <w:highlight w:val="none"/>
                <w:lang w:bidi="ar"/>
              </w:rPr>
              <w:t>a</w:t>
            </w:r>
            <w:r>
              <w:rPr>
                <w:rFonts w:hint="eastAsia" w:ascii="Times New Roman Regular" w:hAnsi="Times New Roman Regular" w:cs="Times New Roman Regular"/>
                <w:color w:val="auto"/>
                <w:kern w:val="0"/>
                <w:sz w:val="24"/>
                <w:highlight w:val="none"/>
                <w:lang w:bidi="ar"/>
              </w:rPr>
              <w:t>w，且声源处于自由声场，则</w:t>
            </w:r>
            <w:r>
              <w:rPr>
                <w:rFonts w:ascii="Times New Roman Regular" w:hAnsi="Times New Roman Regular" w:cs="Times New Roman Regular"/>
                <w:color w:val="auto"/>
                <w:kern w:val="0"/>
                <w:sz w:val="24"/>
                <w:highlight w:val="none"/>
                <w:lang w:bidi="ar"/>
              </w:rPr>
              <w:t>：</w:t>
            </w:r>
          </w:p>
          <w:p w14:paraId="51D9CCB5">
            <w:pPr>
              <w:pStyle w:val="58"/>
              <w:ind w:firstLine="0" w:firstLineChars="0"/>
              <w:jc w:val="center"/>
              <w:rPr>
                <w:rFonts w:cs="Times New Roman"/>
                <w:color w:val="auto"/>
                <w:highlight w:val="none"/>
              </w:rPr>
            </w:pPr>
            <w:r>
              <w:rPr>
                <w:color w:val="auto"/>
                <w:highlight w:val="none"/>
              </w:rPr>
              <w:drawing>
                <wp:inline distT="0" distB="0" distL="114300" distR="114300">
                  <wp:extent cx="1866900" cy="381000"/>
                  <wp:effectExtent l="0" t="0" r="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45"/>
                          <a:stretch>
                            <a:fillRect/>
                          </a:stretch>
                        </pic:blipFill>
                        <pic:spPr>
                          <a:xfrm>
                            <a:off x="0" y="0"/>
                            <a:ext cx="1866900" cy="381000"/>
                          </a:xfrm>
                          <a:prstGeom prst="rect">
                            <a:avLst/>
                          </a:prstGeom>
                          <a:noFill/>
                          <a:ln>
                            <a:noFill/>
                          </a:ln>
                        </pic:spPr>
                      </pic:pic>
                    </a:graphicData>
                  </a:graphic>
                </wp:inline>
              </w:drawing>
            </w:r>
          </w:p>
          <w:p w14:paraId="117A6392">
            <w:pPr>
              <w:widowControl/>
              <w:spacing w:line="360" w:lineRule="auto"/>
              <w:ind w:firstLine="480" w:firstLineChars="200"/>
              <w:jc w:val="left"/>
              <w:rPr>
                <w:rFonts w:ascii="Times New Roman Regular" w:hAnsi="Times New Roman Regular" w:cs="Times New Roman Regular"/>
                <w:color w:val="auto"/>
                <w:kern w:val="0"/>
                <w:sz w:val="24"/>
                <w:highlight w:val="none"/>
                <w:lang w:bidi="ar"/>
              </w:rPr>
            </w:pPr>
            <w:r>
              <w:rPr>
                <w:rFonts w:ascii="Times New Roman Regular" w:hAnsi="Times New Roman Regular" w:cs="Times New Roman Regular"/>
                <w:color w:val="auto"/>
                <w:kern w:val="0"/>
                <w:sz w:val="24"/>
                <w:highlight w:val="none"/>
                <w:lang w:bidi="ar"/>
              </w:rPr>
              <w:t>⑦由各倍频带声压级合成计算该声源产生的A声级Leq</w:t>
            </w:r>
            <w:r>
              <w:rPr>
                <w:rFonts w:hint="eastAsia" w:ascii="Times New Roman Regular" w:hAnsi="Times New Roman Regular" w:cs="Times New Roman Regular"/>
                <w:color w:val="auto"/>
                <w:kern w:val="0"/>
                <w:sz w:val="24"/>
                <w:highlight w:val="none"/>
                <w:lang w:eastAsia="zh-CN" w:bidi="ar"/>
              </w:rPr>
              <w:t>（</w:t>
            </w:r>
            <w:r>
              <w:rPr>
                <w:rFonts w:ascii="Times New Roman Regular" w:hAnsi="Times New Roman Regular" w:cs="Times New Roman Regular"/>
                <w:color w:val="auto"/>
                <w:kern w:val="0"/>
                <w:sz w:val="24"/>
                <w:highlight w:val="none"/>
                <w:lang w:bidi="ar"/>
              </w:rPr>
              <w:t>A</w:t>
            </w:r>
            <w:r>
              <w:rPr>
                <w:rFonts w:hint="eastAsia" w:ascii="Times New Roman Regular" w:hAnsi="Times New Roman Regular" w:cs="Times New Roman Regular"/>
                <w:color w:val="auto"/>
                <w:kern w:val="0"/>
                <w:sz w:val="24"/>
                <w:highlight w:val="none"/>
                <w:lang w:eastAsia="zh-CN" w:bidi="ar"/>
              </w:rPr>
              <w:t>）</w:t>
            </w:r>
            <w:r>
              <w:rPr>
                <w:rFonts w:ascii="Times New Roman Regular" w:hAnsi="Times New Roman Regular" w:cs="Times New Roman Regular"/>
                <w:color w:val="auto"/>
                <w:kern w:val="0"/>
                <w:sz w:val="24"/>
                <w:highlight w:val="none"/>
                <w:lang w:bidi="ar"/>
              </w:rPr>
              <w:t>。</w:t>
            </w:r>
          </w:p>
          <w:p w14:paraId="001397A1">
            <w:pPr>
              <w:widowControl/>
              <w:spacing w:line="360" w:lineRule="auto"/>
              <w:ind w:firstLine="480" w:firstLineChars="200"/>
              <w:jc w:val="left"/>
              <w:rPr>
                <w:rFonts w:ascii="Times New Roman Regular" w:hAnsi="Times New Roman Regular" w:cs="Times New Roman Regular"/>
                <w:color w:val="auto"/>
                <w:highlight w:val="none"/>
              </w:rPr>
            </w:pPr>
            <w:r>
              <w:rPr>
                <w:rFonts w:ascii="Times New Roman Regular" w:hAnsi="Times New Roman Regular" w:cs="Times New Roman Regular"/>
                <w:color w:val="auto"/>
                <w:kern w:val="0"/>
                <w:sz w:val="24"/>
                <w:highlight w:val="none"/>
                <w:lang w:bidi="ar"/>
              </w:rPr>
              <w:t>⑧计算总声压级设第i个室外声源在预测点产生的A声级为Lai，在T时间内该声源工作时间为ti；第j个等效室外声源在预测点产生的A声级为Laj，在T时间内该声源工作时间为jt，则拟建工程声源对预测点产生的贡献值（Leqg）为：</w:t>
            </w:r>
          </w:p>
          <w:p w14:paraId="219CEC8A">
            <w:pPr>
              <w:pStyle w:val="58"/>
              <w:ind w:firstLine="420"/>
              <w:jc w:val="center"/>
              <w:rPr>
                <w:rFonts w:cs="Times New Roman"/>
                <w:color w:val="auto"/>
                <w:highlight w:val="none"/>
              </w:rPr>
            </w:pPr>
            <w:r>
              <w:rPr>
                <w:color w:val="auto"/>
                <w:highlight w:val="none"/>
              </w:rPr>
              <w:drawing>
                <wp:inline distT="0" distB="0" distL="114300" distR="114300">
                  <wp:extent cx="2409825" cy="552450"/>
                  <wp:effectExtent l="0" t="0" r="9525"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46"/>
                          <a:stretch>
                            <a:fillRect/>
                          </a:stretch>
                        </pic:blipFill>
                        <pic:spPr>
                          <a:xfrm>
                            <a:off x="0" y="0"/>
                            <a:ext cx="2409825" cy="552450"/>
                          </a:xfrm>
                          <a:prstGeom prst="rect">
                            <a:avLst/>
                          </a:prstGeom>
                          <a:noFill/>
                          <a:ln>
                            <a:noFill/>
                          </a:ln>
                        </pic:spPr>
                      </pic:pic>
                    </a:graphicData>
                  </a:graphic>
                </wp:inline>
              </w:drawing>
            </w:r>
          </w:p>
          <w:p w14:paraId="73F59463">
            <w:pPr>
              <w:pStyle w:val="58"/>
              <w:rPr>
                <w:rFonts w:cs="Times New Roman"/>
                <w:color w:val="auto"/>
                <w:sz w:val="24"/>
                <w:szCs w:val="24"/>
                <w:highlight w:val="none"/>
              </w:rPr>
            </w:pPr>
            <w:r>
              <w:rPr>
                <w:rFonts w:cs="Times New Roman"/>
                <w:color w:val="auto"/>
                <w:sz w:val="24"/>
                <w:szCs w:val="24"/>
                <w:highlight w:val="none"/>
              </w:rPr>
              <w:t>式中：L</w:t>
            </w:r>
            <w:r>
              <w:rPr>
                <w:rFonts w:cs="Times New Roman"/>
                <w:color w:val="auto"/>
                <w:sz w:val="24"/>
                <w:szCs w:val="24"/>
                <w:highlight w:val="none"/>
                <w:vertAlign w:val="subscript"/>
              </w:rPr>
              <w:t>eqg</w:t>
            </w:r>
            <w:r>
              <w:rPr>
                <w:rFonts w:cs="Times New Roman"/>
                <w:color w:val="auto"/>
                <w:sz w:val="24"/>
                <w:szCs w:val="24"/>
                <w:highlight w:val="none"/>
              </w:rPr>
              <w:t>——建设项目声源在预测点产生的噪声贡献值，dB；</w:t>
            </w:r>
          </w:p>
          <w:p w14:paraId="6B64D0A3">
            <w:pPr>
              <w:pStyle w:val="58"/>
              <w:ind w:firstLine="1264" w:firstLineChars="527"/>
              <w:rPr>
                <w:rFonts w:cs="Times New Roman"/>
                <w:color w:val="auto"/>
                <w:sz w:val="24"/>
                <w:szCs w:val="24"/>
                <w:highlight w:val="none"/>
              </w:rPr>
            </w:pPr>
            <w:r>
              <w:rPr>
                <w:rFonts w:cs="Times New Roman"/>
                <w:color w:val="auto"/>
                <w:sz w:val="24"/>
                <w:szCs w:val="24"/>
                <w:highlight w:val="none"/>
              </w:rPr>
              <w:t>T——用于计算等效声级的时间，s；</w:t>
            </w:r>
          </w:p>
          <w:p w14:paraId="28D336FD">
            <w:pPr>
              <w:pStyle w:val="58"/>
              <w:ind w:firstLine="1264" w:firstLineChars="527"/>
              <w:rPr>
                <w:rFonts w:cs="Times New Roman"/>
                <w:color w:val="auto"/>
                <w:sz w:val="24"/>
                <w:szCs w:val="24"/>
                <w:highlight w:val="none"/>
              </w:rPr>
            </w:pPr>
            <w:r>
              <w:rPr>
                <w:rFonts w:cs="Times New Roman"/>
                <w:color w:val="auto"/>
                <w:sz w:val="24"/>
                <w:szCs w:val="24"/>
                <w:highlight w:val="none"/>
              </w:rPr>
              <w:t>N——室外声源个数；</w:t>
            </w:r>
          </w:p>
          <w:p w14:paraId="72E5CB0F">
            <w:pPr>
              <w:pStyle w:val="58"/>
              <w:ind w:firstLine="1264" w:firstLineChars="527"/>
              <w:rPr>
                <w:rFonts w:cs="Times New Roman"/>
                <w:color w:val="auto"/>
                <w:sz w:val="24"/>
                <w:szCs w:val="24"/>
                <w:highlight w:val="none"/>
              </w:rPr>
            </w:pPr>
            <w:r>
              <w:rPr>
                <w:rFonts w:cs="Times New Roman"/>
                <w:color w:val="auto"/>
                <w:sz w:val="24"/>
                <w:szCs w:val="24"/>
                <w:highlight w:val="none"/>
              </w:rPr>
              <w:t>ti——在T时间内i声源工作时间，s；</w:t>
            </w:r>
          </w:p>
          <w:p w14:paraId="58B0AF6B">
            <w:pPr>
              <w:pStyle w:val="58"/>
              <w:ind w:firstLine="1264" w:firstLineChars="527"/>
              <w:rPr>
                <w:rFonts w:cs="Times New Roman"/>
                <w:color w:val="auto"/>
                <w:sz w:val="24"/>
                <w:szCs w:val="24"/>
                <w:highlight w:val="none"/>
              </w:rPr>
            </w:pPr>
            <w:r>
              <w:rPr>
                <w:rFonts w:cs="Times New Roman"/>
                <w:color w:val="auto"/>
                <w:sz w:val="24"/>
                <w:szCs w:val="24"/>
                <w:highlight w:val="none"/>
              </w:rPr>
              <w:t>M——等效室外声源个数；</w:t>
            </w:r>
          </w:p>
          <w:p w14:paraId="307F23DE">
            <w:pPr>
              <w:keepNext w:val="0"/>
              <w:keepLines w:val="0"/>
              <w:suppressLineNumbers w:val="0"/>
              <w:adjustRightInd w:val="0"/>
              <w:snapToGrid w:val="0"/>
              <w:spacing w:before="0" w:beforeAutospacing="0" w:after="0" w:afterAutospacing="0" w:line="360" w:lineRule="auto"/>
              <w:ind w:left="0" w:right="0" w:firstLine="1200" w:firstLineChars="500"/>
              <w:rPr>
                <w:rFonts w:hint="eastAsia"/>
                <w:b/>
                <w:bCs/>
                <w:color w:val="auto"/>
                <w:szCs w:val="21"/>
                <w:highlight w:val="none"/>
              </w:rPr>
            </w:pPr>
            <w:r>
              <w:rPr>
                <w:rFonts w:cs="Times New Roman"/>
                <w:color w:val="auto"/>
                <w:sz w:val="24"/>
                <w:szCs w:val="24"/>
                <w:highlight w:val="none"/>
              </w:rPr>
              <w:t>tj——在T时间内j声源工作时间，s。</w:t>
            </w:r>
          </w:p>
          <w:p w14:paraId="1EAFA2DC">
            <w:pPr>
              <w:spacing w:line="360" w:lineRule="auto"/>
              <w:rPr>
                <w:color w:val="auto"/>
                <w:sz w:val="24"/>
                <w:szCs w:val="24"/>
                <w:highlight w:val="none"/>
              </w:rPr>
            </w:pPr>
            <w:r>
              <w:rPr>
                <w:rFonts w:hint="eastAsia"/>
                <w:b/>
                <w:bCs/>
                <w:color w:val="auto"/>
                <w:sz w:val="24"/>
                <w:szCs w:val="24"/>
                <w:highlight w:val="none"/>
              </w:rPr>
              <w:t>3.</w:t>
            </w:r>
            <w:r>
              <w:rPr>
                <w:b/>
                <w:bCs/>
                <w:color w:val="auto"/>
                <w:sz w:val="24"/>
                <w:szCs w:val="24"/>
                <w:highlight w:val="none"/>
              </w:rPr>
              <w:t>3</w:t>
            </w:r>
            <w:r>
              <w:rPr>
                <w:rFonts w:hint="eastAsia"/>
                <w:b/>
                <w:bCs/>
                <w:color w:val="auto"/>
                <w:sz w:val="24"/>
                <w:szCs w:val="24"/>
                <w:highlight w:val="none"/>
              </w:rPr>
              <w:t xml:space="preserve">  </w:t>
            </w:r>
            <w:r>
              <w:rPr>
                <w:b/>
                <w:bCs/>
                <w:color w:val="auto"/>
                <w:sz w:val="24"/>
                <w:szCs w:val="24"/>
                <w:highlight w:val="none"/>
              </w:rPr>
              <w:t>预测结果</w:t>
            </w:r>
          </w:p>
          <w:p w14:paraId="5307A64A">
            <w:pPr>
              <w:autoSpaceDE w:val="0"/>
              <w:autoSpaceDN w:val="0"/>
              <w:adjustRightInd w:val="0"/>
              <w:spacing w:line="360" w:lineRule="auto"/>
              <w:ind w:firstLine="480" w:firstLineChars="200"/>
              <w:rPr>
                <w:color w:val="auto"/>
                <w:szCs w:val="21"/>
                <w:highlight w:val="none"/>
              </w:rPr>
            </w:pPr>
            <w:r>
              <w:rPr>
                <w:rFonts w:hint="eastAsia"/>
                <w:color w:val="auto"/>
                <w:sz w:val="24"/>
                <w:szCs w:val="24"/>
                <w:highlight w:val="none"/>
              </w:rPr>
              <w:t>采用上述预测模式计算各预测点处噪声值，评价其对厂界四周的声环境影响。</w:t>
            </w:r>
          </w:p>
          <w:p w14:paraId="678352F3">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厂界环境噪声预测结果</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218"/>
              <w:gridCol w:w="1742"/>
              <w:gridCol w:w="1324"/>
              <w:gridCol w:w="1327"/>
              <w:gridCol w:w="1840"/>
            </w:tblGrid>
            <w:tr w14:paraId="3C9A2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89" w:type="pct"/>
                  <w:tcBorders>
                    <w:tl2br w:val="nil"/>
                    <w:tr2bl w:val="nil"/>
                  </w:tcBorders>
                  <w:vAlign w:val="center"/>
                </w:tcPr>
                <w:p w14:paraId="34122DF6">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点位</w:t>
                  </w:r>
                </w:p>
              </w:tc>
              <w:tc>
                <w:tcPr>
                  <w:tcW w:w="655" w:type="pct"/>
                  <w:vMerge w:val="restart"/>
                  <w:tcBorders>
                    <w:tl2br w:val="nil"/>
                    <w:tr2bl w:val="nil"/>
                  </w:tcBorders>
                  <w:vAlign w:val="center"/>
                </w:tcPr>
                <w:p w14:paraId="387A0F9C">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时段</w:t>
                  </w:r>
                </w:p>
              </w:tc>
              <w:tc>
                <w:tcPr>
                  <w:tcW w:w="937" w:type="pct"/>
                  <w:tcBorders>
                    <w:tl2br w:val="nil"/>
                    <w:tr2bl w:val="nil"/>
                  </w:tcBorders>
                  <w:vAlign w:val="center"/>
                </w:tcPr>
                <w:p w14:paraId="3DB593F6">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贡献值dB</w:t>
                  </w:r>
                  <w:r>
                    <w:rPr>
                      <w:rFonts w:hint="default" w:ascii="Times New Roman" w:hAnsi="Times New Roman" w:eastAsia="仿宋" w:cs="Times New Roman"/>
                      <w:b/>
                      <w:bCs/>
                      <w:color w:val="auto"/>
                      <w:sz w:val="21"/>
                      <w:szCs w:val="21"/>
                      <w:highlight w:val="none"/>
                      <w:lang w:val="en-US" w:eastAsia="zh-CN"/>
                    </w:rPr>
                    <w:t>(</w:t>
                  </w:r>
                  <w:r>
                    <w:rPr>
                      <w:rFonts w:hint="default" w:ascii="Times New Roman" w:hAnsi="Times New Roman" w:eastAsia="仿宋" w:cs="Times New Roman"/>
                      <w:b/>
                      <w:bCs/>
                      <w:color w:val="auto"/>
                      <w:sz w:val="21"/>
                      <w:szCs w:val="21"/>
                      <w:highlight w:val="none"/>
                    </w:rPr>
                    <w:t>A</w:t>
                  </w:r>
                  <w:r>
                    <w:rPr>
                      <w:rFonts w:hint="default" w:ascii="Times New Roman" w:hAnsi="Times New Roman" w:eastAsia="仿宋" w:cs="Times New Roman"/>
                      <w:b/>
                      <w:bCs/>
                      <w:color w:val="auto"/>
                      <w:sz w:val="21"/>
                      <w:szCs w:val="21"/>
                      <w:highlight w:val="none"/>
                      <w:lang w:val="en-US" w:eastAsia="zh-CN"/>
                    </w:rPr>
                    <w:t>)</w:t>
                  </w:r>
                </w:p>
              </w:tc>
              <w:tc>
                <w:tcPr>
                  <w:tcW w:w="1426" w:type="pct"/>
                  <w:gridSpan w:val="2"/>
                  <w:tcBorders>
                    <w:tl2br w:val="nil"/>
                    <w:tr2bl w:val="nil"/>
                  </w:tcBorders>
                  <w:vAlign w:val="center"/>
                </w:tcPr>
                <w:p w14:paraId="79FA185C">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标准值dB(A)</w:t>
                  </w:r>
                </w:p>
              </w:tc>
              <w:tc>
                <w:tcPr>
                  <w:tcW w:w="990" w:type="pct"/>
                  <w:tcBorders>
                    <w:tl2br w:val="nil"/>
                    <w:tr2bl w:val="nil"/>
                  </w:tcBorders>
                  <w:vAlign w:val="center"/>
                </w:tcPr>
                <w:p w14:paraId="0A857304">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评价结果</w:t>
                  </w:r>
                </w:p>
              </w:tc>
            </w:tr>
            <w:tr w14:paraId="6D1D1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89" w:type="pct"/>
                  <w:tcBorders>
                    <w:tl2br w:val="nil"/>
                    <w:tr2bl w:val="nil"/>
                  </w:tcBorders>
                  <w:vAlign w:val="center"/>
                </w:tcPr>
                <w:p w14:paraId="6611FC40">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东厂界</w:t>
                  </w:r>
                </w:p>
              </w:tc>
              <w:tc>
                <w:tcPr>
                  <w:tcW w:w="655" w:type="pct"/>
                  <w:vMerge w:val="restart"/>
                  <w:tcBorders>
                    <w:tl2br w:val="nil"/>
                    <w:tr2bl w:val="nil"/>
                  </w:tcBorders>
                  <w:vAlign w:val="center"/>
                </w:tcPr>
                <w:p w14:paraId="5B071A4F">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昼</w:t>
                  </w:r>
                </w:p>
              </w:tc>
              <w:tc>
                <w:tcPr>
                  <w:tcW w:w="937" w:type="pct"/>
                  <w:tcBorders>
                    <w:tl2br w:val="nil"/>
                    <w:tr2bl w:val="nil"/>
                  </w:tcBorders>
                  <w:vAlign w:val="center"/>
                </w:tcPr>
                <w:p w14:paraId="3A893A97">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712" w:type="pct"/>
                  <w:vMerge w:val="restart"/>
                  <w:tcBorders>
                    <w:tl2br w:val="nil"/>
                    <w:tr2bl w:val="nil"/>
                  </w:tcBorders>
                  <w:vAlign w:val="center"/>
                </w:tcPr>
                <w:p w14:paraId="47415421">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b/>
                      <w:bCs/>
                      <w:color w:val="auto"/>
                      <w:sz w:val="21"/>
                      <w:szCs w:val="21"/>
                      <w:highlight w:val="none"/>
                    </w:rPr>
                    <w:t>昼间</w:t>
                  </w:r>
                </w:p>
              </w:tc>
              <w:tc>
                <w:tcPr>
                  <w:tcW w:w="714" w:type="pct"/>
                  <w:tcBorders>
                    <w:tl2br w:val="nil"/>
                    <w:tr2bl w:val="nil"/>
                  </w:tcBorders>
                  <w:shd w:val="clear" w:color="auto" w:fill="auto"/>
                  <w:vAlign w:val="center"/>
                </w:tcPr>
                <w:p w14:paraId="2AE76648">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eastAsia"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highlight w:val="none"/>
                    </w:rPr>
                    <w:t>6</w:t>
                  </w:r>
                  <w:r>
                    <w:rPr>
                      <w:rFonts w:hint="eastAsia" w:ascii="Times New Roman" w:eastAsia="仿宋" w:cs="Times New Roman"/>
                      <w:color w:val="auto"/>
                      <w:sz w:val="21"/>
                      <w:szCs w:val="21"/>
                      <w:highlight w:val="none"/>
                      <w:lang w:val="en-US" w:eastAsia="zh-CN"/>
                    </w:rPr>
                    <w:t>0</w:t>
                  </w:r>
                </w:p>
              </w:tc>
              <w:tc>
                <w:tcPr>
                  <w:tcW w:w="990" w:type="pct"/>
                  <w:tcBorders>
                    <w:tl2br w:val="nil"/>
                    <w:tr2bl w:val="nil"/>
                  </w:tcBorders>
                  <w:vAlign w:val="center"/>
                </w:tcPr>
                <w:p w14:paraId="30454962">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14:paraId="39285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989" w:type="pct"/>
                  <w:tcBorders>
                    <w:tl2br w:val="nil"/>
                    <w:tr2bl w:val="nil"/>
                  </w:tcBorders>
                  <w:vAlign w:val="center"/>
                </w:tcPr>
                <w:p w14:paraId="0FB42BBC">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南厂界</w:t>
                  </w:r>
                </w:p>
              </w:tc>
              <w:tc>
                <w:tcPr>
                  <w:tcW w:w="655" w:type="pct"/>
                  <w:vMerge w:val="continue"/>
                  <w:tcBorders>
                    <w:tl2br w:val="nil"/>
                    <w:tr2bl w:val="nil"/>
                  </w:tcBorders>
                  <w:vAlign w:val="center"/>
                </w:tcPr>
                <w:p w14:paraId="0DFE7962">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p>
              </w:tc>
              <w:tc>
                <w:tcPr>
                  <w:tcW w:w="937" w:type="pct"/>
                  <w:tcBorders>
                    <w:tl2br w:val="nil"/>
                    <w:tr2bl w:val="nil"/>
                  </w:tcBorders>
                  <w:vAlign w:val="center"/>
                </w:tcPr>
                <w:p w14:paraId="76834CE9">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50</w:t>
                  </w:r>
                </w:p>
              </w:tc>
              <w:tc>
                <w:tcPr>
                  <w:tcW w:w="712" w:type="pct"/>
                  <w:vMerge w:val="continue"/>
                  <w:tcBorders>
                    <w:tl2br w:val="nil"/>
                    <w:tr2bl w:val="nil"/>
                  </w:tcBorders>
                  <w:vAlign w:val="center"/>
                </w:tcPr>
                <w:p w14:paraId="46EBD6F1">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p>
              </w:tc>
              <w:tc>
                <w:tcPr>
                  <w:tcW w:w="714" w:type="pct"/>
                  <w:tcBorders>
                    <w:tl2br w:val="nil"/>
                    <w:tr2bl w:val="nil"/>
                  </w:tcBorders>
                  <w:shd w:val="clear" w:color="auto" w:fill="auto"/>
                  <w:vAlign w:val="center"/>
                </w:tcPr>
                <w:p w14:paraId="377A53EC">
                  <w:pPr>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highlight w:val="none"/>
                    </w:rPr>
                    <w:t>6</w:t>
                  </w:r>
                  <w:r>
                    <w:rPr>
                      <w:rFonts w:hint="eastAsia" w:ascii="Times New Roman" w:eastAsia="仿宋" w:cs="Times New Roman"/>
                      <w:color w:val="auto"/>
                      <w:sz w:val="21"/>
                      <w:szCs w:val="21"/>
                      <w:highlight w:val="none"/>
                      <w:lang w:val="en-US" w:eastAsia="zh-CN"/>
                    </w:rPr>
                    <w:t>0</w:t>
                  </w:r>
                </w:p>
              </w:tc>
              <w:tc>
                <w:tcPr>
                  <w:tcW w:w="990" w:type="pct"/>
                  <w:tcBorders>
                    <w:tl2br w:val="nil"/>
                    <w:tr2bl w:val="nil"/>
                  </w:tcBorders>
                  <w:vAlign w:val="center"/>
                </w:tcPr>
                <w:p w14:paraId="60A1C5A6">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14:paraId="65936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9" w:type="pct"/>
                  <w:tcBorders>
                    <w:tl2br w:val="nil"/>
                    <w:tr2bl w:val="nil"/>
                  </w:tcBorders>
                  <w:vAlign w:val="center"/>
                </w:tcPr>
                <w:p w14:paraId="5B028EA9">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西厂界</w:t>
                  </w:r>
                </w:p>
              </w:tc>
              <w:tc>
                <w:tcPr>
                  <w:tcW w:w="655" w:type="pct"/>
                  <w:vMerge w:val="continue"/>
                  <w:tcBorders>
                    <w:tl2br w:val="nil"/>
                    <w:tr2bl w:val="nil"/>
                  </w:tcBorders>
                  <w:vAlign w:val="center"/>
                </w:tcPr>
                <w:p w14:paraId="0C27E28F">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p>
              </w:tc>
              <w:tc>
                <w:tcPr>
                  <w:tcW w:w="937" w:type="pct"/>
                  <w:tcBorders>
                    <w:tl2br w:val="nil"/>
                    <w:tr2bl w:val="nil"/>
                  </w:tcBorders>
                  <w:vAlign w:val="center"/>
                </w:tcPr>
                <w:p w14:paraId="712B3068">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54</w:t>
                  </w:r>
                </w:p>
              </w:tc>
              <w:tc>
                <w:tcPr>
                  <w:tcW w:w="712" w:type="pct"/>
                  <w:vMerge w:val="continue"/>
                  <w:tcBorders>
                    <w:tl2br w:val="nil"/>
                    <w:tr2bl w:val="nil"/>
                  </w:tcBorders>
                  <w:vAlign w:val="center"/>
                </w:tcPr>
                <w:p w14:paraId="4089E09B">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p>
              </w:tc>
              <w:tc>
                <w:tcPr>
                  <w:tcW w:w="714" w:type="pct"/>
                  <w:tcBorders>
                    <w:tl2br w:val="nil"/>
                    <w:tr2bl w:val="nil"/>
                  </w:tcBorders>
                  <w:shd w:val="clear" w:color="auto" w:fill="auto"/>
                  <w:vAlign w:val="center"/>
                </w:tcPr>
                <w:p w14:paraId="3FF86E90">
                  <w:pPr>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highlight w:val="none"/>
                    </w:rPr>
                    <w:t>6</w:t>
                  </w:r>
                  <w:r>
                    <w:rPr>
                      <w:rFonts w:hint="eastAsia" w:ascii="Times New Roman" w:eastAsia="仿宋" w:cs="Times New Roman"/>
                      <w:color w:val="auto"/>
                      <w:sz w:val="21"/>
                      <w:szCs w:val="21"/>
                      <w:highlight w:val="none"/>
                      <w:lang w:val="en-US" w:eastAsia="zh-CN"/>
                    </w:rPr>
                    <w:t>0</w:t>
                  </w:r>
                </w:p>
              </w:tc>
              <w:tc>
                <w:tcPr>
                  <w:tcW w:w="990" w:type="pct"/>
                  <w:tcBorders>
                    <w:tl2br w:val="nil"/>
                    <w:tr2bl w:val="nil"/>
                  </w:tcBorders>
                  <w:vAlign w:val="center"/>
                </w:tcPr>
                <w:p w14:paraId="047A5ECC">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r w14:paraId="73766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9" w:type="pct"/>
                  <w:tcBorders>
                    <w:tl2br w:val="nil"/>
                    <w:tr2bl w:val="nil"/>
                  </w:tcBorders>
                  <w:vAlign w:val="center"/>
                </w:tcPr>
                <w:p w14:paraId="63AFE9DE">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北厂界</w:t>
                  </w:r>
                </w:p>
              </w:tc>
              <w:tc>
                <w:tcPr>
                  <w:tcW w:w="655" w:type="pct"/>
                  <w:vMerge w:val="continue"/>
                  <w:tcBorders>
                    <w:tl2br w:val="nil"/>
                    <w:tr2bl w:val="nil"/>
                  </w:tcBorders>
                  <w:vAlign w:val="center"/>
                </w:tcPr>
                <w:p w14:paraId="6EABE68D">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b/>
                      <w:bCs/>
                      <w:color w:val="auto"/>
                      <w:sz w:val="21"/>
                      <w:szCs w:val="21"/>
                      <w:highlight w:val="none"/>
                    </w:rPr>
                  </w:pPr>
                </w:p>
              </w:tc>
              <w:tc>
                <w:tcPr>
                  <w:tcW w:w="937" w:type="pct"/>
                  <w:tcBorders>
                    <w:tl2br w:val="nil"/>
                    <w:tr2bl w:val="nil"/>
                  </w:tcBorders>
                  <w:vAlign w:val="center"/>
                </w:tcPr>
                <w:p w14:paraId="53B8A78E">
                  <w:pPr>
                    <w:keepNext w:val="0"/>
                    <w:keepLines w:val="0"/>
                    <w:pageBreakBefore w:val="0"/>
                    <w:widowControl/>
                    <w:suppressLineNumbers w:val="0"/>
                    <w:kinsoku/>
                    <w:wordWrap/>
                    <w:overflowPunct/>
                    <w:topLinePunct w:val="0"/>
                    <w:bidi w:val="0"/>
                    <w:snapToGrid/>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52</w:t>
                  </w:r>
                </w:p>
              </w:tc>
              <w:tc>
                <w:tcPr>
                  <w:tcW w:w="712" w:type="pct"/>
                  <w:vMerge w:val="continue"/>
                  <w:tcBorders>
                    <w:tl2br w:val="nil"/>
                    <w:tr2bl w:val="nil"/>
                  </w:tcBorders>
                  <w:vAlign w:val="center"/>
                </w:tcPr>
                <w:p w14:paraId="33D113AE">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p>
              </w:tc>
              <w:tc>
                <w:tcPr>
                  <w:tcW w:w="714" w:type="pct"/>
                  <w:tcBorders>
                    <w:tl2br w:val="nil"/>
                    <w:tr2bl w:val="nil"/>
                  </w:tcBorders>
                  <w:shd w:val="clear" w:color="auto" w:fill="auto"/>
                  <w:vAlign w:val="center"/>
                </w:tcPr>
                <w:p w14:paraId="67751253">
                  <w:pPr>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color w:val="auto"/>
                      <w:sz w:val="21"/>
                      <w:szCs w:val="21"/>
                      <w:highlight w:val="none"/>
                    </w:rPr>
                    <w:t>6</w:t>
                  </w:r>
                  <w:r>
                    <w:rPr>
                      <w:rFonts w:hint="eastAsia" w:ascii="Times New Roman" w:eastAsia="仿宋" w:cs="Times New Roman"/>
                      <w:color w:val="auto"/>
                      <w:sz w:val="21"/>
                      <w:szCs w:val="21"/>
                      <w:highlight w:val="none"/>
                      <w:lang w:val="en-US" w:eastAsia="zh-CN"/>
                    </w:rPr>
                    <w:t>0</w:t>
                  </w:r>
                </w:p>
              </w:tc>
              <w:tc>
                <w:tcPr>
                  <w:tcW w:w="990" w:type="pct"/>
                  <w:tcBorders>
                    <w:tl2br w:val="nil"/>
                    <w:tr2bl w:val="nil"/>
                  </w:tcBorders>
                  <w:vAlign w:val="center"/>
                </w:tcPr>
                <w:p w14:paraId="76ECBF5E">
                  <w:pPr>
                    <w:pStyle w:val="29"/>
                    <w:keepNext w:val="0"/>
                    <w:keepLines w:val="0"/>
                    <w:pageBreakBefore w:val="0"/>
                    <w:kinsoku/>
                    <w:wordWrap/>
                    <w:overflowPunct/>
                    <w:topLinePunct w:val="0"/>
                    <w:bidi w:val="0"/>
                    <w:snapToGrid/>
                    <w:spacing w:beforeLines="0" w:afterLines="0"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达标</w:t>
                  </w:r>
                </w:p>
              </w:tc>
            </w:tr>
          </w:tbl>
          <w:p w14:paraId="695119D8">
            <w:pPr>
              <w:pStyle w:val="39"/>
              <w:ind w:firstLine="420"/>
              <w:rPr>
                <w:color w:val="auto"/>
                <w:sz w:val="21"/>
                <w:szCs w:val="21"/>
                <w:highlight w:val="none"/>
              </w:rPr>
            </w:pPr>
            <w:r>
              <w:rPr>
                <w:rFonts w:hint="default" w:ascii="Times New Roman" w:hAnsi="Times New Roman" w:eastAsia="宋体" w:cs="Times New Roman"/>
                <w:color w:val="auto"/>
                <w:sz w:val="24"/>
                <w:szCs w:val="24"/>
                <w:highlight w:val="none"/>
              </w:rPr>
              <w:t>由预测结果可知，在采取相应减振降噪措施后，本项目营运期对各厂界的噪声贡献值均可达到《工业企业厂界环境噪声排放标准》（GB12348-2008）</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类标准限值要求。</w:t>
            </w:r>
          </w:p>
          <w:p w14:paraId="3E7677A1">
            <w:pPr>
              <w:adjustRightInd w:val="0"/>
              <w:snapToGrid w:val="0"/>
              <w:spacing w:line="360" w:lineRule="auto"/>
              <w:rPr>
                <w:b/>
                <w:color w:val="auto"/>
                <w:sz w:val="24"/>
                <w:szCs w:val="24"/>
                <w:highlight w:val="none"/>
              </w:rPr>
            </w:pPr>
            <w:r>
              <w:rPr>
                <w:rFonts w:hint="eastAsia"/>
                <w:b/>
                <w:color w:val="auto"/>
                <w:sz w:val="24"/>
                <w:szCs w:val="24"/>
                <w:highlight w:val="none"/>
              </w:rPr>
              <w:t>3.</w:t>
            </w:r>
            <w:r>
              <w:rPr>
                <w:rFonts w:hint="eastAsia"/>
                <w:b/>
                <w:color w:val="auto"/>
                <w:sz w:val="24"/>
                <w:szCs w:val="24"/>
                <w:highlight w:val="none"/>
                <w:lang w:val="en-US" w:eastAsia="zh-CN"/>
              </w:rPr>
              <w:t>4</w:t>
            </w:r>
            <w:r>
              <w:rPr>
                <w:rFonts w:hint="eastAsia"/>
                <w:b/>
                <w:color w:val="auto"/>
                <w:sz w:val="24"/>
                <w:szCs w:val="24"/>
                <w:highlight w:val="none"/>
              </w:rPr>
              <w:t xml:space="preserve">  </w:t>
            </w:r>
            <w:r>
              <w:rPr>
                <w:b/>
                <w:color w:val="auto"/>
                <w:sz w:val="24"/>
                <w:szCs w:val="24"/>
                <w:highlight w:val="none"/>
              </w:rPr>
              <w:t>降噪措施及影响分析</w:t>
            </w:r>
          </w:p>
          <w:p w14:paraId="3F16ED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为保证本项目厂界噪声达标排放，建设单位拟采取如下措施：</w:t>
            </w:r>
          </w:p>
          <w:p w14:paraId="5AB814A3">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企业噪声防治措施及投资表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5558"/>
              <w:gridCol w:w="1247"/>
              <w:gridCol w:w="1181"/>
            </w:tblGrid>
            <w:tr w14:paraId="0127C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3" w:type="pct"/>
                  <w:tcBorders>
                    <w:tl2br w:val="nil"/>
                    <w:tr2bl w:val="nil"/>
                  </w:tcBorders>
                  <w:noWrap w:val="0"/>
                  <w:vAlign w:val="center"/>
                </w:tcPr>
                <w:p w14:paraId="1E4F3E89">
                  <w:pPr>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名称</w:t>
                  </w:r>
                </w:p>
                <w:p w14:paraId="01FD02D5">
                  <w:pPr>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（类型）</w:t>
                  </w:r>
                </w:p>
              </w:tc>
              <w:tc>
                <w:tcPr>
                  <w:tcW w:w="2990" w:type="pct"/>
                  <w:tcBorders>
                    <w:tl2br w:val="nil"/>
                    <w:tr2bl w:val="nil"/>
                  </w:tcBorders>
                  <w:noWrap w:val="0"/>
                  <w:vAlign w:val="center"/>
                </w:tcPr>
                <w:p w14:paraId="21D4C844">
                  <w:pPr>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噪声防治措施</w:t>
                  </w:r>
                </w:p>
              </w:tc>
              <w:tc>
                <w:tcPr>
                  <w:tcW w:w="671" w:type="pct"/>
                  <w:tcBorders>
                    <w:tl2br w:val="nil"/>
                    <w:tr2bl w:val="nil"/>
                  </w:tcBorders>
                  <w:noWrap w:val="0"/>
                  <w:vAlign w:val="center"/>
                </w:tcPr>
                <w:p w14:paraId="23039A2B">
                  <w:pPr>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效果</w:t>
                  </w:r>
                </w:p>
              </w:tc>
              <w:tc>
                <w:tcPr>
                  <w:tcW w:w="635" w:type="pct"/>
                  <w:tcBorders>
                    <w:tl2br w:val="nil"/>
                    <w:tr2bl w:val="nil"/>
                  </w:tcBorders>
                  <w:noWrap w:val="0"/>
                  <w:vAlign w:val="center"/>
                </w:tcPr>
                <w:p w14:paraId="39020B7A">
                  <w:pPr>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投资（万元）</w:t>
                  </w:r>
                </w:p>
              </w:tc>
            </w:tr>
            <w:tr w14:paraId="220D3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03" w:type="pct"/>
                  <w:tcBorders>
                    <w:tl2br w:val="nil"/>
                    <w:tr2bl w:val="nil"/>
                  </w:tcBorders>
                  <w:noWrap w:val="0"/>
                  <w:vAlign w:val="center"/>
                </w:tcPr>
                <w:p w14:paraId="6C347959">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设备选型</w:t>
                  </w:r>
                </w:p>
              </w:tc>
              <w:tc>
                <w:tcPr>
                  <w:tcW w:w="2990" w:type="pct"/>
                  <w:tcBorders>
                    <w:tl2br w:val="nil"/>
                    <w:tr2bl w:val="nil"/>
                  </w:tcBorders>
                  <w:noWrap w:val="0"/>
                  <w:vAlign w:val="center"/>
                </w:tcPr>
                <w:p w14:paraId="0A728D97">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在满足工艺设计的前提下，尽量选用满足国际标准的低噪声型设备，并加强对设备的维护管理，从源头上控制噪声产生</w:t>
                  </w:r>
                </w:p>
              </w:tc>
              <w:tc>
                <w:tcPr>
                  <w:tcW w:w="671" w:type="pct"/>
                  <w:vMerge w:val="restart"/>
                  <w:tcBorders>
                    <w:tl2br w:val="nil"/>
                    <w:tr2bl w:val="nil"/>
                  </w:tcBorders>
                  <w:noWrap w:val="0"/>
                  <w:vAlign w:val="center"/>
                </w:tcPr>
                <w:p w14:paraId="0F3BDA16">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降噪2</w:t>
                  </w:r>
                  <w:r>
                    <w:rPr>
                      <w:rFonts w:hint="eastAsia" w:ascii="Times New Roman" w:hAnsi="Times New Roman" w:eastAsia="仿宋" w:cs="Times New Roman"/>
                      <w:color w:val="auto"/>
                      <w:highlight w:val="none"/>
                      <w:lang w:val="en-US" w:eastAsia="zh-CN"/>
                    </w:rPr>
                    <w:t>0</w:t>
                  </w:r>
                  <w:r>
                    <w:rPr>
                      <w:rFonts w:hint="default" w:ascii="Times New Roman" w:hAnsi="Times New Roman" w:eastAsia="仿宋" w:cs="Times New Roman"/>
                      <w:color w:val="auto"/>
                      <w:highlight w:val="none"/>
                    </w:rPr>
                    <w:t>dB(A)</w:t>
                  </w:r>
                </w:p>
              </w:tc>
              <w:tc>
                <w:tcPr>
                  <w:tcW w:w="635" w:type="pct"/>
                  <w:vMerge w:val="restart"/>
                  <w:tcBorders>
                    <w:tl2br w:val="nil"/>
                    <w:tr2bl w:val="nil"/>
                  </w:tcBorders>
                  <w:noWrap w:val="0"/>
                  <w:vAlign w:val="center"/>
                </w:tcPr>
                <w:p w14:paraId="6B4F68F2">
                  <w:pPr>
                    <w:jc w:val="center"/>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2</w:t>
                  </w:r>
                </w:p>
              </w:tc>
            </w:tr>
            <w:tr w14:paraId="398BD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3" w:type="pct"/>
                  <w:tcBorders>
                    <w:tl2br w:val="nil"/>
                    <w:tr2bl w:val="nil"/>
                  </w:tcBorders>
                  <w:noWrap w:val="0"/>
                  <w:vAlign w:val="center"/>
                </w:tcPr>
                <w:p w14:paraId="5E6784FE">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设备减振、隔声</w:t>
                  </w:r>
                </w:p>
              </w:tc>
              <w:tc>
                <w:tcPr>
                  <w:tcW w:w="2990" w:type="pct"/>
                  <w:tcBorders>
                    <w:tl2br w:val="nil"/>
                    <w:tr2bl w:val="nil"/>
                  </w:tcBorders>
                  <w:noWrap w:val="0"/>
                  <w:vAlign w:val="center"/>
                </w:tcPr>
                <w:p w14:paraId="5982E704">
                  <w:pPr>
                    <w:jc w:val="center"/>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对</w:t>
                  </w:r>
                  <w:r>
                    <w:rPr>
                      <w:rFonts w:hint="default" w:ascii="Times New Roman" w:hAnsi="Times New Roman" w:eastAsia="仿宋" w:cs="Times New Roman"/>
                      <w:color w:val="auto"/>
                      <w:highlight w:val="none"/>
                    </w:rPr>
                    <w:t>高噪声设备采用台基减振、橡胶减振接头、安装减振底座及</w:t>
                  </w:r>
                  <w:r>
                    <w:rPr>
                      <w:rFonts w:hint="eastAsia" w:eastAsia="仿宋" w:cs="Times New Roman"/>
                      <w:color w:val="auto"/>
                      <w:highlight w:val="none"/>
                      <w:lang w:eastAsia="zh-CN"/>
                    </w:rPr>
                    <w:t>减振</w:t>
                  </w:r>
                  <w:r>
                    <w:rPr>
                      <w:rFonts w:hint="default" w:ascii="Times New Roman" w:hAnsi="Times New Roman" w:eastAsia="仿宋" w:cs="Times New Roman"/>
                      <w:color w:val="auto"/>
                      <w:highlight w:val="none"/>
                    </w:rPr>
                    <w:t>垫等措施，减少设备运行产生的</w:t>
                  </w:r>
                  <w:r>
                    <w:rPr>
                      <w:rFonts w:hint="default" w:ascii="Times New Roman" w:hAnsi="Times New Roman" w:eastAsia="仿宋" w:cs="Times New Roman"/>
                      <w:color w:val="auto"/>
                      <w:highlight w:val="none"/>
                      <w:lang w:eastAsia="zh-CN"/>
                    </w:rPr>
                    <w:t>噪声</w:t>
                  </w:r>
                </w:p>
              </w:tc>
              <w:tc>
                <w:tcPr>
                  <w:tcW w:w="671" w:type="pct"/>
                  <w:vMerge w:val="continue"/>
                  <w:tcBorders>
                    <w:tl2br w:val="nil"/>
                    <w:tr2bl w:val="nil"/>
                  </w:tcBorders>
                  <w:noWrap w:val="0"/>
                  <w:vAlign w:val="center"/>
                </w:tcPr>
                <w:p w14:paraId="383C11A5">
                  <w:pPr>
                    <w:jc w:val="center"/>
                    <w:rPr>
                      <w:rFonts w:hint="default" w:ascii="Times New Roman" w:hAnsi="Times New Roman" w:eastAsia="仿宋" w:cs="Times New Roman"/>
                      <w:color w:val="auto"/>
                      <w:highlight w:val="none"/>
                    </w:rPr>
                  </w:pPr>
                </w:p>
              </w:tc>
              <w:tc>
                <w:tcPr>
                  <w:tcW w:w="635" w:type="pct"/>
                  <w:vMerge w:val="continue"/>
                  <w:tcBorders>
                    <w:tl2br w:val="nil"/>
                    <w:tr2bl w:val="nil"/>
                  </w:tcBorders>
                  <w:noWrap w:val="0"/>
                  <w:vAlign w:val="center"/>
                </w:tcPr>
                <w:p w14:paraId="1731A399">
                  <w:pPr>
                    <w:jc w:val="center"/>
                    <w:rPr>
                      <w:rFonts w:hint="default" w:ascii="Times New Roman" w:hAnsi="Times New Roman" w:eastAsia="仿宋" w:cs="Times New Roman"/>
                      <w:color w:val="auto"/>
                      <w:highlight w:val="none"/>
                    </w:rPr>
                  </w:pPr>
                </w:p>
              </w:tc>
            </w:tr>
            <w:tr w14:paraId="78E86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3" w:type="pct"/>
                  <w:tcBorders>
                    <w:tl2br w:val="nil"/>
                    <w:tr2bl w:val="nil"/>
                  </w:tcBorders>
                  <w:noWrap w:val="0"/>
                  <w:vAlign w:val="center"/>
                </w:tcPr>
                <w:p w14:paraId="258F3466">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合理布局</w:t>
                  </w:r>
                </w:p>
              </w:tc>
              <w:tc>
                <w:tcPr>
                  <w:tcW w:w="2990" w:type="pct"/>
                  <w:tcBorders>
                    <w:tl2br w:val="nil"/>
                    <w:tr2bl w:val="nil"/>
                  </w:tcBorders>
                  <w:noWrap w:val="0"/>
                  <w:vAlign w:val="center"/>
                </w:tcPr>
                <w:p w14:paraId="787EF7E1">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对厂内主要噪声源合理布局，在总平面布置中注意将高噪声设备与厂界保持足够的距离。车间工艺设计时，高噪声工段与低噪声工段分开布置</w:t>
                  </w:r>
                </w:p>
              </w:tc>
              <w:tc>
                <w:tcPr>
                  <w:tcW w:w="671" w:type="pct"/>
                  <w:vMerge w:val="continue"/>
                  <w:tcBorders>
                    <w:tl2br w:val="nil"/>
                    <w:tr2bl w:val="nil"/>
                  </w:tcBorders>
                  <w:noWrap w:val="0"/>
                  <w:vAlign w:val="center"/>
                </w:tcPr>
                <w:p w14:paraId="3C133DC6">
                  <w:pPr>
                    <w:jc w:val="center"/>
                    <w:rPr>
                      <w:rFonts w:hint="default" w:ascii="Times New Roman" w:hAnsi="Times New Roman" w:eastAsia="仿宋" w:cs="Times New Roman"/>
                      <w:color w:val="auto"/>
                      <w:highlight w:val="none"/>
                    </w:rPr>
                  </w:pPr>
                </w:p>
              </w:tc>
              <w:tc>
                <w:tcPr>
                  <w:tcW w:w="635" w:type="pct"/>
                  <w:vMerge w:val="continue"/>
                  <w:tcBorders>
                    <w:tl2br w:val="nil"/>
                    <w:tr2bl w:val="nil"/>
                  </w:tcBorders>
                  <w:noWrap w:val="0"/>
                  <w:vAlign w:val="center"/>
                </w:tcPr>
                <w:p w14:paraId="73B11FE8">
                  <w:pPr>
                    <w:jc w:val="center"/>
                    <w:rPr>
                      <w:rFonts w:hint="default" w:ascii="Times New Roman" w:hAnsi="Times New Roman" w:eastAsia="仿宋" w:cs="Times New Roman"/>
                      <w:color w:val="auto"/>
                      <w:highlight w:val="none"/>
                    </w:rPr>
                  </w:pPr>
                </w:p>
              </w:tc>
            </w:tr>
            <w:tr w14:paraId="1F367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3" w:type="pct"/>
                  <w:tcBorders>
                    <w:tl2br w:val="nil"/>
                    <w:tr2bl w:val="nil"/>
                  </w:tcBorders>
                  <w:noWrap w:val="0"/>
                  <w:vAlign w:val="center"/>
                </w:tcPr>
                <w:p w14:paraId="53A0034B">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隔声降噪</w:t>
                  </w:r>
                </w:p>
              </w:tc>
              <w:tc>
                <w:tcPr>
                  <w:tcW w:w="2990" w:type="pct"/>
                  <w:tcBorders>
                    <w:tl2br w:val="nil"/>
                    <w:tr2bl w:val="nil"/>
                  </w:tcBorders>
                  <w:noWrap w:val="0"/>
                  <w:vAlign w:val="center"/>
                </w:tcPr>
                <w:p w14:paraId="4FAEC77E">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噪声设备布置在厂房内，采取厂房隔声，利用距离和建筑进行噪声衰减</w:t>
                  </w:r>
                </w:p>
              </w:tc>
              <w:tc>
                <w:tcPr>
                  <w:tcW w:w="671" w:type="pct"/>
                  <w:vMerge w:val="continue"/>
                  <w:tcBorders>
                    <w:tl2br w:val="nil"/>
                    <w:tr2bl w:val="nil"/>
                  </w:tcBorders>
                  <w:noWrap w:val="0"/>
                  <w:vAlign w:val="center"/>
                </w:tcPr>
                <w:p w14:paraId="5036D43E">
                  <w:pPr>
                    <w:jc w:val="center"/>
                    <w:rPr>
                      <w:rFonts w:hint="default" w:ascii="Times New Roman" w:hAnsi="Times New Roman" w:eastAsia="仿宋" w:cs="Times New Roman"/>
                      <w:color w:val="auto"/>
                      <w:highlight w:val="none"/>
                    </w:rPr>
                  </w:pPr>
                </w:p>
              </w:tc>
              <w:tc>
                <w:tcPr>
                  <w:tcW w:w="635" w:type="pct"/>
                  <w:vMerge w:val="continue"/>
                  <w:tcBorders>
                    <w:tl2br w:val="nil"/>
                    <w:tr2bl w:val="nil"/>
                  </w:tcBorders>
                  <w:noWrap w:val="0"/>
                  <w:vAlign w:val="center"/>
                </w:tcPr>
                <w:p w14:paraId="7E93C73B">
                  <w:pPr>
                    <w:jc w:val="center"/>
                    <w:rPr>
                      <w:rFonts w:hint="default" w:ascii="Times New Roman" w:hAnsi="Times New Roman" w:eastAsia="仿宋" w:cs="Times New Roman"/>
                      <w:color w:val="auto"/>
                      <w:highlight w:val="none"/>
                    </w:rPr>
                  </w:pPr>
                </w:p>
              </w:tc>
            </w:tr>
            <w:tr w14:paraId="17990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3" w:type="pct"/>
                  <w:tcBorders>
                    <w:tl2br w:val="nil"/>
                    <w:tr2bl w:val="nil"/>
                  </w:tcBorders>
                  <w:noWrap w:val="0"/>
                  <w:vAlign w:val="center"/>
                </w:tcPr>
                <w:p w14:paraId="2141CC1F">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加强绿化</w:t>
                  </w:r>
                </w:p>
              </w:tc>
              <w:tc>
                <w:tcPr>
                  <w:tcW w:w="2990" w:type="pct"/>
                  <w:tcBorders>
                    <w:tl2br w:val="nil"/>
                    <w:tr2bl w:val="nil"/>
                  </w:tcBorders>
                  <w:noWrap w:val="0"/>
                  <w:vAlign w:val="center"/>
                </w:tcPr>
                <w:p w14:paraId="6DB532C9">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厂房围墙采用实心墙，厂区种植绿化带，以美化环境和降噪</w:t>
                  </w:r>
                </w:p>
              </w:tc>
              <w:tc>
                <w:tcPr>
                  <w:tcW w:w="671" w:type="pct"/>
                  <w:vMerge w:val="continue"/>
                  <w:tcBorders>
                    <w:tl2br w:val="nil"/>
                    <w:tr2bl w:val="nil"/>
                  </w:tcBorders>
                  <w:noWrap w:val="0"/>
                  <w:vAlign w:val="center"/>
                </w:tcPr>
                <w:p w14:paraId="79325258">
                  <w:pPr>
                    <w:jc w:val="center"/>
                    <w:rPr>
                      <w:rFonts w:hint="default" w:ascii="Times New Roman" w:hAnsi="Times New Roman" w:eastAsia="仿宋" w:cs="Times New Roman"/>
                      <w:color w:val="auto"/>
                      <w:highlight w:val="none"/>
                    </w:rPr>
                  </w:pPr>
                </w:p>
              </w:tc>
              <w:tc>
                <w:tcPr>
                  <w:tcW w:w="635" w:type="pct"/>
                  <w:vMerge w:val="continue"/>
                  <w:tcBorders>
                    <w:tl2br w:val="nil"/>
                    <w:tr2bl w:val="nil"/>
                  </w:tcBorders>
                  <w:noWrap w:val="0"/>
                  <w:vAlign w:val="center"/>
                </w:tcPr>
                <w:p w14:paraId="285AF48F">
                  <w:pPr>
                    <w:jc w:val="center"/>
                    <w:rPr>
                      <w:rFonts w:hint="default" w:ascii="Times New Roman" w:hAnsi="Times New Roman" w:eastAsia="仿宋" w:cs="Times New Roman"/>
                      <w:color w:val="auto"/>
                      <w:highlight w:val="none"/>
                    </w:rPr>
                  </w:pPr>
                </w:p>
              </w:tc>
            </w:tr>
          </w:tbl>
          <w:p w14:paraId="3B29F584">
            <w:pPr>
              <w:widowControl w:val="0"/>
              <w:adjustRightInd w:val="0"/>
              <w:spacing w:line="360" w:lineRule="auto"/>
              <w:ind w:firstLine="480" w:firstLineChars="200"/>
              <w:rPr>
                <w:rFonts w:hint="eastAsia" w:ascii="Times New Roman" w:hAnsi="Times New Roman" w:eastAsia="宋体" w:cs="Times New Roman"/>
                <w:bCs w:val="0"/>
                <w:color w:val="auto"/>
                <w:sz w:val="24"/>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szCs w:val="24"/>
              </w:rPr>
              <w:t>，本项目通过采用降低噪声源强、</w:t>
            </w:r>
            <w:r>
              <w:rPr>
                <w:rFonts w:ascii="Times New Roman" w:hAnsi="Times New Roman" w:cs="Times New Roman"/>
                <w:color w:val="auto"/>
                <w:sz w:val="24"/>
                <w:highlight w:val="none"/>
              </w:rPr>
              <w:t>设备减振、隔声</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rPr>
              <w:t>合理</w:t>
            </w:r>
            <w:r>
              <w:rPr>
                <w:rFonts w:hint="eastAsia" w:ascii="Times New Roman" w:hAnsi="Times New Roman" w:eastAsia="宋体" w:cs="Times New Roman"/>
                <w:color w:val="auto"/>
                <w:sz w:val="24"/>
                <w:szCs w:val="24"/>
                <w:lang w:val="en-US" w:eastAsia="zh-CN"/>
              </w:rPr>
              <w:t>布局</w:t>
            </w:r>
            <w:r>
              <w:rPr>
                <w:rFonts w:hint="default" w:ascii="Times New Roman" w:hAnsi="Times New Roman" w:eastAsia="宋体" w:cs="Times New Roman"/>
                <w:color w:val="auto"/>
                <w:sz w:val="24"/>
                <w:szCs w:val="24"/>
              </w:rPr>
              <w:t>、车间隔声</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加强</w:t>
            </w:r>
            <w:r>
              <w:rPr>
                <w:rFonts w:hint="default" w:ascii="Times New Roman" w:hAnsi="Times New Roman" w:eastAsia="宋体" w:cs="Times New Roman"/>
                <w:color w:val="auto"/>
                <w:sz w:val="24"/>
                <w:szCs w:val="24"/>
              </w:rPr>
              <w:t>绿化等噪声防治措施，能确保</w:t>
            </w:r>
            <w:r>
              <w:rPr>
                <w:rFonts w:hint="eastAsia" w:ascii="Times New Roman" w:hAnsi="Times New Roman" w:eastAsia="宋体" w:cs="Times New Roman"/>
                <w:color w:val="auto"/>
                <w:sz w:val="24"/>
                <w:szCs w:val="24"/>
                <w:lang w:val="en-US" w:eastAsia="zh-CN"/>
              </w:rPr>
              <w:t>厂房</w:t>
            </w:r>
            <w:r>
              <w:rPr>
                <w:rFonts w:hint="default" w:ascii="Times New Roman" w:hAnsi="Times New Roman" w:eastAsia="宋体" w:cs="Times New Roman"/>
                <w:color w:val="auto"/>
                <w:sz w:val="24"/>
                <w:szCs w:val="24"/>
              </w:rPr>
              <w:t>边界噪声能够满足《工业企业厂界环境噪声排放标准》（</w:t>
            </w:r>
            <w:r>
              <w:rPr>
                <w:rFonts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eastAsia="zh-CN"/>
              </w:rPr>
              <w:t>。</w:t>
            </w:r>
          </w:p>
          <w:p w14:paraId="37C68E1B">
            <w:pPr>
              <w:adjustRightInd w:val="0"/>
              <w:snapToGrid w:val="0"/>
              <w:spacing w:line="360" w:lineRule="auto"/>
              <w:rPr>
                <w:b/>
                <w:color w:val="auto"/>
                <w:sz w:val="24"/>
                <w:szCs w:val="24"/>
                <w:highlight w:val="none"/>
              </w:rPr>
            </w:pPr>
            <w:r>
              <w:rPr>
                <w:rFonts w:hint="eastAsia"/>
                <w:b/>
                <w:color w:val="auto"/>
                <w:sz w:val="24"/>
                <w:szCs w:val="24"/>
                <w:highlight w:val="none"/>
              </w:rPr>
              <w:t>3.</w:t>
            </w:r>
            <w:r>
              <w:rPr>
                <w:rFonts w:hint="eastAsia"/>
                <w:b/>
                <w:color w:val="auto"/>
                <w:sz w:val="24"/>
                <w:szCs w:val="24"/>
                <w:highlight w:val="none"/>
                <w:lang w:val="en-US" w:eastAsia="zh-CN"/>
              </w:rPr>
              <w:t>5</w:t>
            </w:r>
            <w:r>
              <w:rPr>
                <w:rFonts w:hint="eastAsia"/>
                <w:b/>
                <w:color w:val="auto"/>
                <w:sz w:val="24"/>
                <w:szCs w:val="24"/>
                <w:highlight w:val="none"/>
              </w:rPr>
              <w:t xml:space="preserve">  </w:t>
            </w:r>
            <w:r>
              <w:rPr>
                <w:b/>
                <w:color w:val="auto"/>
                <w:sz w:val="24"/>
                <w:szCs w:val="24"/>
                <w:highlight w:val="none"/>
              </w:rPr>
              <w:t>监测要求</w:t>
            </w:r>
          </w:p>
          <w:p w14:paraId="5746732E">
            <w:pPr>
              <w:spacing w:line="360" w:lineRule="auto"/>
              <w:ind w:firstLine="480" w:firstLineChars="200"/>
              <w:rPr>
                <w:color w:val="auto"/>
                <w:sz w:val="24"/>
                <w:szCs w:val="24"/>
                <w:highlight w:val="none"/>
              </w:rPr>
            </w:pPr>
            <w:r>
              <w:rPr>
                <w:color w:val="auto"/>
                <w:sz w:val="24"/>
                <w:szCs w:val="24"/>
                <w:highlight w:val="none"/>
              </w:rPr>
              <w:t>依据《排污单位自行监测技术指南 总则》（HJ 819-2017）制定并实施切实可行的环境监测计划</w:t>
            </w:r>
            <w:r>
              <w:rPr>
                <w:rFonts w:hint="eastAsia"/>
                <w:color w:val="auto"/>
                <w:sz w:val="24"/>
                <w:szCs w:val="24"/>
                <w:highlight w:val="none"/>
              </w:rPr>
              <w:t>，</w:t>
            </w:r>
            <w:r>
              <w:rPr>
                <w:color w:val="auto"/>
                <w:sz w:val="24"/>
                <w:szCs w:val="24"/>
                <w:highlight w:val="none"/>
              </w:rPr>
              <w:t>监测计划如下表</w:t>
            </w:r>
            <w:r>
              <w:rPr>
                <w:rFonts w:hint="eastAsia"/>
                <w:color w:val="auto"/>
                <w:sz w:val="24"/>
                <w:szCs w:val="24"/>
                <w:highlight w:val="none"/>
              </w:rPr>
              <w:t>。</w:t>
            </w:r>
          </w:p>
          <w:p w14:paraId="44BD8F9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噪声监测计划及要求</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2317"/>
              <w:gridCol w:w="1654"/>
              <w:gridCol w:w="3356"/>
            </w:tblGrid>
            <w:tr w14:paraId="27412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55" w:type="pct"/>
                  <w:tcBorders>
                    <w:tl2br w:val="nil"/>
                    <w:tr2bl w:val="nil"/>
                  </w:tcBorders>
                  <w:vAlign w:val="center"/>
                </w:tcPr>
                <w:p w14:paraId="373A7291">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监测点位</w:t>
                  </w:r>
                </w:p>
              </w:tc>
              <w:tc>
                <w:tcPr>
                  <w:tcW w:w="1247" w:type="pct"/>
                  <w:tcBorders>
                    <w:tl2br w:val="nil"/>
                    <w:tr2bl w:val="nil"/>
                  </w:tcBorders>
                  <w:vAlign w:val="center"/>
                </w:tcPr>
                <w:p w14:paraId="5849EEEE">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监测项目</w:t>
                  </w:r>
                </w:p>
              </w:tc>
              <w:tc>
                <w:tcPr>
                  <w:tcW w:w="890" w:type="pct"/>
                  <w:tcBorders>
                    <w:tl2br w:val="nil"/>
                    <w:tr2bl w:val="nil"/>
                  </w:tcBorders>
                  <w:vAlign w:val="center"/>
                </w:tcPr>
                <w:p w14:paraId="275FFA87">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监测频次</w:t>
                  </w:r>
                </w:p>
              </w:tc>
              <w:tc>
                <w:tcPr>
                  <w:tcW w:w="1806" w:type="pct"/>
                  <w:tcBorders>
                    <w:tl2br w:val="nil"/>
                    <w:tr2bl w:val="nil"/>
                  </w:tcBorders>
                  <w:vAlign w:val="center"/>
                </w:tcPr>
                <w:p w14:paraId="281ACD42">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执行排放标准</w:t>
                  </w:r>
                </w:p>
              </w:tc>
            </w:tr>
            <w:tr w14:paraId="0FBC7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55" w:type="pct"/>
                  <w:tcBorders>
                    <w:tl2br w:val="nil"/>
                    <w:tr2bl w:val="nil"/>
                  </w:tcBorders>
                  <w:vAlign w:val="center"/>
                </w:tcPr>
                <w:p w14:paraId="09F537B7">
                  <w:pPr>
                    <w:pStyle w:val="31"/>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厂界四周各一个，共4个</w:t>
                  </w:r>
                </w:p>
              </w:tc>
              <w:tc>
                <w:tcPr>
                  <w:tcW w:w="1247" w:type="pct"/>
                  <w:tcBorders>
                    <w:tl2br w:val="nil"/>
                    <w:tr2bl w:val="nil"/>
                  </w:tcBorders>
                  <w:vAlign w:val="center"/>
                </w:tcPr>
                <w:p w14:paraId="1F6728AC">
                  <w:pPr>
                    <w:pStyle w:val="31"/>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等效连续A声级</w:t>
                  </w:r>
                </w:p>
              </w:tc>
              <w:tc>
                <w:tcPr>
                  <w:tcW w:w="890" w:type="pct"/>
                  <w:tcBorders>
                    <w:tl2br w:val="nil"/>
                    <w:tr2bl w:val="nil"/>
                  </w:tcBorders>
                  <w:vAlign w:val="center"/>
                </w:tcPr>
                <w:p w14:paraId="53900302">
                  <w:pPr>
                    <w:pStyle w:val="31"/>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1次/季</w:t>
                  </w:r>
                </w:p>
              </w:tc>
              <w:tc>
                <w:tcPr>
                  <w:tcW w:w="1806" w:type="pct"/>
                  <w:tcBorders>
                    <w:tl2br w:val="nil"/>
                    <w:tr2bl w:val="nil"/>
                  </w:tcBorders>
                  <w:vAlign w:val="center"/>
                </w:tcPr>
                <w:p w14:paraId="56D04A3A">
                  <w:pPr>
                    <w:pStyle w:val="31"/>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《工业企业厂界环境噪声排放标准》（GB12348－2008）</w:t>
                  </w:r>
                  <w:r>
                    <w:rPr>
                      <w:rFonts w:hint="eastAsia" w:eastAsia="仿宋" w:cs="Times New Roman"/>
                      <w:bCs/>
                      <w:color w:val="auto"/>
                      <w:sz w:val="21"/>
                      <w:szCs w:val="21"/>
                      <w:highlight w:val="none"/>
                      <w:lang w:val="en-US" w:eastAsia="zh-CN"/>
                    </w:rPr>
                    <w:t>2</w:t>
                  </w:r>
                  <w:r>
                    <w:rPr>
                      <w:rFonts w:hint="default" w:ascii="Times New Roman" w:hAnsi="Times New Roman" w:eastAsia="仿宋" w:cs="Times New Roman"/>
                      <w:bCs/>
                      <w:color w:val="auto"/>
                      <w:sz w:val="21"/>
                      <w:szCs w:val="21"/>
                      <w:highlight w:val="none"/>
                    </w:rPr>
                    <w:t>类标准</w:t>
                  </w:r>
                </w:p>
              </w:tc>
            </w:tr>
          </w:tbl>
          <w:p w14:paraId="4D73D83E">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固体废物</w:t>
            </w:r>
          </w:p>
          <w:p w14:paraId="703BA9B2">
            <w:pPr>
              <w:adjustRightInd w:val="0"/>
              <w:snapToGrid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4.1  固体废物产生情况</w:t>
            </w:r>
          </w:p>
          <w:p w14:paraId="3BEA1670">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根据本项目生产工艺，本项目固废主要有一般工业固废（</w:t>
            </w:r>
            <w:r>
              <w:rPr>
                <w:rFonts w:hint="eastAsia" w:cs="Times New Roman"/>
                <w:color w:val="auto"/>
                <w:sz w:val="24"/>
                <w:szCs w:val="24"/>
                <w:highlight w:val="none"/>
                <w:lang w:val="en-US" w:eastAsia="zh-CN"/>
              </w:rPr>
              <w:t>废边角料</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不合格品、</w:t>
            </w:r>
            <w:r>
              <w:rPr>
                <w:rFonts w:hint="eastAsia" w:ascii="Times New Roman" w:hAnsi="Times New Roman" w:eastAsia="宋体" w:cs="Times New Roman"/>
                <w:color w:val="auto"/>
                <w:sz w:val="24"/>
                <w:szCs w:val="24"/>
                <w:highlight w:val="none"/>
                <w:lang w:val="en-US" w:eastAsia="zh-CN"/>
              </w:rPr>
              <w:t>废包装</w:t>
            </w:r>
            <w:r>
              <w:rPr>
                <w:rFonts w:hint="eastAsia" w:cs="Times New Roman"/>
                <w:color w:val="auto"/>
                <w:sz w:val="24"/>
                <w:szCs w:val="24"/>
                <w:highlight w:val="none"/>
                <w:lang w:val="en-US" w:eastAsia="zh-CN"/>
              </w:rPr>
              <w:t>材料、废滤材、回收粉尘、废滤芯</w:t>
            </w:r>
            <w:r>
              <w:rPr>
                <w:rFonts w:hint="default" w:ascii="Times New Roman" w:hAnsi="Times New Roman" w:eastAsia="宋体" w:cs="Times New Roman"/>
                <w:color w:val="auto"/>
                <w:sz w:val="24"/>
                <w:szCs w:val="24"/>
                <w:highlight w:val="none"/>
              </w:rPr>
              <w:t>）、危险废物（</w:t>
            </w:r>
            <w:r>
              <w:rPr>
                <w:rFonts w:hint="eastAsia" w:cs="Times New Roman"/>
                <w:color w:val="auto"/>
                <w:sz w:val="24"/>
                <w:szCs w:val="24"/>
                <w:highlight w:val="none"/>
                <w:lang w:val="en-US" w:eastAsia="zh-CN"/>
              </w:rPr>
              <w:t>脱脂废液、酸洗废液、中和废液、硅烷废液、废超滤膜、槽渣、表调废液、废包装容器、废润滑油、含油抹布、废油桶、废活性炭、喷淋废液、污泥</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生活垃圾</w:t>
            </w:r>
            <w:r>
              <w:rPr>
                <w:rFonts w:hint="default" w:ascii="Times New Roman" w:hAnsi="Times New Roman" w:eastAsia="宋体" w:cs="Times New Roman"/>
                <w:color w:val="auto"/>
                <w:sz w:val="24"/>
                <w:szCs w:val="24"/>
                <w:highlight w:val="none"/>
              </w:rPr>
              <w:t>。</w:t>
            </w:r>
          </w:p>
          <w:p w14:paraId="1E6B9B6F">
            <w:pPr>
              <w:spacing w:line="360" w:lineRule="auto"/>
              <w:ind w:firstLine="482" w:firstLineChars="200"/>
              <w:rPr>
                <w:b/>
                <w:color w:val="auto"/>
                <w:sz w:val="24"/>
                <w:szCs w:val="24"/>
                <w:highlight w:val="none"/>
              </w:rPr>
            </w:pPr>
            <w:r>
              <w:rPr>
                <w:rFonts w:hint="eastAsia"/>
                <w:b/>
                <w:color w:val="auto"/>
                <w:sz w:val="24"/>
                <w:szCs w:val="24"/>
                <w:highlight w:val="none"/>
                <w:lang w:eastAsia="zh-CN"/>
              </w:rPr>
              <w:t>（</w:t>
            </w:r>
            <w:r>
              <w:rPr>
                <w:rFonts w:hint="eastAsia"/>
                <w:b/>
                <w:color w:val="auto"/>
                <w:sz w:val="24"/>
                <w:szCs w:val="24"/>
                <w:highlight w:val="none"/>
                <w:lang w:val="en-US" w:eastAsia="zh-CN"/>
              </w:rPr>
              <w:t>1</w:t>
            </w:r>
            <w:r>
              <w:rPr>
                <w:rFonts w:hint="eastAsia"/>
                <w:b/>
                <w:color w:val="auto"/>
                <w:sz w:val="24"/>
                <w:szCs w:val="24"/>
                <w:highlight w:val="none"/>
                <w:lang w:eastAsia="zh-CN"/>
              </w:rPr>
              <w:t>）</w:t>
            </w:r>
            <w:r>
              <w:rPr>
                <w:b/>
                <w:color w:val="auto"/>
                <w:sz w:val="24"/>
                <w:szCs w:val="24"/>
                <w:highlight w:val="none"/>
              </w:rPr>
              <w:t>一般工业固废</w:t>
            </w:r>
          </w:p>
          <w:p w14:paraId="468E5881">
            <w:pPr>
              <w:pStyle w:val="2"/>
              <w:spacing w:before="0" w:after="0" w:line="360" w:lineRule="auto"/>
              <w:ind w:right="0" w:firstLine="480" w:firstLineChars="200"/>
              <w:rPr>
                <w:rFonts w:hint="eastAsia"/>
                <w:color w:val="auto"/>
                <w:kern w:val="2"/>
                <w:sz w:val="24"/>
                <w:szCs w:val="24"/>
                <w:highlight w:val="none"/>
                <w:lang w:val="en-US" w:eastAsia="zh-CN"/>
              </w:rPr>
            </w:pPr>
            <w:r>
              <w:rPr>
                <w:rFonts w:hint="eastAsia"/>
                <w:color w:val="auto"/>
                <w:kern w:val="2"/>
                <w:sz w:val="24"/>
                <w:szCs w:val="24"/>
                <w:highlight w:val="none"/>
                <w:lang w:val="en-US" w:eastAsia="zh-CN"/>
              </w:rPr>
              <w:t>1）废边角料：本项目在切割、冲压过程中会产生废边角料，根据建设单位提供资料，项目年产生废边角料约占总用量的1%，本项目年用金属1000t，即废边角料的量为10t/a，根据《固体废物分类与代码目录》（公告2024年第4号），废边角料属于SW17可再生类废物，废物代码为900-001-S17，经收集后，暂存于一般固废暂存间，定期外售物资回收部门回收利用。</w:t>
            </w:r>
          </w:p>
          <w:p w14:paraId="2C582617">
            <w:pPr>
              <w:pStyle w:val="2"/>
              <w:spacing w:before="0" w:after="0" w:line="360" w:lineRule="auto"/>
              <w:ind w:right="0" w:firstLine="480" w:firstLineChars="200"/>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不合格品</w:t>
            </w:r>
            <w:r>
              <w:rPr>
                <w:rFonts w:hint="eastAsia" w:ascii="Times New Roman" w:hAnsi="Times New Roman" w:eastAsia="宋体" w:cs="Times New Roman"/>
                <w:color w:val="auto"/>
                <w:kern w:val="2"/>
                <w:sz w:val="24"/>
                <w:szCs w:val="24"/>
                <w:highlight w:val="none"/>
                <w:lang w:val="en-US" w:eastAsia="zh-CN"/>
              </w:rPr>
              <w:t>：本项目</w:t>
            </w:r>
            <w:r>
              <w:rPr>
                <w:rFonts w:hint="eastAsia" w:cs="Times New Roman"/>
                <w:color w:val="auto"/>
                <w:kern w:val="2"/>
                <w:sz w:val="24"/>
                <w:szCs w:val="24"/>
                <w:highlight w:val="none"/>
                <w:lang w:val="en-US" w:eastAsia="zh-CN"/>
              </w:rPr>
              <w:t>检验工序中会产生部分不合格品，根据建设单位提供信息，不合格品的产生量为4t/a，</w:t>
            </w:r>
            <w:r>
              <w:rPr>
                <w:rFonts w:hint="eastAsia"/>
                <w:color w:val="auto"/>
                <w:kern w:val="2"/>
                <w:sz w:val="24"/>
                <w:szCs w:val="24"/>
                <w:highlight w:val="none"/>
                <w:lang w:val="en-US" w:eastAsia="zh-CN"/>
              </w:rPr>
              <w:t>根据《固体废物分类与代码目录》（公告2024年第4号），不合格品属于SW17可再生类废物，废物代码为900-001-S17，经收集后，暂存于一般固废暂存间，定期外售物资回收部门回收利用</w:t>
            </w:r>
            <w:r>
              <w:rPr>
                <w:rFonts w:hint="eastAsia" w:ascii="Times New Roman" w:hAnsi="Times New Roman" w:eastAsia="宋体" w:cs="Times New Roman"/>
                <w:color w:val="auto"/>
                <w:kern w:val="2"/>
                <w:sz w:val="24"/>
                <w:szCs w:val="24"/>
                <w:highlight w:val="none"/>
                <w:lang w:val="en-US" w:eastAsia="zh-CN"/>
              </w:rPr>
              <w:t>。</w:t>
            </w:r>
          </w:p>
          <w:p w14:paraId="4F55E231">
            <w:pPr>
              <w:pStyle w:val="2"/>
              <w:spacing w:before="0" w:after="0" w:line="360" w:lineRule="auto"/>
              <w:ind w:right="0" w:firstLine="480" w:firstLineChars="200"/>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lang w:val="en-US" w:eastAsia="zh-CN"/>
              </w:rPr>
              <w:t>废包装材料：</w:t>
            </w:r>
            <w:r>
              <w:rPr>
                <w:rFonts w:hint="eastAsia" w:ascii="Times New Roman" w:hAnsi="Times New Roman" w:eastAsia="宋体" w:cs="Times New Roman"/>
                <w:color w:val="auto"/>
                <w:kern w:val="2"/>
                <w:sz w:val="24"/>
                <w:szCs w:val="24"/>
                <w:highlight w:val="none"/>
                <w:lang w:val="en-US" w:eastAsia="zh-CN"/>
              </w:rPr>
              <w:t>原辅料的拆包会产生塑料、纸箱等废弃包装</w:t>
            </w:r>
            <w:r>
              <w:rPr>
                <w:rFonts w:hint="default" w:ascii="Times New Roman" w:hAnsi="Times New Roman" w:eastAsia="宋体" w:cs="Times New Roman"/>
                <w:color w:val="auto"/>
                <w:kern w:val="2"/>
                <w:sz w:val="24"/>
                <w:szCs w:val="24"/>
                <w:highlight w:val="none"/>
                <w:lang w:val="en-US" w:eastAsia="zh-CN"/>
              </w:rPr>
              <w:t>，根据建设方提供，产生量约</w:t>
            </w:r>
            <w:r>
              <w:rPr>
                <w:rFonts w:hint="eastAsia"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val="en-US" w:eastAsia="zh-CN"/>
              </w:rPr>
              <w:t>t/a，</w:t>
            </w:r>
            <w:r>
              <w:rPr>
                <w:rFonts w:hint="eastAsia" w:ascii="Times New Roman" w:hAnsi="Times New Roman" w:eastAsia="宋体" w:cs="Times New Roman"/>
                <w:color w:val="auto"/>
                <w:kern w:val="2"/>
                <w:sz w:val="24"/>
                <w:szCs w:val="24"/>
                <w:highlight w:val="none"/>
                <w:lang w:val="en-US" w:eastAsia="zh-CN"/>
              </w:rPr>
              <w:t>根据《固体废物分类与代码目录》（公告2024年第4号），</w:t>
            </w:r>
            <w:r>
              <w:rPr>
                <w:rFonts w:hint="default" w:ascii="Times New Roman" w:hAnsi="Times New Roman" w:eastAsia="宋体" w:cs="Times New Roman"/>
                <w:color w:val="auto"/>
                <w:kern w:val="2"/>
                <w:sz w:val="24"/>
                <w:szCs w:val="24"/>
                <w:highlight w:val="none"/>
                <w:lang w:val="en-US" w:eastAsia="zh-CN"/>
              </w:rPr>
              <w:t>废包装材料</w:t>
            </w:r>
            <w:r>
              <w:rPr>
                <w:rFonts w:hint="eastAsia" w:ascii="Times New Roman" w:hAnsi="Times New Roman" w:eastAsia="宋体" w:cs="Times New Roman"/>
                <w:color w:val="auto"/>
                <w:kern w:val="2"/>
                <w:sz w:val="24"/>
                <w:szCs w:val="24"/>
                <w:highlight w:val="none"/>
                <w:lang w:val="en-US" w:eastAsia="zh-CN"/>
              </w:rPr>
              <w:t>属于SW17可再生类废物，废物代码为900-003-S17和900-005-S17，经收集后，暂存于一般固废暂存间，定期外售物资回收部门回收利用。</w:t>
            </w:r>
          </w:p>
          <w:p w14:paraId="2FA6DDD5">
            <w:pPr>
              <w:pStyle w:val="2"/>
              <w:spacing w:before="0" w:after="0" w:line="360" w:lineRule="auto"/>
              <w:ind w:right="0" w:firstLine="480" w:firstLineChars="200"/>
              <w:rPr>
                <w:rFonts w:hint="eastAsia" w:ascii="Times New Roman" w:hAnsi="Times New Roman" w:eastAsia="宋体" w:cs="Times New Roman"/>
                <w:color w:val="auto"/>
                <w:kern w:val="2"/>
                <w:sz w:val="24"/>
                <w:szCs w:val="24"/>
                <w:highlight w:val="none"/>
                <w:lang w:val="en-US" w:eastAsia="zh-CN"/>
              </w:rPr>
            </w:pPr>
            <w:r>
              <w:rPr>
                <w:rFonts w:hint="eastAsia"/>
                <w:color w:val="auto"/>
                <w:kern w:val="2"/>
                <w:sz w:val="24"/>
                <w:szCs w:val="24"/>
                <w:highlight w:val="none"/>
                <w:lang w:val="en-US" w:eastAsia="zh-CN"/>
              </w:rPr>
              <w:t>4）废滤材：本项目在纯水制备过程中会产生废RO膜、废滤芯、废石英砂等过滤介质，根据企业提供信息，年产生量为0.5t/a，根据《固体废物分类与代码目录》（公告2024年第4号），废滤材属于SW59可再生类废物，废物代码为900-009-S59、900-008-S59，经收集后，暂存于</w:t>
            </w:r>
            <w:r>
              <w:rPr>
                <w:rFonts w:hint="eastAsia" w:ascii="Times New Roman" w:hAnsi="Times New Roman" w:eastAsia="宋体" w:cs="Times New Roman"/>
                <w:color w:val="auto"/>
                <w:kern w:val="2"/>
                <w:sz w:val="24"/>
                <w:szCs w:val="24"/>
                <w:highlight w:val="none"/>
                <w:lang w:val="en-US" w:eastAsia="zh-CN"/>
              </w:rPr>
              <w:t>一般固废暂存间，定期外售物资回收部门回收利用。</w:t>
            </w:r>
          </w:p>
          <w:p w14:paraId="6851AAA2">
            <w:pPr>
              <w:pStyle w:val="2"/>
              <w:spacing w:before="0" w:after="0" w:line="360" w:lineRule="auto"/>
              <w:ind w:right="0" w:firstLine="480"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kern w:val="2"/>
                <w:sz w:val="24"/>
                <w:szCs w:val="24"/>
                <w:highlight w:val="none"/>
                <w:lang w:val="en-US" w:eastAsia="zh-CN"/>
              </w:rPr>
              <w:t>5）回收粉尘：本项目喷粉工序产生的粉尘经喷粉房的滤芯回收系统处理后排放，收集的粉尘再回用于喷粉工序</w:t>
            </w:r>
            <w:r>
              <w:rPr>
                <w:rFonts w:hint="eastAsia"/>
                <w:color w:val="auto"/>
                <w:kern w:val="2"/>
                <w:sz w:val="24"/>
                <w:szCs w:val="24"/>
                <w:highlight w:val="none"/>
                <w:lang w:val="en-US" w:eastAsia="zh-CN"/>
              </w:rPr>
              <w:t>，根据前文废气工程分析计算，收集到的量为6.318t/a，则产生的回收粉尘为6.517t/a，根据《固体废物分类与代码目录》（公告2024年第4号），回收粉尘属于SW17可再生类废物，废物代码为900-099-S17，经收集后，暂存于一般固废暂存间，定期外售物资回收部门回收利用</w:t>
            </w:r>
            <w:r>
              <w:rPr>
                <w:rFonts w:hint="eastAsia" w:ascii="Times New Roman" w:hAnsi="Times New Roman" w:eastAsia="宋体" w:cs="Times New Roman"/>
                <w:color w:val="auto"/>
                <w:kern w:val="2"/>
                <w:sz w:val="24"/>
                <w:szCs w:val="24"/>
                <w:highlight w:val="none"/>
                <w:lang w:val="en-US" w:eastAsia="zh-CN"/>
              </w:rPr>
              <w:t>。</w:t>
            </w:r>
          </w:p>
          <w:p w14:paraId="3A3C4536">
            <w:pPr>
              <w:pStyle w:val="39"/>
              <w:ind w:firstLine="42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6）废滤芯：喷粉的废气经滤芯回收系统处理，企业定期更换滤芯，根据企业提供信息，单次填充量为1kg，1年更换1次，</w:t>
            </w:r>
            <w:r>
              <w:rPr>
                <w:rFonts w:hint="eastAsia" w:cs="Times New Roman"/>
                <w:color w:val="auto"/>
                <w:kern w:val="0"/>
                <w:sz w:val="24"/>
                <w:szCs w:val="24"/>
                <w:highlight w:val="none"/>
                <w:lang w:val="en-US" w:eastAsia="zh-CN"/>
              </w:rPr>
              <w:t>则废滤芯总量为0.001t/a。</w:t>
            </w:r>
            <w:r>
              <w:rPr>
                <w:rFonts w:hint="eastAsia"/>
                <w:color w:val="auto"/>
                <w:kern w:val="2"/>
                <w:sz w:val="24"/>
                <w:szCs w:val="24"/>
                <w:highlight w:val="none"/>
                <w:lang w:val="en-US" w:eastAsia="zh-CN"/>
              </w:rPr>
              <w:t>根据《固体废物分类与代码目录》（公告2024年第4号），</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滤芯</w:t>
            </w:r>
            <w:r>
              <w:rPr>
                <w:rFonts w:hint="eastAsia"/>
                <w:color w:val="auto"/>
                <w:kern w:val="2"/>
                <w:sz w:val="24"/>
                <w:szCs w:val="24"/>
                <w:highlight w:val="none"/>
                <w:lang w:val="en-US" w:eastAsia="zh-CN"/>
              </w:rPr>
              <w:t>属于SW17可再生类废物，废物代码为900-099-S17，经收集后，暂存于一般固废暂存间，定期外售物资回收部门</w:t>
            </w:r>
            <w:r>
              <w:rPr>
                <w:rFonts w:hint="eastAsia"/>
                <w:color w:val="auto"/>
                <w:kern w:val="0"/>
                <w:sz w:val="24"/>
                <w:szCs w:val="24"/>
                <w:highlight w:val="none"/>
                <w:lang w:val="en-US" w:eastAsia="zh-CN"/>
              </w:rPr>
              <w:t>回收利用</w:t>
            </w:r>
            <w:r>
              <w:rPr>
                <w:rFonts w:hint="eastAsia" w:ascii="Times New Roman" w:hAnsi="Times New Roman" w:eastAsia="宋体" w:cs="Times New Roman"/>
                <w:color w:val="auto"/>
                <w:sz w:val="24"/>
                <w:szCs w:val="24"/>
                <w:highlight w:val="none"/>
                <w:lang w:val="en-US" w:eastAsia="zh-CN"/>
              </w:rPr>
              <w:t>。</w:t>
            </w:r>
          </w:p>
          <w:p w14:paraId="6BE90106">
            <w:pPr>
              <w:pStyle w:val="39"/>
              <w:ind w:firstLine="42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7）沉降粉尘：根据前文废气分析可知，喷粉粉尘经滤芯除尘处理后约60%的粉尘沉降到车间，沉降粉尘量约0.21t/a，</w:t>
            </w:r>
            <w:r>
              <w:rPr>
                <w:rFonts w:hint="eastAsia"/>
                <w:color w:val="auto"/>
                <w:lang w:val="en-US" w:eastAsia="zh-CN"/>
              </w:rPr>
              <w:t>沉降</w:t>
            </w:r>
            <w:r>
              <w:rPr>
                <w:rFonts w:hint="eastAsia"/>
                <w:color w:val="auto"/>
                <w:kern w:val="2"/>
                <w:sz w:val="24"/>
                <w:szCs w:val="24"/>
                <w:highlight w:val="none"/>
                <w:lang w:val="en-US" w:eastAsia="zh-CN"/>
              </w:rPr>
              <w:t>粉尘属于SW17可再生类废物，废物代码为900-099-S17，经清扫收集后，暂存于一般固废暂存间，定期外售物资回收部门回收利用</w:t>
            </w:r>
            <w:r>
              <w:rPr>
                <w:rFonts w:hint="eastAsia" w:ascii="Times New Roman" w:hAnsi="Times New Roman" w:eastAsia="宋体" w:cs="Times New Roman"/>
                <w:color w:val="auto"/>
                <w:kern w:val="2"/>
                <w:sz w:val="24"/>
                <w:szCs w:val="24"/>
                <w:highlight w:val="none"/>
                <w:lang w:val="en-US" w:eastAsia="zh-CN"/>
              </w:rPr>
              <w:t>。</w:t>
            </w:r>
          </w:p>
          <w:p w14:paraId="7D6F78D1">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危险废物</w:t>
            </w:r>
          </w:p>
          <w:p w14:paraId="71887EFE">
            <w:pPr>
              <w:pStyle w:val="39"/>
              <w:ind w:firstLine="420"/>
              <w:rPr>
                <w:rFonts w:hint="eastAsia" w:ascii="Times New Roman" w:hAnsi="Times New Roman" w:eastAsia="宋体" w:cs="Times New Roman"/>
                <w:color w:val="auto"/>
                <w:highlight w:val="none"/>
                <w:lang w:val="en-US" w:eastAsia="zh-CN"/>
              </w:rPr>
            </w:pPr>
            <w:r>
              <w:rPr>
                <w:rFonts w:hint="eastAsia" w:cs="Times New Roman"/>
                <w:color w:val="auto"/>
                <w:sz w:val="24"/>
                <w:szCs w:val="24"/>
                <w:highlight w:val="none"/>
                <w:lang w:val="en-US" w:eastAsia="zh-CN"/>
              </w:rPr>
              <w:t>1）脱脂废液：根据前文分析，脱脂废液产生量为21t/a，该部分废液作为危废处置</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highlight w:val="none"/>
                <w:lang w:val="en-US" w:eastAsia="zh-CN"/>
              </w:rPr>
              <w:t>脱脂废液</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336-064-14</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p>
          <w:p w14:paraId="782369C7">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2）</w:t>
            </w:r>
            <w:r>
              <w:rPr>
                <w:rFonts w:hint="eastAsia" w:cs="Times New Roman"/>
                <w:color w:val="auto"/>
                <w:sz w:val="24"/>
                <w:szCs w:val="24"/>
                <w:highlight w:val="none"/>
                <w:lang w:val="en-US" w:eastAsia="zh-CN"/>
              </w:rPr>
              <w:t>酸洗废液</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根据前文分析，酸洗废液产生量为21t/a，该部分废液作为危废处置</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酸洗废液</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336-064-14</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7657C0D3">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3）</w:t>
            </w:r>
            <w:r>
              <w:rPr>
                <w:rFonts w:hint="eastAsia" w:cs="Times New Roman"/>
                <w:color w:val="auto"/>
                <w:sz w:val="24"/>
                <w:szCs w:val="24"/>
                <w:highlight w:val="none"/>
                <w:lang w:val="en-US" w:eastAsia="zh-CN"/>
              </w:rPr>
              <w:t>中和废液</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根据前文分析，中和废液产生量为8.24t/a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中和废液</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336-064-14</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61CCCDE3">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4）</w:t>
            </w:r>
            <w:r>
              <w:rPr>
                <w:rFonts w:hint="eastAsia" w:cs="Times New Roman"/>
                <w:color w:val="auto"/>
                <w:sz w:val="24"/>
                <w:szCs w:val="24"/>
                <w:highlight w:val="none"/>
                <w:lang w:val="en-US" w:eastAsia="zh-CN"/>
              </w:rPr>
              <w:t>硅烷废液</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根据前文分析，硅烷废液产生量为14t/a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硅烷废液</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336-064-14</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4C58E0C5">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5）</w:t>
            </w:r>
            <w:r>
              <w:rPr>
                <w:rFonts w:hint="eastAsia" w:cs="Times New Roman"/>
                <w:color w:val="auto"/>
                <w:sz w:val="24"/>
                <w:szCs w:val="24"/>
                <w:highlight w:val="none"/>
                <w:lang w:val="en-US" w:eastAsia="zh-CN"/>
              </w:rPr>
              <w:t>废超滤膜</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根据建设单位提供信息，废超滤膜产生量为0.005t/a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废超滤膜</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49</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其他废物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900-041-49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030BF278">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6）</w:t>
            </w:r>
            <w:r>
              <w:rPr>
                <w:rFonts w:hint="eastAsia" w:cs="Times New Roman"/>
                <w:color w:val="auto"/>
                <w:sz w:val="24"/>
                <w:szCs w:val="24"/>
                <w:highlight w:val="none"/>
                <w:lang w:val="en-US" w:eastAsia="zh-CN"/>
              </w:rPr>
              <w:t>槽渣</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根据前文分析，电泳漆利用率为98%，则剩余2%部分在废水中部分沉降槽底作为槽渣，槽渣产生量为0.11138t/a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槽渣</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12</w:t>
            </w:r>
            <w:r>
              <w:rPr>
                <w:rFonts w:hint="eastAsia" w:ascii="Times New Roman" w:hAnsi="Times New Roman" w:eastAsia="宋体" w:cs="Times New Roman"/>
                <w:color w:val="auto"/>
                <w:highlight w:val="none"/>
                <w:lang w:val="en-US" w:eastAsia="zh-CN"/>
              </w:rPr>
              <w:t xml:space="preserve"> 染料、涂料</w:t>
            </w:r>
            <w:r>
              <w:rPr>
                <w:rFonts w:hint="eastAsia" w:cs="Times New Roman"/>
                <w:color w:val="auto"/>
                <w:highlight w:val="none"/>
                <w:lang w:val="en-US" w:eastAsia="zh-CN"/>
              </w:rPr>
              <w:t>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900-252-12</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32ECB574">
            <w:pPr>
              <w:pStyle w:val="39"/>
              <w:ind w:firstLine="420"/>
              <w:rPr>
                <w:rFonts w:hint="default" w:cs="Times New Roman"/>
                <w:color w:val="auto"/>
                <w:highlight w:val="none"/>
                <w:lang w:val="en-US" w:eastAsia="zh-CN"/>
              </w:rPr>
            </w:pPr>
            <w:r>
              <w:rPr>
                <w:rFonts w:hint="eastAsia" w:cs="Times New Roman"/>
                <w:color w:val="auto"/>
                <w:highlight w:val="none"/>
                <w:lang w:val="en-US" w:eastAsia="zh-CN"/>
              </w:rPr>
              <w:t>7）</w:t>
            </w:r>
            <w:r>
              <w:rPr>
                <w:rFonts w:hint="eastAsia" w:cs="Times New Roman"/>
                <w:color w:val="auto"/>
                <w:sz w:val="24"/>
                <w:szCs w:val="24"/>
                <w:highlight w:val="none"/>
                <w:lang w:val="en-US" w:eastAsia="zh-CN"/>
              </w:rPr>
              <w:t>表调废液</w:t>
            </w:r>
            <w:r>
              <w:rPr>
                <w:rFonts w:hint="eastAsia" w:cs="Times New Roman"/>
                <w:color w:val="auto"/>
                <w:highlight w:val="none"/>
                <w:lang w:val="en-US" w:eastAsia="zh-CN"/>
              </w:rPr>
              <w:t>：</w:t>
            </w:r>
            <w:r>
              <w:rPr>
                <w:rFonts w:hint="eastAsia" w:cs="Times New Roman"/>
                <w:color w:val="auto"/>
                <w:sz w:val="24"/>
                <w:szCs w:val="24"/>
                <w:highlight w:val="none"/>
                <w:lang w:val="en-US" w:eastAsia="zh-CN"/>
              </w:rPr>
              <w:t>根据前文分析，表调废液产生量为5.76t/a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sz w:val="24"/>
                <w:szCs w:val="24"/>
                <w:highlight w:val="none"/>
                <w:lang w:val="en-US" w:eastAsia="zh-CN"/>
              </w:rPr>
              <w:t>表调废液</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336-064-14</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40098F2A">
            <w:pPr>
              <w:pStyle w:val="39"/>
              <w:numPr>
                <w:ilvl w:val="0"/>
                <w:numId w:val="0"/>
              </w:numPr>
              <w:ind w:firstLine="480" w:firstLineChars="200"/>
              <w:rPr>
                <w:rFonts w:hint="eastAsia" w:cs="Times New Roman"/>
                <w:color w:val="auto"/>
                <w:highlight w:val="none"/>
                <w:lang w:val="en-US" w:eastAsia="zh-CN"/>
              </w:rPr>
            </w:pPr>
            <w:r>
              <w:rPr>
                <w:rFonts w:hint="eastAsia" w:cs="Times New Roman"/>
                <w:color w:val="auto"/>
                <w:kern w:val="0"/>
                <w:sz w:val="24"/>
                <w:szCs w:val="20"/>
                <w:highlight w:val="none"/>
                <w:lang w:val="en-US" w:eastAsia="zh-CN" w:bidi="ar-SA"/>
              </w:rPr>
              <w:t>8</w:t>
            </w:r>
            <w:r>
              <w:rPr>
                <w:rFonts w:hint="eastAsia" w:ascii="Times New Roman" w:hAnsi="Times New Roman" w:eastAsia="宋体" w:cs="Times New Roman"/>
                <w:color w:val="auto"/>
                <w:kern w:val="0"/>
                <w:sz w:val="24"/>
                <w:szCs w:val="20"/>
                <w:highlight w:val="none"/>
                <w:lang w:val="en-US" w:eastAsia="zh-CN" w:bidi="ar-SA"/>
              </w:rPr>
              <w:t>）</w:t>
            </w:r>
            <w:r>
              <w:rPr>
                <w:rFonts w:hint="eastAsia" w:cs="Times New Roman"/>
                <w:color w:val="auto"/>
                <w:highlight w:val="none"/>
                <w:lang w:val="en-US" w:eastAsia="zh-CN"/>
              </w:rPr>
              <w:t>废包装容器：原辅料拆包时会产生废包装容器，</w:t>
            </w:r>
            <w:r>
              <w:rPr>
                <w:rFonts w:hint="eastAsia" w:cs="Times New Roman"/>
                <w:color w:val="auto"/>
                <w:sz w:val="24"/>
                <w:szCs w:val="24"/>
                <w:highlight w:val="none"/>
                <w:lang w:val="en-US" w:eastAsia="zh-CN"/>
              </w:rPr>
              <w:t>根据建设单位提供信息，单个硅烷剂桶重约1kg，企业年使用硅烷剂240桶，单个脱脂剂桶重约1kg，企业年使用脱脂剂320桶，单个表调剂桶重约1kg，企业年使用表调剂120桶，企业年使用电泳漆树脂480桶，单个电泳漆树脂桶重约1kg，企业年使用电泳漆色浆96桶，单个电泳漆树色浆桶重约1kg，企业年使用氢氧化钠250袋，单个氢氧化钠袋重约0.2kg，企业年使用石灰1000袋，单个石灰袋重约0.2kg，企业年使用混凝剂750桶，单个混凝剂桶重约1kg，企业年使用絮凝剂20袋，单个絮凝剂袋重约0.2kg，则废包装容器产生量约为3.22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highlight w:val="none"/>
                <w:lang w:val="en-US" w:eastAsia="zh-CN"/>
              </w:rPr>
              <w:t>废包装桶</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49</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其他废物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900-041-49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3AA8802D">
            <w:pPr>
              <w:pStyle w:val="39"/>
              <w:ind w:firstLine="420"/>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9）</w:t>
            </w:r>
            <w:r>
              <w:rPr>
                <w:rFonts w:hint="eastAsia" w:cs="Times New Roman"/>
                <w:color w:val="auto"/>
                <w:highlight w:val="none"/>
                <w:lang w:val="en-US" w:eastAsia="zh-CN"/>
              </w:rPr>
              <w:t>废润滑油：</w:t>
            </w:r>
            <w:r>
              <w:rPr>
                <w:rFonts w:hint="eastAsia" w:cs="Times New Roman"/>
                <w:color w:val="auto"/>
                <w:sz w:val="24"/>
                <w:szCs w:val="24"/>
                <w:highlight w:val="none"/>
                <w:lang w:val="en-US" w:eastAsia="zh-CN"/>
              </w:rPr>
              <w:t>设备润滑需要用润滑油，根据建设单位提供信息，废润滑油的产生量约为0.01t/a，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highlight w:val="none"/>
                <w:lang w:val="en-US" w:eastAsia="zh-CN"/>
              </w:rPr>
              <w:t>废润滑油</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08</w:t>
            </w:r>
            <w:r>
              <w:rPr>
                <w:rFonts w:hint="eastAsia" w:ascii="Times New Roman" w:hAnsi="Times New Roman" w:eastAsia="宋体" w:cs="Times New Roman"/>
                <w:color w:val="auto"/>
                <w:highlight w:val="none"/>
                <w:lang w:val="en-US" w:eastAsia="zh-CN"/>
              </w:rPr>
              <w:t xml:space="preserve"> </w:t>
            </w:r>
            <w:r>
              <w:rPr>
                <w:rFonts w:hint="eastAsia"/>
                <w:color w:val="auto"/>
                <w:highlight w:val="none"/>
              </w:rPr>
              <w:t>废矿物油与含矿物油废物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900-217-08</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7C2614EE">
            <w:pPr>
              <w:pStyle w:val="39"/>
              <w:ind w:firstLine="420"/>
              <w:rPr>
                <w:rFonts w:hint="default" w:cs="Times New Roman"/>
                <w:color w:val="auto"/>
                <w:highlight w:val="none"/>
                <w:lang w:val="en-US" w:eastAsia="zh-CN"/>
              </w:rPr>
            </w:pPr>
            <w:r>
              <w:rPr>
                <w:rFonts w:hint="eastAsia" w:cs="Times New Roman"/>
                <w:color w:val="auto"/>
                <w:highlight w:val="none"/>
                <w:lang w:val="en-US" w:eastAsia="zh-CN"/>
              </w:rPr>
              <w:t>10）含油抹布：机器设备在维护保养时，会用抹布擦拭多余的油，根据建设单位提供信息，年产生含油抹布0.02t/a，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highlight w:val="none"/>
                <w:lang w:val="en-US" w:eastAsia="zh-CN"/>
              </w:rPr>
              <w:t>含油抹布</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49</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其他废物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900-041-49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6CB4BA84">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11）废油桶：</w:t>
            </w:r>
            <w:r>
              <w:rPr>
                <w:rFonts w:hint="eastAsia" w:cs="Times New Roman"/>
                <w:color w:val="auto"/>
                <w:sz w:val="24"/>
                <w:szCs w:val="24"/>
                <w:highlight w:val="none"/>
                <w:lang w:val="en-US" w:eastAsia="zh-CN"/>
              </w:rPr>
              <w:t>设备润滑需要用润滑油，根据建设单位提供信息，单个润滑油桶重约10kg，企业年使用润滑油10桶，产生量约为0.1t/a，</w:t>
            </w:r>
            <w:r>
              <w:rPr>
                <w:rFonts w:hint="eastAsia" w:ascii="Times New Roman" w:hAnsi="Times New Roman" w:eastAsia="宋体" w:cs="Times New Roman"/>
                <w:color w:val="auto"/>
                <w:highlight w:val="none"/>
                <w:lang w:val="en-US" w:eastAsia="zh-CN"/>
              </w:rPr>
              <w:t>经查阅《国家危险废物名录》（2025版），</w:t>
            </w:r>
            <w:r>
              <w:rPr>
                <w:rFonts w:hint="eastAsia" w:cs="Times New Roman"/>
                <w:color w:val="auto"/>
                <w:highlight w:val="none"/>
                <w:lang w:val="en-US" w:eastAsia="zh-CN"/>
              </w:rPr>
              <w:t>废油桶</w:t>
            </w:r>
            <w:r>
              <w:rPr>
                <w:rFonts w:hint="eastAsia" w:ascii="Times New Roman" w:hAnsi="Times New Roman" w:eastAsia="宋体" w:cs="Times New Roman"/>
                <w:color w:val="auto"/>
                <w:highlight w:val="none"/>
                <w:lang w:val="en-US" w:eastAsia="zh-CN"/>
              </w:rPr>
              <w:t>属于危险废物（HW</w:t>
            </w:r>
            <w:r>
              <w:rPr>
                <w:rFonts w:hint="eastAsia" w:cs="Times New Roman"/>
                <w:color w:val="auto"/>
                <w:highlight w:val="none"/>
                <w:lang w:val="en-US" w:eastAsia="zh-CN"/>
              </w:rPr>
              <w:t>08</w:t>
            </w:r>
            <w:r>
              <w:rPr>
                <w:rFonts w:hint="eastAsia" w:ascii="Times New Roman" w:hAnsi="Times New Roman" w:eastAsia="宋体" w:cs="Times New Roman"/>
                <w:color w:val="auto"/>
                <w:highlight w:val="none"/>
                <w:lang w:val="en-US" w:eastAsia="zh-CN"/>
              </w:rPr>
              <w:t xml:space="preserve"> </w:t>
            </w:r>
            <w:r>
              <w:rPr>
                <w:rFonts w:hint="eastAsia"/>
                <w:color w:val="auto"/>
                <w:highlight w:val="none"/>
              </w:rPr>
              <w:t>废矿物油与含矿物油废物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900-249-08</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0D4315E2">
            <w:pPr>
              <w:pStyle w:val="39"/>
              <w:ind w:firstLine="4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12）废活性炭：</w:t>
            </w:r>
            <w:r>
              <w:rPr>
                <w:rFonts w:hint="eastAsia" w:ascii="Times New Roman" w:hAnsi="Times New Roman" w:eastAsia="宋体" w:cs="Calibri"/>
                <w:color w:val="auto"/>
                <w:kern w:val="2"/>
                <w:sz w:val="24"/>
                <w:szCs w:val="24"/>
                <w:highlight w:val="none"/>
                <w:lang w:val="en-US" w:eastAsia="zh-CN" w:bidi="ar-SA"/>
              </w:rPr>
              <w:t>活性炭吸附装置定期更换产生的废活性炭，本项目有机废气处理量约为</w:t>
            </w:r>
            <w:r>
              <w:rPr>
                <w:rFonts w:hint="eastAsia" w:cs="Calibri"/>
                <w:color w:val="auto"/>
                <w:kern w:val="2"/>
                <w:sz w:val="24"/>
                <w:szCs w:val="24"/>
                <w:highlight w:val="none"/>
                <w:lang w:val="en-US" w:eastAsia="zh-CN" w:bidi="ar-SA"/>
              </w:rPr>
              <w:t>1.7757</w:t>
            </w:r>
            <w:r>
              <w:rPr>
                <w:rFonts w:hint="eastAsia" w:ascii="Times New Roman" w:hAnsi="Times New Roman" w:eastAsia="宋体" w:cs="Calibri"/>
                <w:color w:val="auto"/>
                <w:kern w:val="2"/>
                <w:sz w:val="24"/>
                <w:szCs w:val="24"/>
                <w:highlight w:val="none"/>
                <w:lang w:val="en-US" w:eastAsia="zh-CN" w:bidi="ar-SA"/>
              </w:rPr>
              <w:t>t/a，设计活性炭吸附装置一次装填量约</w:t>
            </w:r>
            <w:r>
              <w:rPr>
                <w:rFonts w:hint="eastAsia" w:cs="Calibri"/>
                <w:color w:val="auto"/>
                <w:kern w:val="2"/>
                <w:sz w:val="24"/>
                <w:szCs w:val="24"/>
                <w:highlight w:val="none"/>
                <w:lang w:val="en-US" w:eastAsia="zh-CN" w:bidi="ar-SA"/>
              </w:rPr>
              <w:t>1.908</w:t>
            </w:r>
            <w:r>
              <w:rPr>
                <w:rFonts w:hint="eastAsia" w:ascii="Times New Roman" w:hAnsi="Times New Roman" w:eastAsia="宋体" w:cs="Calibri"/>
                <w:color w:val="auto"/>
                <w:kern w:val="2"/>
                <w:sz w:val="24"/>
                <w:szCs w:val="24"/>
                <w:highlight w:val="none"/>
                <w:lang w:val="en-US" w:eastAsia="zh-CN" w:bidi="ar-SA"/>
              </w:rPr>
              <w:t>t，企业</w:t>
            </w:r>
            <w:r>
              <w:rPr>
                <w:rFonts w:hint="eastAsia" w:cs="Calibri"/>
                <w:color w:val="auto"/>
                <w:kern w:val="2"/>
                <w:sz w:val="24"/>
                <w:szCs w:val="24"/>
                <w:highlight w:val="none"/>
                <w:lang w:val="en-US" w:eastAsia="zh-CN" w:bidi="ar-SA"/>
              </w:rPr>
              <w:t>50天</w:t>
            </w:r>
            <w:r>
              <w:rPr>
                <w:rFonts w:hint="eastAsia" w:ascii="Times New Roman" w:hAnsi="Times New Roman" w:eastAsia="宋体" w:cs="Calibri"/>
                <w:color w:val="auto"/>
                <w:kern w:val="2"/>
                <w:sz w:val="24"/>
                <w:szCs w:val="24"/>
                <w:highlight w:val="none"/>
                <w:lang w:val="en-US" w:eastAsia="zh-CN" w:bidi="ar-SA"/>
              </w:rPr>
              <w:t>更换一次，</w:t>
            </w:r>
            <w:r>
              <w:rPr>
                <w:rFonts w:hint="eastAsia" w:cs="Calibri"/>
                <w:color w:val="auto"/>
                <w:kern w:val="2"/>
                <w:sz w:val="24"/>
                <w:szCs w:val="24"/>
                <w:highlight w:val="none"/>
                <w:lang w:val="en-US" w:eastAsia="zh-CN" w:bidi="ar-SA"/>
              </w:rPr>
              <w:t>一年更换6次，</w:t>
            </w:r>
            <w:r>
              <w:rPr>
                <w:rFonts w:hint="eastAsia" w:ascii="Times New Roman" w:hAnsi="Times New Roman" w:eastAsia="宋体" w:cs="Calibri"/>
                <w:color w:val="auto"/>
                <w:kern w:val="2"/>
                <w:sz w:val="24"/>
                <w:szCs w:val="24"/>
                <w:highlight w:val="none"/>
                <w:lang w:val="en-US" w:eastAsia="zh-CN" w:bidi="ar-SA"/>
              </w:rPr>
              <w:t>因此废活性炭产生量约</w:t>
            </w:r>
            <w:r>
              <w:rPr>
                <w:rFonts w:hint="eastAsia" w:cs="Calibri"/>
                <w:color w:val="auto"/>
                <w:kern w:val="2"/>
                <w:sz w:val="24"/>
                <w:szCs w:val="24"/>
                <w:highlight w:val="none"/>
                <w:lang w:val="en-US" w:eastAsia="zh-CN" w:bidi="ar-SA"/>
              </w:rPr>
              <w:t>13.2237</w:t>
            </w:r>
            <w:r>
              <w:rPr>
                <w:rFonts w:hint="eastAsia" w:ascii="Times New Roman" w:hAnsi="Times New Roman" w:eastAsia="宋体" w:cs="Calibri"/>
                <w:color w:val="auto"/>
                <w:kern w:val="2"/>
                <w:sz w:val="24"/>
                <w:szCs w:val="24"/>
                <w:highlight w:val="none"/>
                <w:lang w:val="en-US" w:eastAsia="zh-CN" w:bidi="ar-SA"/>
              </w:rPr>
              <w:t>t/a（含所吸附有机废气</w:t>
            </w:r>
            <w:r>
              <w:rPr>
                <w:rFonts w:hint="eastAsia" w:cs="Calibri"/>
                <w:color w:val="auto"/>
                <w:kern w:val="2"/>
                <w:sz w:val="24"/>
                <w:szCs w:val="24"/>
                <w:highlight w:val="none"/>
                <w:lang w:val="en-US" w:eastAsia="zh-CN" w:bidi="ar-SA"/>
              </w:rPr>
              <w:t>1.7757</w:t>
            </w:r>
            <w:r>
              <w:rPr>
                <w:rFonts w:hint="eastAsia" w:ascii="Times New Roman" w:hAnsi="Times New Roman" w:eastAsia="宋体" w:cs="Calibri"/>
                <w:color w:val="auto"/>
                <w:kern w:val="2"/>
                <w:sz w:val="24"/>
                <w:szCs w:val="24"/>
                <w:highlight w:val="none"/>
                <w:lang w:val="en-US" w:eastAsia="zh-CN" w:bidi="ar-SA"/>
              </w:rPr>
              <w:t>t/a），</w:t>
            </w:r>
            <w:r>
              <w:rPr>
                <w:rFonts w:hint="eastAsia" w:ascii="Times New Roman" w:hAnsi="Times New Roman" w:eastAsia="宋体" w:cs="Times New Roman"/>
                <w:color w:val="auto"/>
                <w:highlight w:val="none"/>
                <w:lang w:val="en-US" w:eastAsia="zh-CN"/>
              </w:rPr>
              <w:t>经查阅《国家危险废物名录》（2025版），废活性炭</w:t>
            </w:r>
            <w:r>
              <w:rPr>
                <w:rFonts w:hint="default" w:ascii="Times New Roman" w:hAnsi="Times New Roman" w:eastAsia="宋体" w:cs="Calibri"/>
                <w:color w:val="auto"/>
                <w:kern w:val="2"/>
                <w:sz w:val="24"/>
                <w:szCs w:val="24"/>
                <w:highlight w:val="none"/>
                <w:lang w:val="en-US" w:eastAsia="zh-CN" w:bidi="ar-SA"/>
              </w:rPr>
              <w:t>属于危险废物（HW49</w:t>
            </w:r>
            <w:r>
              <w:rPr>
                <w:rFonts w:hint="eastAsia" w:eastAsia="宋体" w:cs="Calibri"/>
                <w:color w:val="auto"/>
                <w:kern w:val="2"/>
                <w:sz w:val="24"/>
                <w:szCs w:val="24"/>
                <w:highlight w:val="none"/>
                <w:lang w:val="en-US" w:eastAsia="zh-CN" w:bidi="ar-SA"/>
              </w:rPr>
              <w:t xml:space="preserve"> </w:t>
            </w:r>
            <w:r>
              <w:rPr>
                <w:rFonts w:hint="eastAsia" w:cs="Times New Roman"/>
                <w:color w:val="auto"/>
                <w:highlight w:val="none"/>
                <w:lang w:val="en-US" w:eastAsia="zh-CN"/>
              </w:rPr>
              <w:t xml:space="preserve">其他废物 </w:t>
            </w:r>
            <w:r>
              <w:rPr>
                <w:rFonts w:hint="default" w:ascii="Times New Roman" w:hAnsi="Times New Roman" w:eastAsia="宋体" w:cs="Calibri"/>
                <w:color w:val="auto"/>
                <w:kern w:val="2"/>
                <w:sz w:val="24"/>
                <w:szCs w:val="24"/>
                <w:highlight w:val="none"/>
                <w:lang w:val="en-US" w:eastAsia="zh-CN" w:bidi="ar-SA"/>
              </w:rPr>
              <w:t>900-039-49），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27DD6339">
            <w:pPr>
              <w:pStyle w:val="39"/>
              <w:ind w:firstLine="420"/>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13）喷淋废液：本项目</w:t>
            </w:r>
            <w:r>
              <w:rPr>
                <w:rFonts w:hint="eastAsia" w:cs="Times New Roman"/>
                <w:color w:val="auto"/>
                <w:highlight w:val="none"/>
                <w:lang w:val="en-US" w:eastAsia="zh-CN"/>
              </w:rPr>
              <w:t>碱性</w:t>
            </w:r>
            <w:r>
              <w:rPr>
                <w:rFonts w:hint="eastAsia" w:ascii="Times New Roman" w:hAnsi="Times New Roman" w:eastAsia="宋体" w:cs="Times New Roman"/>
                <w:color w:val="auto"/>
                <w:highlight w:val="none"/>
                <w:lang w:val="en-US" w:eastAsia="zh-CN"/>
              </w:rPr>
              <w:t>喷淋塔定期补水，一年更换一次废水，根据建设单位提供信息，喷淋废液产生量为1t/a，经查阅《国家危险废物名录》（2025版），</w:t>
            </w:r>
            <w:r>
              <w:rPr>
                <w:rFonts w:hint="eastAsia" w:cs="Times New Roman"/>
                <w:color w:val="auto"/>
                <w:highlight w:val="none"/>
                <w:lang w:val="en-US" w:eastAsia="zh-CN"/>
              </w:rPr>
              <w:t>喷淋废液</w:t>
            </w:r>
            <w:r>
              <w:rPr>
                <w:rFonts w:hint="default" w:ascii="Times New Roman" w:hAnsi="Times New Roman" w:eastAsia="宋体" w:cs="Calibri"/>
                <w:color w:val="auto"/>
                <w:kern w:val="2"/>
                <w:sz w:val="24"/>
                <w:szCs w:val="24"/>
                <w:highlight w:val="none"/>
                <w:lang w:val="en-US" w:eastAsia="zh-CN" w:bidi="ar-SA"/>
              </w:rPr>
              <w:t>属于危险废物（HW49</w:t>
            </w:r>
            <w:r>
              <w:rPr>
                <w:rFonts w:hint="eastAsia" w:eastAsia="宋体" w:cs="Calibri"/>
                <w:color w:val="auto"/>
                <w:kern w:val="2"/>
                <w:sz w:val="24"/>
                <w:szCs w:val="24"/>
                <w:highlight w:val="none"/>
                <w:lang w:val="en-US" w:eastAsia="zh-CN" w:bidi="ar-SA"/>
              </w:rPr>
              <w:t xml:space="preserve"> </w:t>
            </w:r>
            <w:r>
              <w:rPr>
                <w:rFonts w:hint="eastAsia" w:cs="Times New Roman"/>
                <w:color w:val="auto"/>
                <w:highlight w:val="none"/>
                <w:lang w:val="en-US" w:eastAsia="zh-CN"/>
              </w:rPr>
              <w:t xml:space="preserve">其他废物 </w:t>
            </w:r>
            <w:r>
              <w:rPr>
                <w:rFonts w:hint="default" w:ascii="Times New Roman" w:hAnsi="Times New Roman" w:eastAsia="宋体" w:cs="Calibri"/>
                <w:color w:val="auto"/>
                <w:kern w:val="2"/>
                <w:sz w:val="24"/>
                <w:szCs w:val="24"/>
                <w:highlight w:val="none"/>
                <w:lang w:val="en-US" w:eastAsia="zh-CN" w:bidi="ar-SA"/>
              </w:rPr>
              <w:t>900-0</w:t>
            </w:r>
            <w:r>
              <w:rPr>
                <w:rFonts w:hint="eastAsia" w:ascii="Times New Roman" w:hAnsi="Times New Roman" w:eastAsia="宋体" w:cs="Calibri"/>
                <w:color w:val="auto"/>
                <w:kern w:val="2"/>
                <w:sz w:val="24"/>
                <w:szCs w:val="24"/>
                <w:highlight w:val="none"/>
                <w:lang w:val="en-US" w:eastAsia="zh-CN" w:bidi="ar-SA"/>
              </w:rPr>
              <w:t>41</w:t>
            </w:r>
            <w:r>
              <w:rPr>
                <w:rFonts w:hint="default" w:ascii="Times New Roman" w:hAnsi="Times New Roman" w:eastAsia="宋体" w:cs="Calibri"/>
                <w:color w:val="auto"/>
                <w:kern w:val="2"/>
                <w:sz w:val="24"/>
                <w:szCs w:val="24"/>
                <w:highlight w:val="none"/>
                <w:lang w:val="en-US" w:eastAsia="zh-CN" w:bidi="ar-SA"/>
              </w:rPr>
              <w:t>-49），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206450C8">
            <w:pPr>
              <w:pStyle w:val="39"/>
              <w:ind w:firstLine="420"/>
              <w:rPr>
                <w:rFonts w:hint="default" w:cs="Times New Roman"/>
                <w:color w:val="auto"/>
                <w:highlight w:val="none"/>
                <w:lang w:val="en-US" w:eastAsia="zh-CN"/>
              </w:rPr>
            </w:pPr>
            <w:r>
              <w:rPr>
                <w:rFonts w:hint="eastAsia" w:cs="Times New Roman"/>
                <w:color w:val="auto"/>
                <w:highlight w:val="none"/>
                <w:lang w:val="en-US" w:eastAsia="zh-CN"/>
              </w:rPr>
              <w:t>14）废过滤棉：干式过滤器中过滤棉定期更换，根据建设单位提供信息，产生量约0.01t/a，</w:t>
            </w:r>
            <w:r>
              <w:rPr>
                <w:rFonts w:hint="eastAsia" w:ascii="Times New Roman" w:hAnsi="Times New Roman" w:eastAsia="宋体" w:cs="Times New Roman"/>
                <w:color w:val="auto"/>
                <w:highlight w:val="none"/>
                <w:lang w:val="en-US" w:eastAsia="zh-CN"/>
              </w:rPr>
              <w:t>经查阅《国家危险废物名录》（2025版），废</w:t>
            </w:r>
            <w:r>
              <w:rPr>
                <w:rFonts w:hint="eastAsia" w:cs="Times New Roman"/>
                <w:color w:val="auto"/>
                <w:highlight w:val="none"/>
                <w:lang w:val="en-US" w:eastAsia="zh-CN"/>
              </w:rPr>
              <w:t>过滤棉</w:t>
            </w:r>
            <w:r>
              <w:rPr>
                <w:rFonts w:hint="default" w:ascii="Times New Roman" w:hAnsi="Times New Roman" w:eastAsia="宋体" w:cs="Calibri"/>
                <w:color w:val="auto"/>
                <w:kern w:val="2"/>
                <w:sz w:val="24"/>
                <w:szCs w:val="24"/>
                <w:highlight w:val="none"/>
                <w:lang w:val="en-US" w:eastAsia="zh-CN" w:bidi="ar-SA"/>
              </w:rPr>
              <w:t>属于危险废物（HW49</w:t>
            </w:r>
            <w:r>
              <w:rPr>
                <w:rFonts w:hint="eastAsia" w:eastAsia="宋体" w:cs="Calibri"/>
                <w:color w:val="auto"/>
                <w:kern w:val="2"/>
                <w:sz w:val="24"/>
                <w:szCs w:val="24"/>
                <w:highlight w:val="none"/>
                <w:lang w:val="en-US" w:eastAsia="zh-CN" w:bidi="ar-SA"/>
              </w:rPr>
              <w:t xml:space="preserve"> </w:t>
            </w:r>
            <w:r>
              <w:rPr>
                <w:rFonts w:hint="eastAsia" w:cs="Times New Roman"/>
                <w:color w:val="auto"/>
                <w:highlight w:val="none"/>
                <w:lang w:val="en-US" w:eastAsia="zh-CN"/>
              </w:rPr>
              <w:t xml:space="preserve">其他废物 </w:t>
            </w:r>
            <w:r>
              <w:rPr>
                <w:rFonts w:hint="default" w:ascii="Times New Roman" w:hAnsi="Times New Roman" w:eastAsia="宋体" w:cs="Calibri"/>
                <w:color w:val="auto"/>
                <w:kern w:val="2"/>
                <w:sz w:val="24"/>
                <w:szCs w:val="24"/>
                <w:highlight w:val="none"/>
                <w:lang w:val="en-US" w:eastAsia="zh-CN" w:bidi="ar-SA"/>
              </w:rPr>
              <w:t>900-0</w:t>
            </w:r>
            <w:r>
              <w:rPr>
                <w:rFonts w:hint="eastAsia" w:cs="Calibri"/>
                <w:color w:val="auto"/>
                <w:kern w:val="2"/>
                <w:sz w:val="24"/>
                <w:szCs w:val="24"/>
                <w:highlight w:val="none"/>
                <w:lang w:val="en-US" w:eastAsia="zh-CN" w:bidi="ar-SA"/>
              </w:rPr>
              <w:t>41</w:t>
            </w:r>
            <w:r>
              <w:rPr>
                <w:rFonts w:hint="default" w:ascii="Times New Roman" w:hAnsi="Times New Roman" w:eastAsia="宋体" w:cs="Calibri"/>
                <w:color w:val="auto"/>
                <w:kern w:val="2"/>
                <w:sz w:val="24"/>
                <w:szCs w:val="24"/>
                <w:highlight w:val="none"/>
                <w:lang w:val="en-US" w:eastAsia="zh-CN" w:bidi="ar-SA"/>
              </w:rPr>
              <w:t>-49），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11C69AA6">
            <w:pPr>
              <w:pStyle w:val="39"/>
              <w:ind w:firstLine="420"/>
              <w:rPr>
                <w:rFonts w:hint="default" w:cs="Times New Roman"/>
                <w:color w:val="auto"/>
                <w:highlight w:val="none"/>
                <w:lang w:val="en-US" w:eastAsia="zh-CN"/>
              </w:rPr>
            </w:pPr>
            <w:r>
              <w:rPr>
                <w:rFonts w:hint="eastAsia" w:cs="Times New Roman"/>
                <w:color w:val="auto"/>
                <w:highlight w:val="none"/>
                <w:lang w:val="en-US" w:eastAsia="zh-CN"/>
              </w:rPr>
              <w:t>15）废RO膜：废水处理工艺RO处理系统使用会产生废RO膜，根据建设单位提供信息，产生量约0.05t/a，</w:t>
            </w:r>
            <w:r>
              <w:rPr>
                <w:rFonts w:hint="eastAsia" w:ascii="Times New Roman" w:hAnsi="Times New Roman" w:eastAsia="宋体" w:cs="Times New Roman"/>
                <w:color w:val="auto"/>
                <w:highlight w:val="none"/>
                <w:lang w:val="en-US" w:eastAsia="zh-CN"/>
              </w:rPr>
              <w:t>经查阅《国家危险废物名录》（2025版），废</w:t>
            </w:r>
            <w:r>
              <w:rPr>
                <w:rFonts w:hint="eastAsia" w:cs="Times New Roman"/>
                <w:color w:val="auto"/>
                <w:highlight w:val="none"/>
                <w:lang w:val="en-US" w:eastAsia="zh-CN"/>
              </w:rPr>
              <w:t>RO膜</w:t>
            </w:r>
            <w:r>
              <w:rPr>
                <w:rFonts w:hint="default" w:ascii="Times New Roman" w:hAnsi="Times New Roman" w:eastAsia="宋体" w:cs="Calibri"/>
                <w:color w:val="auto"/>
                <w:kern w:val="2"/>
                <w:sz w:val="24"/>
                <w:szCs w:val="24"/>
                <w:highlight w:val="none"/>
                <w:lang w:val="en-US" w:eastAsia="zh-CN" w:bidi="ar-SA"/>
              </w:rPr>
              <w:t>属于危险废物（HW49</w:t>
            </w:r>
            <w:r>
              <w:rPr>
                <w:rFonts w:hint="eastAsia" w:eastAsia="宋体" w:cs="Calibri"/>
                <w:color w:val="auto"/>
                <w:kern w:val="2"/>
                <w:sz w:val="24"/>
                <w:szCs w:val="24"/>
                <w:highlight w:val="none"/>
                <w:lang w:val="en-US" w:eastAsia="zh-CN" w:bidi="ar-SA"/>
              </w:rPr>
              <w:t xml:space="preserve"> </w:t>
            </w:r>
            <w:r>
              <w:rPr>
                <w:rFonts w:hint="eastAsia" w:cs="Times New Roman"/>
                <w:color w:val="auto"/>
                <w:highlight w:val="none"/>
                <w:lang w:val="en-US" w:eastAsia="zh-CN"/>
              </w:rPr>
              <w:t xml:space="preserve">其他废物 </w:t>
            </w:r>
            <w:r>
              <w:rPr>
                <w:rFonts w:hint="default" w:ascii="Times New Roman" w:hAnsi="Times New Roman" w:eastAsia="宋体" w:cs="Calibri"/>
                <w:color w:val="auto"/>
                <w:kern w:val="2"/>
                <w:sz w:val="24"/>
                <w:szCs w:val="24"/>
                <w:highlight w:val="none"/>
                <w:lang w:val="en-US" w:eastAsia="zh-CN" w:bidi="ar-SA"/>
              </w:rPr>
              <w:t>900-0</w:t>
            </w:r>
            <w:r>
              <w:rPr>
                <w:rFonts w:hint="eastAsia" w:cs="Calibri"/>
                <w:color w:val="auto"/>
                <w:kern w:val="2"/>
                <w:sz w:val="24"/>
                <w:szCs w:val="24"/>
                <w:highlight w:val="none"/>
                <w:lang w:val="en-US" w:eastAsia="zh-CN" w:bidi="ar-SA"/>
              </w:rPr>
              <w:t>41</w:t>
            </w:r>
            <w:r>
              <w:rPr>
                <w:rFonts w:hint="default" w:ascii="Times New Roman" w:hAnsi="Times New Roman" w:eastAsia="宋体" w:cs="Calibri"/>
                <w:color w:val="auto"/>
                <w:kern w:val="2"/>
                <w:sz w:val="24"/>
                <w:szCs w:val="24"/>
                <w:highlight w:val="none"/>
                <w:lang w:val="en-US" w:eastAsia="zh-CN" w:bidi="ar-SA"/>
              </w:rPr>
              <w:t>-49），</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5DC509A1">
            <w:pPr>
              <w:pStyle w:val="39"/>
              <w:ind w:firstLine="420"/>
              <w:rPr>
                <w:rFonts w:hint="eastAsia" w:cs="Times New Roman"/>
                <w:color w:val="auto"/>
                <w:highlight w:val="none"/>
                <w:lang w:val="en-US" w:eastAsia="zh-CN"/>
              </w:rPr>
            </w:pPr>
            <w:r>
              <w:rPr>
                <w:rFonts w:hint="eastAsia" w:cs="Times New Roman"/>
                <w:color w:val="auto"/>
                <w:highlight w:val="none"/>
                <w:lang w:val="en-US" w:eastAsia="zh-CN"/>
              </w:rPr>
              <w:t>16）污泥：本项目生产废水处理设施产生污泥，参照《第一次全国污染源普查-污水处理厂污泥产生系数使用手册》表1可知，工业废水集中处理设施污泥产生量核算公式为：</w:t>
            </w:r>
          </w:p>
          <w:p w14:paraId="53BB3190">
            <w:pPr>
              <w:pStyle w:val="39"/>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S=K</w:t>
            </w:r>
            <w:r>
              <w:rPr>
                <w:rFonts w:hint="eastAsia" w:cs="Times New Roman"/>
                <w:color w:val="auto"/>
                <w:highlight w:val="none"/>
                <w:vertAlign w:val="subscript"/>
                <w:lang w:val="en-US" w:eastAsia="zh-CN"/>
              </w:rPr>
              <w:t>4</w:t>
            </w:r>
            <w:r>
              <w:rPr>
                <w:rFonts w:hint="eastAsia" w:cs="Times New Roman"/>
                <w:color w:val="auto"/>
                <w:highlight w:val="none"/>
                <w:lang w:val="en-US" w:eastAsia="zh-CN"/>
              </w:rPr>
              <w:t>Q+K</w:t>
            </w:r>
            <w:r>
              <w:rPr>
                <w:rFonts w:hint="eastAsia" w:cs="Times New Roman"/>
                <w:color w:val="auto"/>
                <w:highlight w:val="none"/>
                <w:vertAlign w:val="subscript"/>
                <w:lang w:val="en-US" w:eastAsia="zh-CN"/>
              </w:rPr>
              <w:t>3</w:t>
            </w:r>
            <w:r>
              <w:rPr>
                <w:rFonts w:hint="eastAsia" w:cs="Times New Roman"/>
                <w:color w:val="auto"/>
                <w:highlight w:val="none"/>
                <w:lang w:val="en-US" w:eastAsia="zh-CN"/>
              </w:rPr>
              <w:t>C</w:t>
            </w:r>
          </w:p>
          <w:p w14:paraId="5E3ED687">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式中：</w:t>
            </w:r>
          </w:p>
          <w:p w14:paraId="6F3F50C6">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S：污水处理厂含水量80%的污泥产生量，吨/年；</w:t>
            </w:r>
          </w:p>
          <w:p w14:paraId="44267D77">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K</w:t>
            </w:r>
            <w:r>
              <w:rPr>
                <w:rFonts w:hint="eastAsia" w:cs="Times New Roman"/>
                <w:color w:val="auto"/>
                <w:highlight w:val="none"/>
                <w:vertAlign w:val="subscript"/>
                <w:lang w:val="en-US" w:eastAsia="zh-CN"/>
              </w:rPr>
              <w:t>3</w:t>
            </w:r>
            <w:r>
              <w:rPr>
                <w:rFonts w:hint="eastAsia" w:cs="Times New Roman"/>
                <w:color w:val="auto"/>
                <w:highlight w:val="none"/>
                <w:lang w:val="en-US" w:eastAsia="zh-CN"/>
              </w:rPr>
              <w:t>：城镇污水处理厂或工业废水集中处理设施的化学污泥产生系数，4.53吨/吨-絮凝剂使用量；</w:t>
            </w:r>
          </w:p>
          <w:p w14:paraId="68068CAA">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K</w:t>
            </w:r>
            <w:r>
              <w:rPr>
                <w:rFonts w:hint="eastAsia" w:cs="Times New Roman"/>
                <w:color w:val="auto"/>
                <w:highlight w:val="none"/>
                <w:vertAlign w:val="subscript"/>
                <w:lang w:val="en-US" w:eastAsia="zh-CN"/>
              </w:rPr>
              <w:t>4</w:t>
            </w:r>
            <w:r>
              <w:rPr>
                <w:rFonts w:hint="eastAsia" w:cs="Times New Roman"/>
                <w:color w:val="auto"/>
                <w:highlight w:val="none"/>
                <w:lang w:val="en-US" w:eastAsia="zh-CN"/>
              </w:rPr>
              <w:t>：工业废水集中处理设施的物理与生化污泥综合产生系数，6吨/万吨-废水处理量；</w:t>
            </w:r>
          </w:p>
          <w:p w14:paraId="7E1E7D8A">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Q：污水处理厂的实际污（废）水处理量，1.1255736万吨/年；</w:t>
            </w:r>
          </w:p>
          <w:p w14:paraId="1925EB7D">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C：污水处理厂第二版无机絮凝剂使用总量，15.4吨/年。</w:t>
            </w:r>
          </w:p>
          <w:p w14:paraId="0FEAF20E">
            <w:pPr>
              <w:pStyle w:val="39"/>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根据上述公式计算得出本项目污泥产生量约为76.52t/a，含水率80%，其中含水量约为61.42t/a。</w:t>
            </w:r>
          </w:p>
          <w:p w14:paraId="56EC8DEA">
            <w:pPr>
              <w:pStyle w:val="39"/>
              <w:ind w:left="0" w:leftChars="0" w:firstLine="480" w:firstLineChars="200"/>
              <w:rPr>
                <w:rFonts w:hint="default" w:cs="Times New Roman"/>
                <w:color w:val="auto"/>
                <w:highlight w:val="none"/>
                <w:lang w:val="en-US" w:eastAsia="zh-CN"/>
              </w:rPr>
            </w:pPr>
            <w:r>
              <w:rPr>
                <w:rFonts w:hint="eastAsia" w:cs="Times New Roman"/>
                <w:color w:val="auto"/>
                <w:highlight w:val="none"/>
                <w:lang w:val="en-US" w:eastAsia="zh-CN"/>
              </w:rPr>
              <w:t>根据建设单位提供信息，上述污泥经板框压滤后含水率为60%，压滤出来的水（38.27t/a）返回综合污水处理，即污泥产生量为38.25t/a，含水率60%，其中含水量约为22.95t/a。</w:t>
            </w:r>
          </w:p>
          <w:p w14:paraId="61204592">
            <w:pPr>
              <w:pStyle w:val="39"/>
              <w:ind w:firstLine="420"/>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经查阅《国家危险废物名录》（2025版），污泥</w:t>
            </w:r>
            <w:r>
              <w:rPr>
                <w:rFonts w:hint="default" w:ascii="Times New Roman" w:hAnsi="Times New Roman" w:eastAsia="宋体" w:cs="Calibri"/>
                <w:color w:val="auto"/>
                <w:kern w:val="2"/>
                <w:sz w:val="24"/>
                <w:szCs w:val="24"/>
                <w:highlight w:val="none"/>
                <w:lang w:val="en-US" w:eastAsia="zh-CN" w:bidi="ar-SA"/>
              </w:rPr>
              <w:t>属于危险废物</w:t>
            </w:r>
            <w:r>
              <w:rPr>
                <w:rFonts w:hint="eastAsia" w:ascii="Times New Roman" w:hAnsi="Times New Roman" w:eastAsia="宋体" w:cs="Times New Roman"/>
                <w:color w:val="auto"/>
                <w:highlight w:val="none"/>
                <w:lang w:val="en-US" w:eastAsia="zh-CN"/>
              </w:rPr>
              <w:t>（HW</w:t>
            </w:r>
            <w:r>
              <w:rPr>
                <w:rFonts w:hint="eastAsia" w:cs="Times New Roman"/>
                <w:color w:val="auto"/>
                <w:highlight w:val="none"/>
                <w:lang w:val="en-US" w:eastAsia="zh-CN"/>
              </w:rPr>
              <w:t>17</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表面处理废物</w:t>
            </w:r>
            <w:r>
              <w:rPr>
                <w:rFonts w:hint="eastAsia" w:ascii="Times New Roman" w:hAnsi="Times New Roman" w:eastAsia="宋体" w:cs="Times New Roman"/>
                <w:color w:val="auto"/>
                <w:highlight w:val="none"/>
                <w:lang w:val="en-US" w:eastAsia="zh-CN"/>
              </w:rPr>
              <w:t>，废物代码</w:t>
            </w:r>
            <w:r>
              <w:rPr>
                <w:rFonts w:hint="eastAsia" w:cs="Times New Roman"/>
                <w:color w:val="auto"/>
                <w:highlight w:val="none"/>
                <w:lang w:val="en-US" w:eastAsia="zh-CN"/>
              </w:rPr>
              <w:t>336-064-17</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Calibri"/>
                <w:color w:val="auto"/>
                <w:kern w:val="2"/>
                <w:sz w:val="24"/>
                <w:szCs w:val="24"/>
                <w:highlight w:val="none"/>
                <w:lang w:val="en-US" w:eastAsia="zh-CN" w:bidi="ar-SA"/>
              </w:rPr>
              <w:t>，</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234BE79C">
            <w:pPr>
              <w:pStyle w:val="39"/>
              <w:ind w:firstLine="420"/>
              <w:rPr>
                <w:rFonts w:hint="default" w:cs="Times New Roman"/>
                <w:color w:val="auto"/>
                <w:highlight w:val="none"/>
                <w:lang w:val="en-US" w:eastAsia="zh-CN"/>
              </w:rPr>
            </w:pPr>
            <w:r>
              <w:rPr>
                <w:rFonts w:hint="eastAsia" w:cs="Times New Roman"/>
                <w:color w:val="auto"/>
                <w:highlight w:val="none"/>
                <w:lang w:val="en-US" w:eastAsia="zh-CN"/>
              </w:rPr>
              <w:t>17）挂具废渣：根据前文分析，有0.006t/a的渣附着在电泳挂具上，有0.19976t/a的渣附着在喷粉挂具表面，即挂具废渣</w:t>
            </w:r>
            <w:r>
              <w:rPr>
                <w:rFonts w:hint="eastAsia" w:ascii="Times New Roman" w:hAnsi="Times New Roman" w:eastAsia="宋体" w:cs="Times New Roman"/>
                <w:color w:val="auto"/>
                <w:highlight w:val="none"/>
                <w:lang w:val="en-US" w:eastAsia="zh-CN"/>
              </w:rPr>
              <w:t>产生量为</w:t>
            </w:r>
            <w:r>
              <w:rPr>
                <w:rFonts w:hint="eastAsia" w:cs="Times New Roman"/>
                <w:color w:val="auto"/>
                <w:highlight w:val="none"/>
                <w:lang w:val="en-US" w:eastAsia="zh-CN"/>
              </w:rPr>
              <w:t>0.20576</w:t>
            </w:r>
            <w:r>
              <w:rPr>
                <w:rFonts w:hint="eastAsia" w:ascii="Times New Roman" w:hAnsi="Times New Roman" w:eastAsia="宋体" w:cs="Times New Roman"/>
                <w:color w:val="auto"/>
                <w:highlight w:val="none"/>
                <w:lang w:val="en-US" w:eastAsia="zh-CN"/>
              </w:rPr>
              <w:t>t/a，经查阅《国家危险废物名录》（2025版），</w:t>
            </w:r>
            <w:r>
              <w:rPr>
                <w:rFonts w:hint="eastAsia" w:cs="Times New Roman"/>
                <w:color w:val="auto"/>
                <w:highlight w:val="none"/>
                <w:lang w:val="en-US" w:eastAsia="zh-CN"/>
              </w:rPr>
              <w:t>挂具废渣</w:t>
            </w:r>
            <w:r>
              <w:rPr>
                <w:rFonts w:hint="default" w:ascii="Times New Roman" w:hAnsi="Times New Roman" w:eastAsia="宋体" w:cs="Calibri"/>
                <w:color w:val="auto"/>
                <w:kern w:val="2"/>
                <w:sz w:val="24"/>
                <w:szCs w:val="24"/>
                <w:highlight w:val="none"/>
                <w:lang w:val="en-US" w:eastAsia="zh-CN" w:bidi="ar-SA"/>
              </w:rPr>
              <w:t>属于危险废物（HW</w:t>
            </w:r>
            <w:r>
              <w:rPr>
                <w:rFonts w:hint="eastAsia" w:cs="Calibri"/>
                <w:color w:val="auto"/>
                <w:kern w:val="2"/>
                <w:sz w:val="24"/>
                <w:szCs w:val="24"/>
                <w:highlight w:val="none"/>
                <w:lang w:val="en-US" w:eastAsia="zh-CN" w:bidi="ar-SA"/>
              </w:rPr>
              <w:t>12</w:t>
            </w:r>
            <w:r>
              <w:rPr>
                <w:rFonts w:hint="eastAsia" w:eastAsia="宋体" w:cs="Calibri"/>
                <w:color w:val="auto"/>
                <w:kern w:val="2"/>
                <w:sz w:val="24"/>
                <w:szCs w:val="24"/>
                <w:highlight w:val="none"/>
                <w:lang w:val="en-US" w:eastAsia="zh-CN" w:bidi="ar-SA"/>
              </w:rPr>
              <w:t xml:space="preserve"> </w:t>
            </w:r>
            <w:r>
              <w:rPr>
                <w:rFonts w:hint="eastAsia" w:ascii="Times New Roman" w:hAnsi="Times New Roman" w:eastAsia="宋体" w:cs="Times New Roman"/>
                <w:color w:val="auto"/>
                <w:highlight w:val="none"/>
                <w:lang w:val="en-US" w:eastAsia="zh-CN"/>
              </w:rPr>
              <w:t>染料、涂料</w:t>
            </w:r>
            <w:r>
              <w:rPr>
                <w:rFonts w:hint="eastAsia" w:cs="Times New Roman"/>
                <w:color w:val="auto"/>
                <w:highlight w:val="none"/>
                <w:lang w:val="en-US" w:eastAsia="zh-CN"/>
              </w:rPr>
              <w:t xml:space="preserve">废物 </w:t>
            </w:r>
            <w:r>
              <w:rPr>
                <w:rFonts w:hint="default" w:ascii="Times New Roman" w:hAnsi="Times New Roman" w:eastAsia="宋体" w:cs="Calibri"/>
                <w:color w:val="auto"/>
                <w:kern w:val="2"/>
                <w:sz w:val="24"/>
                <w:szCs w:val="24"/>
                <w:highlight w:val="none"/>
                <w:lang w:val="en-US" w:eastAsia="zh-CN" w:bidi="ar-SA"/>
              </w:rPr>
              <w:t>900-</w:t>
            </w:r>
            <w:r>
              <w:rPr>
                <w:rFonts w:hint="eastAsia" w:cs="Calibri"/>
                <w:color w:val="auto"/>
                <w:kern w:val="2"/>
                <w:sz w:val="24"/>
                <w:szCs w:val="24"/>
                <w:highlight w:val="none"/>
                <w:lang w:val="en-US" w:eastAsia="zh-CN" w:bidi="ar-SA"/>
              </w:rPr>
              <w:t>252</w:t>
            </w:r>
            <w:r>
              <w:rPr>
                <w:rFonts w:hint="default" w:ascii="Times New Roman" w:hAnsi="Times New Roman" w:eastAsia="宋体" w:cs="Calibri"/>
                <w:color w:val="auto"/>
                <w:kern w:val="2"/>
                <w:sz w:val="24"/>
                <w:szCs w:val="24"/>
                <w:highlight w:val="none"/>
                <w:lang w:val="en-US" w:eastAsia="zh-CN" w:bidi="ar-SA"/>
              </w:rPr>
              <w:t>-</w:t>
            </w:r>
            <w:r>
              <w:rPr>
                <w:rFonts w:hint="eastAsia" w:cs="Calibri"/>
                <w:color w:val="auto"/>
                <w:kern w:val="2"/>
                <w:sz w:val="24"/>
                <w:szCs w:val="24"/>
                <w:highlight w:val="none"/>
                <w:lang w:val="en-US" w:eastAsia="zh-CN" w:bidi="ar-SA"/>
              </w:rPr>
              <w:t>12</w:t>
            </w:r>
            <w:r>
              <w:rPr>
                <w:rFonts w:hint="default" w:ascii="Times New Roman" w:hAnsi="Times New Roman" w:eastAsia="宋体" w:cs="Calibri"/>
                <w:color w:val="auto"/>
                <w:kern w:val="2"/>
                <w:sz w:val="24"/>
                <w:szCs w:val="24"/>
                <w:highlight w:val="none"/>
                <w:lang w:val="en-US" w:eastAsia="zh-CN" w:bidi="ar-SA"/>
              </w:rPr>
              <w:t>），</w:t>
            </w:r>
            <w:r>
              <w:rPr>
                <w:rFonts w:hint="eastAsia" w:ascii="Times New Roman" w:hAnsi="Times New Roman" w:eastAsia="宋体" w:cs="Times New Roman"/>
                <w:color w:val="auto"/>
                <w:highlight w:val="none"/>
                <w:lang w:val="en-US" w:eastAsia="zh-CN"/>
              </w:rPr>
              <w:t>在厂内危废暂存间暂存后委托有资质的单位定期</w:t>
            </w:r>
            <w:r>
              <w:rPr>
                <w:rFonts w:hint="eastAsia" w:cs="Times New Roman"/>
                <w:color w:val="auto"/>
                <w:highlight w:val="none"/>
                <w:lang w:val="en-US" w:eastAsia="zh-CN"/>
              </w:rPr>
              <w:t>外运</w:t>
            </w:r>
            <w:r>
              <w:rPr>
                <w:rFonts w:hint="eastAsia" w:ascii="Times New Roman" w:hAnsi="Times New Roman" w:eastAsia="宋体" w:cs="Times New Roman"/>
                <w:color w:val="auto"/>
                <w:highlight w:val="none"/>
                <w:lang w:val="en-US" w:eastAsia="zh-CN"/>
              </w:rPr>
              <w:t>处置</w:t>
            </w:r>
            <w:r>
              <w:rPr>
                <w:rFonts w:hint="eastAsia" w:cs="Times New Roman"/>
                <w:color w:val="auto"/>
                <w:highlight w:val="none"/>
                <w:lang w:val="en-US" w:eastAsia="zh-CN"/>
              </w:rPr>
              <w:t>。</w:t>
            </w:r>
          </w:p>
          <w:p w14:paraId="0582F58D">
            <w:pPr>
              <w:adjustRightInd w:val="0"/>
              <w:snapToGrid w:val="0"/>
              <w:spacing w:line="360" w:lineRule="auto"/>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4.2  固体废物产生情况汇总</w:t>
            </w:r>
          </w:p>
          <w:p w14:paraId="5BECDFF6">
            <w:pPr>
              <w:pStyle w:val="39"/>
              <w:ind w:firstLine="420"/>
              <w:rPr>
                <w:snapToGrid w:val="0"/>
                <w:color w:val="auto"/>
                <w:sz w:val="24"/>
                <w:highlight w:val="none"/>
              </w:rPr>
            </w:pPr>
            <w:r>
              <w:rPr>
                <w:rFonts w:hint="eastAsia"/>
                <w:snapToGrid w:val="0"/>
                <w:color w:val="auto"/>
                <w:sz w:val="24"/>
                <w:highlight w:val="none"/>
              </w:rPr>
              <w:t>根据《固体废物分类与代码目录</w:t>
            </w:r>
            <w:r>
              <w:rPr>
                <w:rFonts w:hint="eastAsia"/>
                <w:snapToGrid w:val="0"/>
                <w:color w:val="auto"/>
                <w:sz w:val="24"/>
                <w:highlight w:val="none"/>
                <w:lang w:eastAsia="zh-CN"/>
              </w:rPr>
              <w:t>》《</w:t>
            </w:r>
            <w:r>
              <w:rPr>
                <w:rFonts w:hint="eastAsia"/>
                <w:snapToGrid w:val="0"/>
                <w:color w:val="auto"/>
                <w:sz w:val="24"/>
                <w:highlight w:val="none"/>
              </w:rPr>
              <w:t>国家危险废物名录》（202</w:t>
            </w:r>
            <w:r>
              <w:rPr>
                <w:rFonts w:hint="eastAsia"/>
                <w:snapToGrid w:val="0"/>
                <w:color w:val="auto"/>
                <w:sz w:val="24"/>
                <w:highlight w:val="none"/>
                <w:lang w:val="en-US" w:eastAsia="zh-CN"/>
              </w:rPr>
              <w:t>5</w:t>
            </w:r>
            <w:r>
              <w:rPr>
                <w:rFonts w:hint="eastAsia"/>
                <w:snapToGrid w:val="0"/>
                <w:color w:val="auto"/>
                <w:sz w:val="24"/>
                <w:highlight w:val="none"/>
              </w:rPr>
              <w:t>版）、《危险废物鉴别标准通则》</w:t>
            </w:r>
            <w:r>
              <w:rPr>
                <w:rFonts w:hint="eastAsia"/>
                <w:snapToGrid w:val="0"/>
                <w:color w:val="auto"/>
                <w:sz w:val="24"/>
                <w:highlight w:val="none"/>
                <w:lang w:eastAsia="zh-CN"/>
              </w:rPr>
              <w:t>（</w:t>
            </w:r>
            <w:r>
              <w:rPr>
                <w:rFonts w:hint="eastAsia"/>
                <w:snapToGrid w:val="0"/>
                <w:color w:val="auto"/>
                <w:sz w:val="24"/>
                <w:highlight w:val="none"/>
              </w:rPr>
              <w:t>GB5085.7-2019</w:t>
            </w:r>
            <w:r>
              <w:rPr>
                <w:rFonts w:hint="eastAsia"/>
                <w:snapToGrid w:val="0"/>
                <w:color w:val="auto"/>
                <w:sz w:val="24"/>
                <w:highlight w:val="none"/>
                <w:lang w:eastAsia="zh-CN"/>
              </w:rPr>
              <w:t>）</w:t>
            </w:r>
            <w:r>
              <w:rPr>
                <w:rFonts w:hint="eastAsia"/>
                <w:snapToGrid w:val="0"/>
                <w:color w:val="auto"/>
                <w:sz w:val="24"/>
                <w:highlight w:val="none"/>
              </w:rPr>
              <w:t>、</w:t>
            </w:r>
            <w:r>
              <w:rPr>
                <w:rFonts w:hint="eastAsia"/>
                <w:color w:val="auto"/>
                <w:kern w:val="2"/>
                <w:sz w:val="24"/>
                <w:szCs w:val="24"/>
                <w:highlight w:val="none"/>
                <w:lang w:val="en-US" w:eastAsia="zh-CN"/>
              </w:rPr>
              <w:t>《固体废物分类与代码目录》（公告2024年第4号）</w:t>
            </w:r>
            <w:r>
              <w:rPr>
                <w:snapToGrid w:val="0"/>
                <w:color w:val="auto"/>
                <w:sz w:val="24"/>
                <w:highlight w:val="none"/>
              </w:rPr>
              <w:t>，本项目工业固体废物类别判定</w:t>
            </w:r>
            <w:r>
              <w:rPr>
                <w:rFonts w:hint="eastAsia"/>
                <w:snapToGrid w:val="0"/>
                <w:color w:val="auto"/>
                <w:sz w:val="24"/>
                <w:highlight w:val="none"/>
                <w:lang w:val="en-US" w:eastAsia="zh-CN"/>
              </w:rPr>
              <w:t>见</w:t>
            </w:r>
            <w:r>
              <w:rPr>
                <w:snapToGrid w:val="0"/>
                <w:color w:val="auto"/>
                <w:sz w:val="24"/>
                <w:highlight w:val="none"/>
              </w:rPr>
              <w:t>下表。</w:t>
            </w:r>
          </w:p>
          <w:p w14:paraId="5E20609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固体废物分析结果汇总表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918"/>
              <w:gridCol w:w="502"/>
              <w:gridCol w:w="1139"/>
              <w:gridCol w:w="502"/>
              <w:gridCol w:w="1162"/>
              <w:gridCol w:w="1022"/>
              <w:gridCol w:w="912"/>
              <w:gridCol w:w="1542"/>
              <w:gridCol w:w="1085"/>
            </w:tblGrid>
            <w:tr w14:paraId="7330409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noWrap w:val="0"/>
                  <w:vAlign w:val="center"/>
                </w:tcPr>
                <w:p w14:paraId="44B624D3">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494" w:type="pct"/>
                  <w:tcBorders>
                    <w:tl2br w:val="nil"/>
                    <w:tr2bl w:val="nil"/>
                  </w:tcBorders>
                  <w:noWrap w:val="0"/>
                  <w:vAlign w:val="center"/>
                </w:tcPr>
                <w:p w14:paraId="3D2C5F00">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固废</w:t>
                  </w:r>
                </w:p>
                <w:p w14:paraId="051E56F0">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名称</w:t>
                  </w:r>
                </w:p>
              </w:tc>
              <w:tc>
                <w:tcPr>
                  <w:tcW w:w="270" w:type="pct"/>
                  <w:tcBorders>
                    <w:tl2br w:val="nil"/>
                    <w:tr2bl w:val="nil"/>
                  </w:tcBorders>
                  <w:noWrap w:val="0"/>
                  <w:vAlign w:val="center"/>
                </w:tcPr>
                <w:p w14:paraId="14374F1F">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属性</w:t>
                  </w:r>
                </w:p>
              </w:tc>
              <w:tc>
                <w:tcPr>
                  <w:tcW w:w="613" w:type="pct"/>
                  <w:tcBorders>
                    <w:tl2br w:val="nil"/>
                    <w:tr2bl w:val="nil"/>
                  </w:tcBorders>
                  <w:noWrap w:val="0"/>
                  <w:vAlign w:val="center"/>
                </w:tcPr>
                <w:p w14:paraId="3B5D231F">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产生工序</w:t>
                  </w:r>
                </w:p>
              </w:tc>
              <w:tc>
                <w:tcPr>
                  <w:tcW w:w="270" w:type="pct"/>
                  <w:tcBorders>
                    <w:tl2br w:val="nil"/>
                    <w:tr2bl w:val="nil"/>
                  </w:tcBorders>
                  <w:noWrap w:val="0"/>
                  <w:vAlign w:val="center"/>
                </w:tcPr>
                <w:p w14:paraId="77EC1AA0">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形态</w:t>
                  </w:r>
                </w:p>
              </w:tc>
              <w:tc>
                <w:tcPr>
                  <w:tcW w:w="625" w:type="pct"/>
                  <w:tcBorders>
                    <w:tl2br w:val="nil"/>
                    <w:tr2bl w:val="nil"/>
                  </w:tcBorders>
                  <w:noWrap w:val="0"/>
                  <w:vAlign w:val="center"/>
                </w:tcPr>
                <w:p w14:paraId="436D12A1">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主要</w:t>
                  </w:r>
                </w:p>
                <w:p w14:paraId="3EF98ACA">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成分</w:t>
                  </w:r>
                </w:p>
              </w:tc>
              <w:tc>
                <w:tcPr>
                  <w:tcW w:w="550" w:type="pct"/>
                  <w:tcBorders>
                    <w:tl2br w:val="nil"/>
                    <w:tr2bl w:val="nil"/>
                  </w:tcBorders>
                  <w:noWrap w:val="0"/>
                  <w:vAlign w:val="center"/>
                </w:tcPr>
                <w:p w14:paraId="26D8A4F3">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危险特性</w:t>
                  </w:r>
                </w:p>
              </w:tc>
              <w:tc>
                <w:tcPr>
                  <w:tcW w:w="491" w:type="pct"/>
                  <w:tcBorders>
                    <w:tl2br w:val="nil"/>
                    <w:tr2bl w:val="nil"/>
                  </w:tcBorders>
                  <w:noWrap w:val="0"/>
                  <w:vAlign w:val="center"/>
                </w:tcPr>
                <w:p w14:paraId="5A7564CC">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废物</w:t>
                  </w:r>
                </w:p>
                <w:p w14:paraId="38A36BD5">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类别</w:t>
                  </w:r>
                </w:p>
              </w:tc>
              <w:tc>
                <w:tcPr>
                  <w:tcW w:w="830" w:type="pct"/>
                  <w:tcBorders>
                    <w:tl2br w:val="nil"/>
                    <w:tr2bl w:val="nil"/>
                  </w:tcBorders>
                  <w:noWrap w:val="0"/>
                  <w:vAlign w:val="center"/>
                </w:tcPr>
                <w:p w14:paraId="69C4AEB9">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废物代码</w:t>
                  </w:r>
                </w:p>
              </w:tc>
              <w:tc>
                <w:tcPr>
                  <w:tcW w:w="584" w:type="pct"/>
                  <w:tcBorders>
                    <w:tl2br w:val="nil"/>
                    <w:tr2bl w:val="nil"/>
                  </w:tcBorders>
                  <w:noWrap w:val="0"/>
                  <w:vAlign w:val="center"/>
                </w:tcPr>
                <w:p w14:paraId="3A90E609">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估算产生量t/a</w:t>
                  </w:r>
                </w:p>
              </w:tc>
            </w:tr>
            <w:tr w14:paraId="7C1B037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noWrap w:val="0"/>
                  <w:vAlign w:val="center"/>
                </w:tcPr>
                <w:p w14:paraId="65C3D9E5">
                  <w:pPr>
                    <w:spacing w:line="24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94" w:type="pct"/>
                  <w:tcBorders>
                    <w:tl2br w:val="nil"/>
                    <w:tr2bl w:val="nil"/>
                  </w:tcBorders>
                  <w:noWrap w:val="0"/>
                  <w:vAlign w:val="center"/>
                </w:tcPr>
                <w:p w14:paraId="4C234A0F">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废边角料</w:t>
                  </w:r>
                </w:p>
              </w:tc>
              <w:tc>
                <w:tcPr>
                  <w:tcW w:w="270" w:type="pct"/>
                  <w:vMerge w:val="restart"/>
                  <w:tcBorders>
                    <w:tl2br w:val="nil"/>
                    <w:tr2bl w:val="nil"/>
                  </w:tcBorders>
                  <w:noWrap w:val="0"/>
                  <w:vAlign w:val="center"/>
                </w:tcPr>
                <w:p w14:paraId="525C66D6">
                  <w:pPr>
                    <w:spacing w:line="24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一般固废</w:t>
                  </w:r>
                </w:p>
              </w:tc>
              <w:tc>
                <w:tcPr>
                  <w:tcW w:w="613" w:type="pct"/>
                  <w:tcBorders>
                    <w:tl2br w:val="nil"/>
                    <w:tr2bl w:val="nil"/>
                  </w:tcBorders>
                  <w:shd w:val="clear" w:color="auto" w:fill="auto"/>
                  <w:noWrap w:val="0"/>
                  <w:vAlign w:val="center"/>
                </w:tcPr>
                <w:p w14:paraId="31E9EE5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裁切</w:t>
                  </w:r>
                  <w:r>
                    <w:rPr>
                      <w:rFonts w:hint="eastAsia" w:ascii="Times New Roman" w:hAnsi="Times New Roman" w:eastAsia="仿宋" w:cs="Times New Roman"/>
                      <w:color w:val="auto"/>
                      <w:sz w:val="21"/>
                      <w:szCs w:val="21"/>
                      <w:highlight w:val="none"/>
                      <w:lang w:val="en-US" w:eastAsia="zh-CN"/>
                    </w:rPr>
                    <w:t>、冲压</w:t>
                  </w:r>
                </w:p>
              </w:tc>
              <w:tc>
                <w:tcPr>
                  <w:tcW w:w="270" w:type="pct"/>
                  <w:tcBorders>
                    <w:tl2br w:val="nil"/>
                    <w:tr2bl w:val="nil"/>
                  </w:tcBorders>
                  <w:shd w:val="clear" w:color="auto" w:fill="auto"/>
                  <w:noWrap w:val="0"/>
                  <w:vAlign w:val="center"/>
                </w:tcPr>
                <w:p w14:paraId="53247A2A">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625" w:type="pct"/>
                  <w:tcBorders>
                    <w:tl2br w:val="nil"/>
                    <w:tr2bl w:val="nil"/>
                  </w:tcBorders>
                  <w:shd w:val="clear" w:color="auto" w:fill="auto"/>
                  <w:noWrap w:val="0"/>
                  <w:vAlign w:val="center"/>
                </w:tcPr>
                <w:p w14:paraId="66ECEBF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钢</w:t>
                  </w:r>
                </w:p>
              </w:tc>
              <w:tc>
                <w:tcPr>
                  <w:tcW w:w="550" w:type="pct"/>
                  <w:vMerge w:val="restart"/>
                  <w:tcBorders>
                    <w:tl2br w:val="nil"/>
                    <w:tr2bl w:val="nil"/>
                  </w:tcBorders>
                  <w:noWrap w:val="0"/>
                  <w:vAlign w:val="center"/>
                </w:tcPr>
                <w:p w14:paraId="299CEB89">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491" w:type="pct"/>
                  <w:tcBorders>
                    <w:tl2br w:val="nil"/>
                    <w:tr2bl w:val="nil"/>
                  </w:tcBorders>
                  <w:noWrap w:val="0"/>
                  <w:vAlign w:val="center"/>
                </w:tcPr>
                <w:p w14:paraId="6F1E4CB9">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SW17</w:t>
                  </w:r>
                </w:p>
              </w:tc>
              <w:tc>
                <w:tcPr>
                  <w:tcW w:w="830" w:type="pct"/>
                  <w:tcBorders>
                    <w:tl2br w:val="nil"/>
                    <w:tr2bl w:val="nil"/>
                  </w:tcBorders>
                  <w:noWrap w:val="0"/>
                  <w:vAlign w:val="center"/>
                </w:tcPr>
                <w:p w14:paraId="5EB27B7A">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900-001-S17</w:t>
                  </w:r>
                </w:p>
              </w:tc>
              <w:tc>
                <w:tcPr>
                  <w:tcW w:w="584" w:type="pct"/>
                  <w:tcBorders>
                    <w:tl2br w:val="nil"/>
                    <w:tr2bl w:val="nil"/>
                  </w:tcBorders>
                  <w:shd w:val="clear" w:color="auto" w:fill="auto"/>
                  <w:noWrap w:val="0"/>
                  <w:vAlign w:val="center"/>
                </w:tcPr>
                <w:p w14:paraId="4997E8F6">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10</w:t>
                  </w:r>
                </w:p>
              </w:tc>
            </w:tr>
            <w:tr w14:paraId="2BD1B80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5BB50923">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w:t>
                  </w:r>
                </w:p>
              </w:tc>
              <w:tc>
                <w:tcPr>
                  <w:tcW w:w="494" w:type="pct"/>
                  <w:tcBorders>
                    <w:tl2br w:val="nil"/>
                    <w:tr2bl w:val="nil"/>
                  </w:tcBorders>
                  <w:shd w:val="clear" w:color="auto" w:fill="auto"/>
                  <w:noWrap w:val="0"/>
                  <w:vAlign w:val="center"/>
                </w:tcPr>
                <w:p w14:paraId="4E684081">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不合格品</w:t>
                  </w:r>
                </w:p>
              </w:tc>
              <w:tc>
                <w:tcPr>
                  <w:tcW w:w="270" w:type="pct"/>
                  <w:vMerge w:val="continue"/>
                  <w:tcBorders>
                    <w:tl2br w:val="nil"/>
                    <w:tr2bl w:val="nil"/>
                  </w:tcBorders>
                  <w:noWrap w:val="0"/>
                  <w:vAlign w:val="center"/>
                </w:tcPr>
                <w:p w14:paraId="182E1000">
                  <w:pPr>
                    <w:spacing w:line="240" w:lineRule="exact"/>
                    <w:jc w:val="center"/>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70A3426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检验</w:t>
                  </w:r>
                </w:p>
              </w:tc>
              <w:tc>
                <w:tcPr>
                  <w:tcW w:w="270" w:type="pct"/>
                  <w:tcBorders>
                    <w:tl2br w:val="nil"/>
                    <w:tr2bl w:val="nil"/>
                  </w:tcBorders>
                  <w:shd w:val="clear" w:color="auto" w:fill="auto"/>
                  <w:noWrap w:val="0"/>
                  <w:vAlign w:val="center"/>
                </w:tcPr>
                <w:p w14:paraId="0B467E6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625" w:type="pct"/>
                  <w:tcBorders>
                    <w:tl2br w:val="nil"/>
                    <w:tr2bl w:val="nil"/>
                  </w:tcBorders>
                  <w:shd w:val="clear" w:color="auto" w:fill="auto"/>
                  <w:noWrap w:val="0"/>
                  <w:vAlign w:val="center"/>
                </w:tcPr>
                <w:p w14:paraId="1CD8B9C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钢</w:t>
                  </w:r>
                </w:p>
              </w:tc>
              <w:tc>
                <w:tcPr>
                  <w:tcW w:w="550" w:type="pct"/>
                  <w:vMerge w:val="continue"/>
                  <w:tcBorders>
                    <w:tl2br w:val="nil"/>
                    <w:tr2bl w:val="nil"/>
                  </w:tcBorders>
                  <w:noWrap w:val="0"/>
                  <w:vAlign w:val="center"/>
                </w:tcPr>
                <w:p w14:paraId="43EEC2B4">
                  <w:pPr>
                    <w:jc w:val="center"/>
                    <w:rPr>
                      <w:rFonts w:hint="default" w:ascii="Times New Roman" w:hAnsi="Times New Roman" w:eastAsia="仿宋" w:cs="Times New Roman"/>
                      <w:color w:val="auto"/>
                      <w:sz w:val="21"/>
                      <w:szCs w:val="21"/>
                      <w:highlight w:val="none"/>
                      <w:lang w:val="en-US" w:eastAsia="zh-CN"/>
                    </w:rPr>
                  </w:pPr>
                </w:p>
              </w:tc>
              <w:tc>
                <w:tcPr>
                  <w:tcW w:w="491" w:type="pct"/>
                  <w:tcBorders>
                    <w:tl2br w:val="nil"/>
                    <w:tr2bl w:val="nil"/>
                  </w:tcBorders>
                  <w:shd w:val="clear" w:color="auto" w:fill="auto"/>
                  <w:noWrap w:val="0"/>
                  <w:vAlign w:val="center"/>
                </w:tcPr>
                <w:p w14:paraId="435554FA">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SW17</w:t>
                  </w:r>
                </w:p>
              </w:tc>
              <w:tc>
                <w:tcPr>
                  <w:tcW w:w="830" w:type="pct"/>
                  <w:tcBorders>
                    <w:tl2br w:val="nil"/>
                    <w:tr2bl w:val="nil"/>
                  </w:tcBorders>
                  <w:shd w:val="clear" w:color="auto" w:fill="auto"/>
                  <w:noWrap w:val="0"/>
                  <w:vAlign w:val="center"/>
                </w:tcPr>
                <w:p w14:paraId="6F50326A">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900-001-S17</w:t>
                  </w:r>
                </w:p>
              </w:tc>
              <w:tc>
                <w:tcPr>
                  <w:tcW w:w="584" w:type="pct"/>
                  <w:tcBorders>
                    <w:tl2br w:val="nil"/>
                    <w:tr2bl w:val="nil"/>
                  </w:tcBorders>
                  <w:shd w:val="clear" w:color="auto" w:fill="auto"/>
                  <w:noWrap w:val="0"/>
                  <w:vAlign w:val="center"/>
                </w:tcPr>
                <w:p w14:paraId="336B3557">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w:t>
                  </w:r>
                </w:p>
              </w:tc>
            </w:tr>
            <w:tr w14:paraId="22E2C02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0" w:type="pct"/>
                  <w:vMerge w:val="restart"/>
                  <w:tcBorders>
                    <w:tl2br w:val="nil"/>
                    <w:tr2bl w:val="nil"/>
                  </w:tcBorders>
                  <w:shd w:val="clear" w:color="auto" w:fill="auto"/>
                  <w:noWrap w:val="0"/>
                  <w:vAlign w:val="center"/>
                </w:tcPr>
                <w:p w14:paraId="0BC16CF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w:t>
                  </w:r>
                </w:p>
              </w:tc>
              <w:tc>
                <w:tcPr>
                  <w:tcW w:w="494" w:type="pct"/>
                  <w:vMerge w:val="restart"/>
                  <w:tcBorders>
                    <w:tl2br w:val="nil"/>
                    <w:tr2bl w:val="nil"/>
                  </w:tcBorders>
                  <w:shd w:val="clear" w:color="auto" w:fill="auto"/>
                  <w:noWrap w:val="0"/>
                  <w:vAlign w:val="center"/>
                </w:tcPr>
                <w:p w14:paraId="78CAAB28">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废包装材料</w:t>
                  </w:r>
                </w:p>
              </w:tc>
              <w:tc>
                <w:tcPr>
                  <w:tcW w:w="270" w:type="pct"/>
                  <w:vMerge w:val="continue"/>
                  <w:tcBorders>
                    <w:tl2br w:val="nil"/>
                    <w:tr2bl w:val="nil"/>
                  </w:tcBorders>
                  <w:noWrap w:val="0"/>
                  <w:vAlign w:val="center"/>
                </w:tcPr>
                <w:p w14:paraId="66579BA1">
                  <w:pPr>
                    <w:spacing w:line="240" w:lineRule="exact"/>
                    <w:jc w:val="center"/>
                    <w:rPr>
                      <w:rFonts w:hint="default" w:ascii="Times New Roman" w:hAnsi="Times New Roman" w:eastAsia="仿宋" w:cs="Times New Roman"/>
                      <w:color w:val="auto"/>
                      <w:sz w:val="21"/>
                      <w:szCs w:val="21"/>
                      <w:highlight w:val="none"/>
                    </w:rPr>
                  </w:pPr>
                </w:p>
              </w:tc>
              <w:tc>
                <w:tcPr>
                  <w:tcW w:w="613" w:type="pct"/>
                  <w:vMerge w:val="restart"/>
                  <w:tcBorders>
                    <w:tl2br w:val="nil"/>
                    <w:tr2bl w:val="nil"/>
                  </w:tcBorders>
                  <w:shd w:val="clear" w:color="auto" w:fill="auto"/>
                  <w:noWrap w:val="0"/>
                  <w:vAlign w:val="center"/>
                </w:tcPr>
                <w:p w14:paraId="6E5F8D6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拆包、装包</w:t>
                  </w:r>
                </w:p>
              </w:tc>
              <w:tc>
                <w:tcPr>
                  <w:tcW w:w="270" w:type="pct"/>
                  <w:vMerge w:val="restart"/>
                  <w:tcBorders>
                    <w:tl2br w:val="nil"/>
                    <w:tr2bl w:val="nil"/>
                  </w:tcBorders>
                  <w:shd w:val="clear" w:color="auto" w:fill="auto"/>
                  <w:noWrap w:val="0"/>
                  <w:vAlign w:val="center"/>
                </w:tcPr>
                <w:p w14:paraId="40EE64C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625" w:type="pct"/>
                  <w:vMerge w:val="restart"/>
                  <w:tcBorders>
                    <w:tl2br w:val="nil"/>
                    <w:tr2bl w:val="nil"/>
                  </w:tcBorders>
                  <w:shd w:val="clear" w:color="auto" w:fill="auto"/>
                  <w:noWrap w:val="0"/>
                  <w:vAlign w:val="center"/>
                </w:tcPr>
                <w:p w14:paraId="0994863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塑料、纸箱</w:t>
                  </w:r>
                </w:p>
              </w:tc>
              <w:tc>
                <w:tcPr>
                  <w:tcW w:w="550" w:type="pct"/>
                  <w:vMerge w:val="continue"/>
                  <w:tcBorders>
                    <w:tl2br w:val="nil"/>
                    <w:tr2bl w:val="nil"/>
                  </w:tcBorders>
                  <w:noWrap w:val="0"/>
                  <w:vAlign w:val="center"/>
                </w:tcPr>
                <w:p w14:paraId="1A116F8D">
                  <w:pPr>
                    <w:jc w:val="center"/>
                    <w:rPr>
                      <w:rFonts w:hint="default" w:ascii="Times New Roman" w:hAnsi="Times New Roman" w:eastAsia="仿宋" w:cs="Times New Roman"/>
                      <w:color w:val="auto"/>
                      <w:sz w:val="21"/>
                      <w:szCs w:val="21"/>
                      <w:highlight w:val="none"/>
                      <w:lang w:val="en-US" w:eastAsia="zh-CN"/>
                    </w:rPr>
                  </w:pPr>
                </w:p>
              </w:tc>
              <w:tc>
                <w:tcPr>
                  <w:tcW w:w="491" w:type="pct"/>
                  <w:vMerge w:val="restart"/>
                  <w:tcBorders>
                    <w:tl2br w:val="nil"/>
                    <w:tr2bl w:val="nil"/>
                  </w:tcBorders>
                  <w:shd w:val="clear" w:color="auto" w:fill="auto"/>
                  <w:noWrap w:val="0"/>
                  <w:vAlign w:val="center"/>
                </w:tcPr>
                <w:p w14:paraId="13F139E1">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SW17</w:t>
                  </w:r>
                </w:p>
              </w:tc>
              <w:tc>
                <w:tcPr>
                  <w:tcW w:w="830" w:type="pct"/>
                  <w:tcBorders>
                    <w:tl2br w:val="nil"/>
                    <w:tr2bl w:val="nil"/>
                  </w:tcBorders>
                  <w:shd w:val="clear" w:color="auto" w:fill="auto"/>
                  <w:noWrap w:val="0"/>
                  <w:vAlign w:val="center"/>
                </w:tcPr>
                <w:p w14:paraId="7FCCF38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rPr>
                    <w:t>900-003-S17</w:t>
                  </w:r>
                </w:p>
              </w:tc>
              <w:tc>
                <w:tcPr>
                  <w:tcW w:w="584" w:type="pct"/>
                  <w:vMerge w:val="restart"/>
                  <w:tcBorders>
                    <w:tl2br w:val="nil"/>
                    <w:tr2bl w:val="nil"/>
                  </w:tcBorders>
                  <w:shd w:val="clear" w:color="auto" w:fill="auto"/>
                  <w:noWrap w:val="0"/>
                  <w:vAlign w:val="center"/>
                </w:tcPr>
                <w:p w14:paraId="4BE0FB76">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r>
            <w:tr w14:paraId="49F8ED8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0" w:type="pct"/>
                  <w:vMerge w:val="continue"/>
                  <w:tcBorders>
                    <w:tl2br w:val="nil"/>
                    <w:tr2bl w:val="nil"/>
                  </w:tcBorders>
                  <w:noWrap w:val="0"/>
                  <w:vAlign w:val="center"/>
                </w:tcPr>
                <w:p w14:paraId="713812A4">
                  <w:pPr>
                    <w:jc w:val="center"/>
                    <w:rPr>
                      <w:color w:val="auto"/>
                    </w:rPr>
                  </w:pPr>
                </w:p>
              </w:tc>
              <w:tc>
                <w:tcPr>
                  <w:tcW w:w="494" w:type="pct"/>
                  <w:vMerge w:val="continue"/>
                  <w:tcBorders>
                    <w:tl2br w:val="nil"/>
                    <w:tr2bl w:val="nil"/>
                  </w:tcBorders>
                  <w:shd w:val="clear" w:color="auto" w:fill="auto"/>
                  <w:noWrap w:val="0"/>
                  <w:vAlign w:val="center"/>
                </w:tcPr>
                <w:p w14:paraId="1789C982">
                  <w:pPr>
                    <w:jc w:val="center"/>
                    <w:rPr>
                      <w:color w:val="auto"/>
                    </w:rPr>
                  </w:pPr>
                </w:p>
              </w:tc>
              <w:tc>
                <w:tcPr>
                  <w:tcW w:w="270" w:type="pct"/>
                  <w:vMerge w:val="continue"/>
                  <w:tcBorders>
                    <w:tl2br w:val="nil"/>
                    <w:tr2bl w:val="nil"/>
                  </w:tcBorders>
                  <w:noWrap w:val="0"/>
                  <w:vAlign w:val="center"/>
                </w:tcPr>
                <w:p w14:paraId="637A3F4D">
                  <w:pPr>
                    <w:jc w:val="center"/>
                    <w:rPr>
                      <w:color w:val="auto"/>
                    </w:rPr>
                  </w:pPr>
                </w:p>
              </w:tc>
              <w:tc>
                <w:tcPr>
                  <w:tcW w:w="613" w:type="pct"/>
                  <w:vMerge w:val="continue"/>
                  <w:tcBorders>
                    <w:tl2br w:val="nil"/>
                    <w:tr2bl w:val="nil"/>
                  </w:tcBorders>
                  <w:shd w:val="clear" w:color="auto" w:fill="auto"/>
                  <w:noWrap w:val="0"/>
                  <w:vAlign w:val="center"/>
                </w:tcPr>
                <w:p w14:paraId="18BA6D15">
                  <w:pPr>
                    <w:jc w:val="center"/>
                    <w:rPr>
                      <w:color w:val="auto"/>
                    </w:rPr>
                  </w:pPr>
                </w:p>
              </w:tc>
              <w:tc>
                <w:tcPr>
                  <w:tcW w:w="270" w:type="pct"/>
                  <w:vMerge w:val="continue"/>
                  <w:tcBorders>
                    <w:tl2br w:val="nil"/>
                    <w:tr2bl w:val="nil"/>
                  </w:tcBorders>
                  <w:shd w:val="clear" w:color="auto" w:fill="auto"/>
                  <w:noWrap w:val="0"/>
                  <w:vAlign w:val="center"/>
                </w:tcPr>
                <w:p w14:paraId="52F5CEE9">
                  <w:pPr>
                    <w:jc w:val="center"/>
                    <w:rPr>
                      <w:color w:val="auto"/>
                    </w:rPr>
                  </w:pPr>
                </w:p>
              </w:tc>
              <w:tc>
                <w:tcPr>
                  <w:tcW w:w="625" w:type="pct"/>
                  <w:vMerge w:val="continue"/>
                  <w:tcBorders>
                    <w:tl2br w:val="nil"/>
                    <w:tr2bl w:val="nil"/>
                  </w:tcBorders>
                  <w:shd w:val="clear" w:color="auto" w:fill="auto"/>
                  <w:noWrap w:val="0"/>
                  <w:vAlign w:val="center"/>
                </w:tcPr>
                <w:p w14:paraId="59BACDE0">
                  <w:pPr>
                    <w:jc w:val="center"/>
                    <w:rPr>
                      <w:color w:val="auto"/>
                    </w:rPr>
                  </w:pPr>
                </w:p>
              </w:tc>
              <w:tc>
                <w:tcPr>
                  <w:tcW w:w="550" w:type="pct"/>
                  <w:vMerge w:val="continue"/>
                  <w:tcBorders>
                    <w:tl2br w:val="nil"/>
                    <w:tr2bl w:val="nil"/>
                  </w:tcBorders>
                  <w:noWrap w:val="0"/>
                  <w:vAlign w:val="center"/>
                </w:tcPr>
                <w:p w14:paraId="56AE9303">
                  <w:pPr>
                    <w:jc w:val="center"/>
                    <w:rPr>
                      <w:color w:val="auto"/>
                    </w:rPr>
                  </w:pPr>
                </w:p>
              </w:tc>
              <w:tc>
                <w:tcPr>
                  <w:tcW w:w="491" w:type="pct"/>
                  <w:vMerge w:val="continue"/>
                  <w:tcBorders>
                    <w:tl2br w:val="nil"/>
                    <w:tr2bl w:val="nil"/>
                  </w:tcBorders>
                  <w:shd w:val="clear" w:color="auto" w:fill="auto"/>
                  <w:noWrap w:val="0"/>
                  <w:vAlign w:val="center"/>
                </w:tcPr>
                <w:p w14:paraId="708E0DE5">
                  <w:pPr>
                    <w:jc w:val="center"/>
                    <w:rPr>
                      <w:color w:val="auto"/>
                    </w:rPr>
                  </w:pPr>
                </w:p>
              </w:tc>
              <w:tc>
                <w:tcPr>
                  <w:tcW w:w="830" w:type="pct"/>
                  <w:tcBorders>
                    <w:tl2br w:val="nil"/>
                    <w:tr2bl w:val="nil"/>
                  </w:tcBorders>
                  <w:shd w:val="clear" w:color="auto" w:fill="auto"/>
                  <w:noWrap w:val="0"/>
                  <w:vAlign w:val="center"/>
                </w:tcPr>
                <w:p w14:paraId="045DF4E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rPr>
                    <w:t>900-005-S17</w:t>
                  </w:r>
                </w:p>
              </w:tc>
              <w:tc>
                <w:tcPr>
                  <w:tcW w:w="584" w:type="pct"/>
                  <w:vMerge w:val="continue"/>
                  <w:tcBorders>
                    <w:tl2br w:val="nil"/>
                    <w:tr2bl w:val="nil"/>
                  </w:tcBorders>
                  <w:shd w:val="clear" w:color="auto" w:fill="auto"/>
                  <w:noWrap w:val="0"/>
                  <w:vAlign w:val="center"/>
                </w:tcPr>
                <w:p w14:paraId="5A46220E">
                  <w:pPr>
                    <w:jc w:val="center"/>
                    <w:rPr>
                      <w:rFonts w:hint="default" w:ascii="Times New Roman" w:hAnsi="Times New Roman" w:eastAsia="仿宋" w:cs="Times New Roman"/>
                      <w:color w:val="auto"/>
                      <w:sz w:val="21"/>
                      <w:szCs w:val="21"/>
                      <w:highlight w:val="none"/>
                      <w:lang w:val="en-US" w:eastAsia="zh-CN"/>
                    </w:rPr>
                  </w:pPr>
                </w:p>
              </w:tc>
            </w:tr>
            <w:tr w14:paraId="604D681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403" w:hRule="atLeast"/>
                <w:jc w:val="center"/>
              </w:trPr>
              <w:tc>
                <w:tcPr>
                  <w:tcW w:w="270" w:type="pct"/>
                  <w:vMerge w:val="restart"/>
                  <w:tcBorders>
                    <w:tl2br w:val="nil"/>
                    <w:tr2bl w:val="nil"/>
                  </w:tcBorders>
                  <w:noWrap w:val="0"/>
                  <w:vAlign w:val="center"/>
                </w:tcPr>
                <w:p w14:paraId="1A43B76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4</w:t>
                  </w:r>
                </w:p>
              </w:tc>
              <w:tc>
                <w:tcPr>
                  <w:tcW w:w="494" w:type="pct"/>
                  <w:vMerge w:val="restart"/>
                  <w:tcBorders>
                    <w:tl2br w:val="nil"/>
                    <w:tr2bl w:val="nil"/>
                  </w:tcBorders>
                  <w:shd w:val="clear" w:color="auto" w:fill="auto"/>
                  <w:noWrap w:val="0"/>
                  <w:vAlign w:val="center"/>
                </w:tcPr>
                <w:p w14:paraId="159A3BC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ar-SA"/>
                    </w:rPr>
                    <w:t>废滤</w:t>
                  </w:r>
                  <w:r>
                    <w:rPr>
                      <w:rFonts w:hint="eastAsia" w:ascii="Times New Roman" w:hAnsi="Times New Roman" w:eastAsia="仿宋" w:cs="Times New Roman"/>
                      <w:b w:val="0"/>
                      <w:bCs w:val="0"/>
                      <w:color w:val="auto"/>
                      <w:kern w:val="0"/>
                      <w:sz w:val="21"/>
                      <w:szCs w:val="21"/>
                      <w:highlight w:val="none"/>
                      <w:lang w:val="en-US" w:eastAsia="zh-CN" w:bidi="ar-SA"/>
                    </w:rPr>
                    <w:t>材</w:t>
                  </w:r>
                </w:p>
              </w:tc>
              <w:tc>
                <w:tcPr>
                  <w:tcW w:w="270" w:type="pct"/>
                  <w:vMerge w:val="continue"/>
                  <w:tcBorders>
                    <w:tl2br w:val="nil"/>
                    <w:tr2bl w:val="nil"/>
                  </w:tcBorders>
                  <w:noWrap w:val="0"/>
                  <w:vAlign w:val="center"/>
                </w:tcPr>
                <w:p w14:paraId="13612DE4">
                  <w:pPr>
                    <w:spacing w:line="240" w:lineRule="exact"/>
                    <w:jc w:val="center"/>
                    <w:rPr>
                      <w:rFonts w:hint="default" w:ascii="Times New Roman" w:hAnsi="Times New Roman" w:eastAsia="仿宋" w:cs="Times New Roman"/>
                      <w:color w:val="auto"/>
                      <w:sz w:val="21"/>
                      <w:szCs w:val="21"/>
                      <w:highlight w:val="none"/>
                    </w:rPr>
                  </w:pPr>
                </w:p>
              </w:tc>
              <w:tc>
                <w:tcPr>
                  <w:tcW w:w="613" w:type="pct"/>
                  <w:vMerge w:val="restart"/>
                  <w:tcBorders>
                    <w:tl2br w:val="nil"/>
                    <w:tr2bl w:val="nil"/>
                  </w:tcBorders>
                  <w:shd w:val="clear" w:color="auto" w:fill="auto"/>
                  <w:noWrap w:val="0"/>
                  <w:vAlign w:val="center"/>
                </w:tcPr>
                <w:p w14:paraId="599FAC5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ar-SA"/>
                    </w:rPr>
                    <w:t>纯水制备</w:t>
                  </w:r>
                </w:p>
              </w:tc>
              <w:tc>
                <w:tcPr>
                  <w:tcW w:w="270" w:type="pct"/>
                  <w:vMerge w:val="restart"/>
                  <w:tcBorders>
                    <w:tl2br w:val="nil"/>
                    <w:tr2bl w:val="nil"/>
                  </w:tcBorders>
                  <w:shd w:val="clear" w:color="auto" w:fill="auto"/>
                  <w:noWrap w:val="0"/>
                  <w:vAlign w:val="center"/>
                </w:tcPr>
                <w:p w14:paraId="3710225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625" w:type="pct"/>
                  <w:tcBorders>
                    <w:tl2br w:val="nil"/>
                    <w:tr2bl w:val="nil"/>
                  </w:tcBorders>
                  <w:shd w:val="clear" w:color="auto" w:fill="auto"/>
                  <w:noWrap w:val="0"/>
                  <w:vAlign w:val="center"/>
                </w:tcPr>
                <w:p w14:paraId="2D7A03C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废活性炭、废膜</w:t>
                  </w:r>
                </w:p>
              </w:tc>
              <w:tc>
                <w:tcPr>
                  <w:tcW w:w="550" w:type="pct"/>
                  <w:vMerge w:val="continue"/>
                  <w:tcBorders>
                    <w:tl2br w:val="nil"/>
                    <w:tr2bl w:val="nil"/>
                  </w:tcBorders>
                  <w:noWrap w:val="0"/>
                  <w:vAlign w:val="center"/>
                </w:tcPr>
                <w:p w14:paraId="0307710A">
                  <w:pPr>
                    <w:jc w:val="center"/>
                    <w:rPr>
                      <w:rFonts w:hint="default" w:ascii="Times New Roman" w:hAnsi="Times New Roman" w:eastAsia="仿宋" w:cs="Times New Roman"/>
                      <w:color w:val="auto"/>
                      <w:sz w:val="21"/>
                      <w:szCs w:val="21"/>
                      <w:highlight w:val="none"/>
                      <w:lang w:val="en-US" w:eastAsia="zh-CN"/>
                    </w:rPr>
                  </w:pPr>
                </w:p>
              </w:tc>
              <w:tc>
                <w:tcPr>
                  <w:tcW w:w="491" w:type="pct"/>
                  <w:vMerge w:val="restart"/>
                  <w:tcBorders>
                    <w:tl2br w:val="nil"/>
                    <w:tr2bl w:val="nil"/>
                  </w:tcBorders>
                  <w:noWrap w:val="0"/>
                  <w:vAlign w:val="center"/>
                </w:tcPr>
                <w:p w14:paraId="646408EC">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SW59</w:t>
                  </w:r>
                </w:p>
              </w:tc>
              <w:tc>
                <w:tcPr>
                  <w:tcW w:w="830" w:type="pct"/>
                  <w:tcBorders>
                    <w:tl2br w:val="nil"/>
                    <w:tr2bl w:val="nil"/>
                  </w:tcBorders>
                  <w:noWrap w:val="0"/>
                  <w:vAlign w:val="center"/>
                </w:tcPr>
                <w:p w14:paraId="16AD18BC">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900-00</w:t>
                  </w:r>
                  <w:r>
                    <w:rPr>
                      <w:rFonts w:hint="default" w:ascii="Times New Roman" w:hAnsi="Times New Roman" w:eastAsia="仿宋" w:cs="Times New Roman"/>
                      <w:color w:val="auto"/>
                      <w:sz w:val="21"/>
                      <w:szCs w:val="21"/>
                      <w:highlight w:val="none"/>
                      <w:lang w:val="en-US" w:eastAsia="zh-CN"/>
                    </w:rPr>
                    <w:t>8</w:t>
                  </w:r>
                  <w:r>
                    <w:rPr>
                      <w:rFonts w:hint="default" w:ascii="Times New Roman" w:hAnsi="Times New Roman" w:eastAsia="仿宋" w:cs="Times New Roman"/>
                      <w:color w:val="auto"/>
                      <w:sz w:val="21"/>
                      <w:szCs w:val="21"/>
                      <w:highlight w:val="none"/>
                    </w:rPr>
                    <w:t>-S59</w:t>
                  </w:r>
                </w:p>
              </w:tc>
              <w:tc>
                <w:tcPr>
                  <w:tcW w:w="584" w:type="pct"/>
                  <w:vMerge w:val="restart"/>
                  <w:tcBorders>
                    <w:tl2br w:val="nil"/>
                    <w:tr2bl w:val="nil"/>
                  </w:tcBorders>
                  <w:shd w:val="clear" w:color="auto" w:fill="auto"/>
                  <w:noWrap w:val="0"/>
                  <w:vAlign w:val="center"/>
                </w:tcPr>
                <w:p w14:paraId="006E632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b w:val="0"/>
                      <w:bCs w:val="0"/>
                      <w:color w:val="auto"/>
                      <w:kern w:val="0"/>
                      <w:sz w:val="21"/>
                      <w:szCs w:val="21"/>
                      <w:highlight w:val="none"/>
                      <w:lang w:val="en-US" w:eastAsia="zh-CN" w:bidi="ar-SA"/>
                    </w:rPr>
                    <w:t>0.5</w:t>
                  </w:r>
                </w:p>
              </w:tc>
            </w:tr>
            <w:tr w14:paraId="429BC6D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0" w:type="pct"/>
                  <w:vMerge w:val="continue"/>
                  <w:tcBorders>
                    <w:tl2br w:val="nil"/>
                    <w:tr2bl w:val="nil"/>
                  </w:tcBorders>
                  <w:noWrap w:val="0"/>
                  <w:vAlign w:val="center"/>
                </w:tcPr>
                <w:p w14:paraId="00641D6A">
                  <w:pPr>
                    <w:pStyle w:val="40"/>
                    <w:adjustRightInd w:val="0"/>
                    <w:snapToGrid w:val="0"/>
                    <w:jc w:val="center"/>
                    <w:rPr>
                      <w:rFonts w:hint="default" w:ascii="Times New Roman" w:hAnsi="Times New Roman" w:eastAsia="仿宋" w:cs="Times New Roman"/>
                      <w:color w:val="auto"/>
                      <w:sz w:val="21"/>
                      <w:szCs w:val="21"/>
                    </w:rPr>
                  </w:pPr>
                </w:p>
              </w:tc>
              <w:tc>
                <w:tcPr>
                  <w:tcW w:w="494" w:type="pct"/>
                  <w:vMerge w:val="continue"/>
                  <w:tcBorders>
                    <w:tl2br w:val="nil"/>
                    <w:tr2bl w:val="nil"/>
                  </w:tcBorders>
                  <w:shd w:val="clear" w:color="auto" w:fill="auto"/>
                  <w:noWrap w:val="0"/>
                  <w:vAlign w:val="center"/>
                </w:tcPr>
                <w:p w14:paraId="2055ED21">
                  <w:pPr>
                    <w:pStyle w:val="40"/>
                    <w:adjustRightInd w:val="0"/>
                    <w:snapToGrid w:val="0"/>
                    <w:jc w:val="center"/>
                    <w:rPr>
                      <w:rFonts w:hint="default" w:ascii="Times New Roman" w:hAnsi="Times New Roman" w:eastAsia="仿宋" w:cs="Times New Roman"/>
                      <w:color w:val="auto"/>
                      <w:sz w:val="21"/>
                      <w:szCs w:val="21"/>
                    </w:rPr>
                  </w:pPr>
                </w:p>
              </w:tc>
              <w:tc>
                <w:tcPr>
                  <w:tcW w:w="270" w:type="pct"/>
                  <w:vMerge w:val="continue"/>
                  <w:tcBorders>
                    <w:tl2br w:val="nil"/>
                    <w:tr2bl w:val="nil"/>
                  </w:tcBorders>
                  <w:noWrap w:val="0"/>
                  <w:vAlign w:val="center"/>
                </w:tcPr>
                <w:p w14:paraId="4D3FD982">
                  <w:pPr>
                    <w:pStyle w:val="40"/>
                    <w:adjustRightInd w:val="0"/>
                    <w:snapToGrid w:val="0"/>
                    <w:jc w:val="center"/>
                    <w:rPr>
                      <w:rFonts w:hint="default" w:ascii="Times New Roman" w:hAnsi="Times New Roman" w:eastAsia="仿宋" w:cs="Times New Roman"/>
                      <w:color w:val="auto"/>
                      <w:sz w:val="21"/>
                      <w:szCs w:val="21"/>
                    </w:rPr>
                  </w:pPr>
                </w:p>
              </w:tc>
              <w:tc>
                <w:tcPr>
                  <w:tcW w:w="613" w:type="pct"/>
                  <w:vMerge w:val="continue"/>
                  <w:tcBorders>
                    <w:tl2br w:val="nil"/>
                    <w:tr2bl w:val="nil"/>
                  </w:tcBorders>
                  <w:shd w:val="clear" w:color="auto" w:fill="auto"/>
                  <w:noWrap w:val="0"/>
                  <w:vAlign w:val="center"/>
                </w:tcPr>
                <w:p w14:paraId="4AD79BC3">
                  <w:pPr>
                    <w:pStyle w:val="40"/>
                    <w:adjustRightInd w:val="0"/>
                    <w:snapToGrid w:val="0"/>
                    <w:jc w:val="center"/>
                    <w:rPr>
                      <w:rFonts w:hint="default" w:ascii="Times New Roman" w:hAnsi="Times New Roman" w:eastAsia="仿宋" w:cs="Times New Roman"/>
                      <w:color w:val="auto"/>
                      <w:sz w:val="21"/>
                      <w:szCs w:val="21"/>
                    </w:rPr>
                  </w:pPr>
                </w:p>
              </w:tc>
              <w:tc>
                <w:tcPr>
                  <w:tcW w:w="270" w:type="pct"/>
                  <w:vMerge w:val="continue"/>
                  <w:tcBorders>
                    <w:tl2br w:val="nil"/>
                    <w:tr2bl w:val="nil"/>
                  </w:tcBorders>
                  <w:shd w:val="clear" w:color="auto" w:fill="auto"/>
                  <w:noWrap w:val="0"/>
                  <w:vAlign w:val="center"/>
                </w:tcPr>
                <w:p w14:paraId="7645B6CB">
                  <w:pPr>
                    <w:pStyle w:val="40"/>
                    <w:adjustRightInd w:val="0"/>
                    <w:snapToGrid w:val="0"/>
                    <w:jc w:val="center"/>
                    <w:rPr>
                      <w:rFonts w:hint="default" w:ascii="Times New Roman" w:hAnsi="Times New Roman" w:eastAsia="仿宋" w:cs="Times New Roman"/>
                      <w:color w:val="auto"/>
                      <w:sz w:val="21"/>
                      <w:szCs w:val="21"/>
                    </w:rPr>
                  </w:pPr>
                </w:p>
              </w:tc>
              <w:tc>
                <w:tcPr>
                  <w:tcW w:w="625" w:type="pct"/>
                  <w:tcBorders>
                    <w:tl2br w:val="nil"/>
                    <w:tr2bl w:val="nil"/>
                  </w:tcBorders>
                  <w:shd w:val="clear" w:color="auto" w:fill="auto"/>
                  <w:noWrap w:val="0"/>
                  <w:vAlign w:val="center"/>
                </w:tcPr>
                <w:p w14:paraId="4A4FAD26">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废滤芯、废</w:t>
                  </w:r>
                  <w:r>
                    <w:rPr>
                      <w:rFonts w:hint="default" w:ascii="Times New Roman" w:hAnsi="Times New Roman" w:eastAsia="仿宋" w:cs="Times New Roman"/>
                      <w:color w:val="auto"/>
                      <w:sz w:val="21"/>
                      <w:szCs w:val="21"/>
                      <w:highlight w:val="none"/>
                      <w:lang w:val="en-US"/>
                    </w:rPr>
                    <w:t>石英砂</w:t>
                  </w:r>
                </w:p>
              </w:tc>
              <w:tc>
                <w:tcPr>
                  <w:tcW w:w="550" w:type="pct"/>
                  <w:vMerge w:val="continue"/>
                  <w:tcBorders>
                    <w:tl2br w:val="nil"/>
                    <w:tr2bl w:val="nil"/>
                  </w:tcBorders>
                  <w:noWrap w:val="0"/>
                  <w:vAlign w:val="center"/>
                </w:tcPr>
                <w:p w14:paraId="3753F98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rPr>
                  </w:pPr>
                </w:p>
              </w:tc>
              <w:tc>
                <w:tcPr>
                  <w:tcW w:w="491" w:type="pct"/>
                  <w:vMerge w:val="continue"/>
                  <w:tcBorders>
                    <w:tl2br w:val="nil"/>
                    <w:tr2bl w:val="nil"/>
                  </w:tcBorders>
                  <w:noWrap w:val="0"/>
                  <w:vAlign w:val="center"/>
                </w:tcPr>
                <w:p w14:paraId="6BCBB48C">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rPr>
                  </w:pPr>
                </w:p>
              </w:tc>
              <w:tc>
                <w:tcPr>
                  <w:tcW w:w="830" w:type="pct"/>
                  <w:tcBorders>
                    <w:tl2br w:val="nil"/>
                    <w:tr2bl w:val="nil"/>
                  </w:tcBorders>
                  <w:noWrap w:val="0"/>
                  <w:vAlign w:val="center"/>
                </w:tcPr>
                <w:p w14:paraId="144F5EF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rPr>
                  </w:pPr>
                  <w:r>
                    <w:rPr>
                      <w:rFonts w:hint="default" w:ascii="Times New Roman" w:hAnsi="Times New Roman" w:eastAsia="仿宋" w:cs="Times New Roman"/>
                      <w:color w:val="auto"/>
                      <w:sz w:val="21"/>
                      <w:szCs w:val="21"/>
                      <w:highlight w:val="none"/>
                    </w:rPr>
                    <w:t>900-009-S59</w:t>
                  </w:r>
                </w:p>
              </w:tc>
              <w:tc>
                <w:tcPr>
                  <w:tcW w:w="584" w:type="pct"/>
                  <w:vMerge w:val="continue"/>
                  <w:tcBorders>
                    <w:tl2br w:val="nil"/>
                    <w:tr2bl w:val="nil"/>
                  </w:tcBorders>
                  <w:shd w:val="clear" w:color="auto" w:fill="auto"/>
                  <w:noWrap w:val="0"/>
                  <w:vAlign w:val="center"/>
                </w:tcPr>
                <w:p w14:paraId="6B2D83AE">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rPr>
                  </w:pPr>
                </w:p>
              </w:tc>
            </w:tr>
            <w:tr w14:paraId="441C998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3C2B3A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5</w:t>
                  </w:r>
                </w:p>
              </w:tc>
              <w:tc>
                <w:tcPr>
                  <w:tcW w:w="494" w:type="pct"/>
                  <w:tcBorders>
                    <w:tl2br w:val="nil"/>
                    <w:tr2bl w:val="nil"/>
                  </w:tcBorders>
                  <w:shd w:val="clear" w:color="auto" w:fill="auto"/>
                  <w:noWrap w:val="0"/>
                  <w:vAlign w:val="center"/>
                </w:tcPr>
                <w:p w14:paraId="0A5484C7">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沉降粉尘</w:t>
                  </w:r>
                </w:p>
              </w:tc>
              <w:tc>
                <w:tcPr>
                  <w:tcW w:w="270" w:type="pct"/>
                  <w:vMerge w:val="continue"/>
                  <w:tcBorders>
                    <w:tl2br w:val="nil"/>
                    <w:tr2bl w:val="nil"/>
                  </w:tcBorders>
                  <w:noWrap w:val="0"/>
                  <w:vAlign w:val="center"/>
                </w:tcPr>
                <w:p w14:paraId="576E75F0">
                  <w:pPr>
                    <w:spacing w:line="240" w:lineRule="exact"/>
                    <w:jc w:val="center"/>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7505E88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喷粉</w:t>
                  </w:r>
                </w:p>
              </w:tc>
              <w:tc>
                <w:tcPr>
                  <w:tcW w:w="270" w:type="pct"/>
                  <w:tcBorders>
                    <w:tl2br w:val="nil"/>
                    <w:tr2bl w:val="nil"/>
                  </w:tcBorders>
                  <w:shd w:val="clear" w:color="auto" w:fill="auto"/>
                  <w:noWrap w:val="0"/>
                  <w:vAlign w:val="center"/>
                </w:tcPr>
                <w:p w14:paraId="44E9908D">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51617BD7">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w:t>
                  </w:r>
                </w:p>
              </w:tc>
              <w:tc>
                <w:tcPr>
                  <w:tcW w:w="550" w:type="pct"/>
                  <w:vMerge w:val="continue"/>
                  <w:tcBorders>
                    <w:tl2br w:val="nil"/>
                    <w:tr2bl w:val="nil"/>
                  </w:tcBorders>
                  <w:noWrap w:val="0"/>
                  <w:vAlign w:val="center"/>
                </w:tcPr>
                <w:p w14:paraId="094F8C4D">
                  <w:pPr>
                    <w:jc w:val="center"/>
                    <w:rPr>
                      <w:rFonts w:hint="default" w:ascii="Times New Roman" w:hAnsi="Times New Roman" w:eastAsia="仿宋" w:cs="Times New Roman"/>
                      <w:color w:val="auto"/>
                      <w:sz w:val="21"/>
                      <w:szCs w:val="21"/>
                      <w:highlight w:val="none"/>
                    </w:rPr>
                  </w:pPr>
                </w:p>
              </w:tc>
              <w:tc>
                <w:tcPr>
                  <w:tcW w:w="491" w:type="pct"/>
                  <w:tcBorders>
                    <w:tl2br w:val="nil"/>
                    <w:tr2bl w:val="nil"/>
                  </w:tcBorders>
                  <w:shd w:val="clear" w:color="auto" w:fill="auto"/>
                  <w:noWrap w:val="0"/>
                  <w:vAlign w:val="center"/>
                </w:tcPr>
                <w:p w14:paraId="1329115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SW17</w:t>
                  </w:r>
                </w:p>
              </w:tc>
              <w:tc>
                <w:tcPr>
                  <w:tcW w:w="830" w:type="pct"/>
                  <w:tcBorders>
                    <w:tl2br w:val="nil"/>
                    <w:tr2bl w:val="nil"/>
                  </w:tcBorders>
                  <w:shd w:val="clear" w:color="auto" w:fill="auto"/>
                  <w:noWrap w:val="0"/>
                  <w:vAlign w:val="center"/>
                </w:tcPr>
                <w:p w14:paraId="6E66C88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900-099-S17</w:t>
                  </w:r>
                </w:p>
              </w:tc>
              <w:tc>
                <w:tcPr>
                  <w:tcW w:w="584" w:type="pct"/>
                  <w:tcBorders>
                    <w:tl2br w:val="nil"/>
                    <w:tr2bl w:val="nil"/>
                  </w:tcBorders>
                  <w:shd w:val="clear" w:color="auto" w:fill="auto"/>
                  <w:noWrap w:val="0"/>
                  <w:vAlign w:val="center"/>
                </w:tcPr>
                <w:p w14:paraId="63797A1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0.21</w:t>
                  </w:r>
                </w:p>
              </w:tc>
            </w:tr>
            <w:tr w14:paraId="7E96D05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6F41EC5A">
                  <w:pPr>
                    <w:spacing w:line="240" w:lineRule="exact"/>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6</w:t>
                  </w:r>
                </w:p>
              </w:tc>
              <w:tc>
                <w:tcPr>
                  <w:tcW w:w="494" w:type="pct"/>
                  <w:tcBorders>
                    <w:tl2br w:val="nil"/>
                    <w:tr2bl w:val="nil"/>
                  </w:tcBorders>
                  <w:shd w:val="clear" w:color="auto" w:fill="auto"/>
                  <w:noWrap w:val="0"/>
                  <w:vAlign w:val="center"/>
                </w:tcPr>
                <w:p w14:paraId="385B870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回收粉尘</w:t>
                  </w:r>
                </w:p>
              </w:tc>
              <w:tc>
                <w:tcPr>
                  <w:tcW w:w="270" w:type="pct"/>
                  <w:vMerge w:val="continue"/>
                  <w:tcBorders>
                    <w:tl2br w:val="nil"/>
                    <w:tr2bl w:val="nil"/>
                  </w:tcBorders>
                  <w:noWrap w:val="0"/>
                  <w:vAlign w:val="center"/>
                </w:tcPr>
                <w:p w14:paraId="6F20047E">
                  <w:pPr>
                    <w:ind w:right="-76" w:rightChars="-36"/>
                    <w:rPr>
                      <w:rFonts w:hint="default" w:ascii="Times New Roman" w:hAnsi="Times New Roman" w:eastAsia="仿宋" w:cs="Times New Roman"/>
                      <w:color w:val="auto"/>
                      <w:sz w:val="21"/>
                      <w:szCs w:val="21"/>
                      <w:highlight w:val="none"/>
                      <w:lang w:val="en-US" w:eastAsia="zh-CN"/>
                    </w:rPr>
                  </w:pPr>
                </w:p>
              </w:tc>
              <w:tc>
                <w:tcPr>
                  <w:tcW w:w="613" w:type="pct"/>
                  <w:tcBorders>
                    <w:tl2br w:val="nil"/>
                    <w:tr2bl w:val="nil"/>
                  </w:tcBorders>
                  <w:shd w:val="clear" w:color="auto" w:fill="auto"/>
                  <w:noWrap w:val="0"/>
                  <w:vAlign w:val="center"/>
                </w:tcPr>
                <w:p w14:paraId="1DD1B9DF">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rPr>
                    <w:t>废气处理设备</w:t>
                  </w:r>
                </w:p>
              </w:tc>
              <w:tc>
                <w:tcPr>
                  <w:tcW w:w="270" w:type="pct"/>
                  <w:tcBorders>
                    <w:tl2br w:val="nil"/>
                    <w:tr2bl w:val="nil"/>
                  </w:tcBorders>
                  <w:shd w:val="clear" w:color="auto" w:fill="auto"/>
                  <w:noWrap w:val="0"/>
                  <w:vAlign w:val="center"/>
                </w:tcPr>
                <w:p w14:paraId="1D8D505B">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625" w:type="pct"/>
                  <w:tcBorders>
                    <w:tl2br w:val="nil"/>
                    <w:tr2bl w:val="nil"/>
                  </w:tcBorders>
                  <w:shd w:val="clear" w:color="auto" w:fill="auto"/>
                  <w:noWrap w:val="0"/>
                  <w:vAlign w:val="center"/>
                </w:tcPr>
                <w:p w14:paraId="22AE4A71">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w:t>
                  </w:r>
                </w:p>
              </w:tc>
              <w:tc>
                <w:tcPr>
                  <w:tcW w:w="550" w:type="pct"/>
                  <w:vMerge w:val="continue"/>
                  <w:tcBorders>
                    <w:tl2br w:val="nil"/>
                    <w:tr2bl w:val="nil"/>
                  </w:tcBorders>
                  <w:noWrap w:val="0"/>
                  <w:vAlign w:val="center"/>
                </w:tcPr>
                <w:p w14:paraId="67770859">
                  <w:pPr>
                    <w:jc w:val="center"/>
                    <w:rPr>
                      <w:rFonts w:hint="default" w:ascii="Times New Roman" w:hAnsi="Times New Roman" w:eastAsia="仿宋" w:cs="Times New Roman"/>
                      <w:color w:val="auto"/>
                      <w:sz w:val="21"/>
                      <w:szCs w:val="21"/>
                      <w:highlight w:val="none"/>
                      <w:lang w:val="en-US" w:eastAsia="zh-CN"/>
                    </w:rPr>
                  </w:pPr>
                </w:p>
              </w:tc>
              <w:tc>
                <w:tcPr>
                  <w:tcW w:w="491" w:type="pct"/>
                  <w:tcBorders>
                    <w:tl2br w:val="nil"/>
                    <w:tr2bl w:val="nil"/>
                  </w:tcBorders>
                  <w:shd w:val="clear" w:color="auto" w:fill="auto"/>
                  <w:noWrap w:val="0"/>
                  <w:vAlign w:val="center"/>
                </w:tcPr>
                <w:p w14:paraId="49E26C3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SW17</w:t>
                  </w:r>
                </w:p>
              </w:tc>
              <w:tc>
                <w:tcPr>
                  <w:tcW w:w="830" w:type="pct"/>
                  <w:tcBorders>
                    <w:tl2br w:val="nil"/>
                    <w:tr2bl w:val="nil"/>
                  </w:tcBorders>
                  <w:shd w:val="clear" w:color="auto" w:fill="auto"/>
                  <w:noWrap w:val="0"/>
                  <w:vAlign w:val="center"/>
                </w:tcPr>
                <w:p w14:paraId="057C652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900-099-S17</w:t>
                  </w:r>
                </w:p>
              </w:tc>
              <w:tc>
                <w:tcPr>
                  <w:tcW w:w="584" w:type="pct"/>
                  <w:tcBorders>
                    <w:tl2br w:val="nil"/>
                    <w:tr2bl w:val="nil"/>
                  </w:tcBorders>
                  <w:shd w:val="clear" w:color="auto" w:fill="auto"/>
                  <w:noWrap w:val="0"/>
                  <w:vAlign w:val="center"/>
                </w:tcPr>
                <w:p w14:paraId="09A14EA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6.517</w:t>
                  </w:r>
                </w:p>
              </w:tc>
            </w:tr>
            <w:tr w14:paraId="5F70F69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4CF2F4B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w:t>
                  </w:r>
                </w:p>
              </w:tc>
              <w:tc>
                <w:tcPr>
                  <w:tcW w:w="494" w:type="pct"/>
                  <w:tcBorders>
                    <w:tl2br w:val="nil"/>
                    <w:tr2bl w:val="nil"/>
                  </w:tcBorders>
                  <w:shd w:val="clear" w:color="auto" w:fill="auto"/>
                  <w:noWrap w:val="0"/>
                  <w:vAlign w:val="center"/>
                </w:tcPr>
                <w:p w14:paraId="5A896BC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滤芯</w:t>
                  </w:r>
                </w:p>
              </w:tc>
              <w:tc>
                <w:tcPr>
                  <w:tcW w:w="270" w:type="pct"/>
                  <w:vMerge w:val="continue"/>
                  <w:tcBorders>
                    <w:tl2br w:val="nil"/>
                    <w:tr2bl w:val="nil"/>
                  </w:tcBorders>
                  <w:noWrap w:val="0"/>
                  <w:vAlign w:val="center"/>
                </w:tcPr>
                <w:p w14:paraId="036D2446">
                  <w:pPr>
                    <w:ind w:right="-76" w:rightChars="-36"/>
                    <w:rPr>
                      <w:rFonts w:hint="default" w:ascii="Times New Roman" w:hAnsi="Times New Roman" w:eastAsia="仿宋" w:cs="Times New Roman"/>
                      <w:color w:val="auto"/>
                      <w:sz w:val="21"/>
                      <w:szCs w:val="21"/>
                      <w:highlight w:val="none"/>
                      <w:lang w:val="en-US" w:eastAsia="zh-CN"/>
                    </w:rPr>
                  </w:pPr>
                </w:p>
              </w:tc>
              <w:tc>
                <w:tcPr>
                  <w:tcW w:w="613" w:type="pct"/>
                  <w:tcBorders>
                    <w:tl2br w:val="nil"/>
                    <w:tr2bl w:val="nil"/>
                  </w:tcBorders>
                  <w:shd w:val="clear" w:color="auto" w:fill="auto"/>
                  <w:noWrap w:val="0"/>
                  <w:vAlign w:val="center"/>
                </w:tcPr>
                <w:p w14:paraId="10EC05BD">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废气处理设备</w:t>
                  </w:r>
                </w:p>
              </w:tc>
              <w:tc>
                <w:tcPr>
                  <w:tcW w:w="270" w:type="pct"/>
                  <w:tcBorders>
                    <w:tl2br w:val="nil"/>
                    <w:tr2bl w:val="nil"/>
                  </w:tcBorders>
                  <w:shd w:val="clear" w:color="auto" w:fill="auto"/>
                  <w:noWrap w:val="0"/>
                  <w:vAlign w:val="center"/>
                </w:tcPr>
                <w:p w14:paraId="23446816">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625" w:type="pct"/>
                  <w:tcBorders>
                    <w:tl2br w:val="nil"/>
                    <w:tr2bl w:val="nil"/>
                  </w:tcBorders>
                  <w:shd w:val="clear" w:color="auto" w:fill="auto"/>
                  <w:noWrap w:val="0"/>
                  <w:vAlign w:val="center"/>
                </w:tcPr>
                <w:p w14:paraId="482A40FA">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滤芯</w:t>
                  </w:r>
                </w:p>
              </w:tc>
              <w:tc>
                <w:tcPr>
                  <w:tcW w:w="550" w:type="pct"/>
                  <w:vMerge w:val="continue"/>
                  <w:tcBorders>
                    <w:tl2br w:val="nil"/>
                    <w:tr2bl w:val="nil"/>
                  </w:tcBorders>
                  <w:noWrap w:val="0"/>
                  <w:vAlign w:val="center"/>
                </w:tcPr>
                <w:p w14:paraId="32C80FFD">
                  <w:pPr>
                    <w:jc w:val="center"/>
                    <w:rPr>
                      <w:rFonts w:hint="default" w:ascii="Times New Roman" w:hAnsi="Times New Roman" w:eastAsia="仿宋" w:cs="Times New Roman"/>
                      <w:color w:val="auto"/>
                      <w:sz w:val="21"/>
                      <w:szCs w:val="21"/>
                      <w:highlight w:val="none"/>
                      <w:lang w:val="en-US" w:eastAsia="zh-CN"/>
                    </w:rPr>
                  </w:pPr>
                </w:p>
              </w:tc>
              <w:tc>
                <w:tcPr>
                  <w:tcW w:w="491" w:type="pct"/>
                  <w:tcBorders>
                    <w:tl2br w:val="nil"/>
                    <w:tr2bl w:val="nil"/>
                  </w:tcBorders>
                  <w:shd w:val="clear" w:color="auto" w:fill="auto"/>
                  <w:noWrap w:val="0"/>
                  <w:vAlign w:val="center"/>
                </w:tcPr>
                <w:p w14:paraId="454941A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SW17</w:t>
                  </w:r>
                </w:p>
              </w:tc>
              <w:tc>
                <w:tcPr>
                  <w:tcW w:w="830" w:type="pct"/>
                  <w:tcBorders>
                    <w:tl2br w:val="nil"/>
                    <w:tr2bl w:val="nil"/>
                  </w:tcBorders>
                  <w:shd w:val="clear" w:color="auto" w:fill="auto"/>
                  <w:noWrap w:val="0"/>
                  <w:vAlign w:val="center"/>
                </w:tcPr>
                <w:p w14:paraId="11A033B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900-099-S17</w:t>
                  </w:r>
                </w:p>
              </w:tc>
              <w:tc>
                <w:tcPr>
                  <w:tcW w:w="584" w:type="pct"/>
                  <w:tcBorders>
                    <w:tl2br w:val="nil"/>
                    <w:tr2bl w:val="nil"/>
                  </w:tcBorders>
                  <w:shd w:val="clear" w:color="auto" w:fill="auto"/>
                  <w:noWrap w:val="0"/>
                  <w:vAlign w:val="center"/>
                </w:tcPr>
                <w:p w14:paraId="045D2EA5">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w:t>
                  </w:r>
                </w:p>
              </w:tc>
            </w:tr>
            <w:tr w14:paraId="0F39586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44DC21DA">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8</w:t>
                  </w:r>
                </w:p>
              </w:tc>
              <w:tc>
                <w:tcPr>
                  <w:tcW w:w="494" w:type="pct"/>
                  <w:tcBorders>
                    <w:tl2br w:val="nil"/>
                    <w:tr2bl w:val="nil"/>
                  </w:tcBorders>
                  <w:shd w:val="clear" w:color="auto" w:fill="auto"/>
                  <w:noWrap w:val="0"/>
                  <w:vAlign w:val="center"/>
                </w:tcPr>
                <w:p w14:paraId="33FA5EAC">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脱脂废液</w:t>
                  </w:r>
                </w:p>
              </w:tc>
              <w:tc>
                <w:tcPr>
                  <w:tcW w:w="270" w:type="pct"/>
                  <w:vMerge w:val="restart"/>
                  <w:tcBorders>
                    <w:tl2br w:val="nil"/>
                    <w:tr2bl w:val="nil"/>
                  </w:tcBorders>
                  <w:noWrap w:val="0"/>
                  <w:vAlign w:val="center"/>
                </w:tcPr>
                <w:p w14:paraId="0AEA1696">
                  <w:pPr>
                    <w:ind w:right="-76" w:rightChars="-36"/>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危险废物</w:t>
                  </w:r>
                </w:p>
              </w:tc>
              <w:tc>
                <w:tcPr>
                  <w:tcW w:w="613" w:type="pct"/>
                  <w:tcBorders>
                    <w:tl2br w:val="nil"/>
                    <w:tr2bl w:val="nil"/>
                  </w:tcBorders>
                  <w:shd w:val="clear" w:color="auto" w:fill="auto"/>
                  <w:noWrap w:val="0"/>
                  <w:vAlign w:val="center"/>
                </w:tcPr>
                <w:p w14:paraId="766C6DE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脱脂处理</w:t>
                  </w:r>
                </w:p>
              </w:tc>
              <w:tc>
                <w:tcPr>
                  <w:tcW w:w="270" w:type="pct"/>
                  <w:tcBorders>
                    <w:tl2br w:val="nil"/>
                    <w:tr2bl w:val="nil"/>
                  </w:tcBorders>
                  <w:shd w:val="clear" w:color="auto" w:fill="auto"/>
                  <w:noWrap w:val="0"/>
                  <w:vAlign w:val="center"/>
                </w:tcPr>
                <w:p w14:paraId="7E310901">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625" w:type="pct"/>
                  <w:tcBorders>
                    <w:tl2br w:val="nil"/>
                    <w:tr2bl w:val="nil"/>
                  </w:tcBorders>
                  <w:shd w:val="clear" w:color="auto" w:fill="auto"/>
                  <w:noWrap w:val="0"/>
                  <w:vAlign w:val="center"/>
                </w:tcPr>
                <w:p w14:paraId="6814CBB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水、脱脂剂</w:t>
                  </w:r>
                </w:p>
              </w:tc>
              <w:tc>
                <w:tcPr>
                  <w:tcW w:w="550" w:type="pct"/>
                  <w:tcBorders>
                    <w:tl2br w:val="nil"/>
                    <w:tr2bl w:val="nil"/>
                  </w:tcBorders>
                  <w:noWrap w:val="0"/>
                  <w:vAlign w:val="center"/>
                </w:tcPr>
                <w:p w14:paraId="1701D89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noWrap w:val="0"/>
                  <w:vAlign w:val="center"/>
                </w:tcPr>
                <w:p w14:paraId="4B28312E">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noWrap w:val="0"/>
                  <w:vAlign w:val="center"/>
                </w:tcPr>
                <w:p w14:paraId="57878E39">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5F4B265E">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21</w:t>
                  </w:r>
                </w:p>
              </w:tc>
            </w:tr>
            <w:tr w14:paraId="0BFA9E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7DF0BEDD">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9</w:t>
                  </w:r>
                </w:p>
              </w:tc>
              <w:tc>
                <w:tcPr>
                  <w:tcW w:w="494" w:type="pct"/>
                  <w:tcBorders>
                    <w:tl2br w:val="nil"/>
                    <w:tr2bl w:val="nil"/>
                  </w:tcBorders>
                  <w:shd w:val="clear" w:color="auto" w:fill="auto"/>
                  <w:noWrap w:val="0"/>
                  <w:vAlign w:val="center"/>
                </w:tcPr>
                <w:p w14:paraId="76C0CD2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酸洗废液</w:t>
                  </w:r>
                </w:p>
              </w:tc>
              <w:tc>
                <w:tcPr>
                  <w:tcW w:w="270" w:type="pct"/>
                  <w:vMerge w:val="continue"/>
                  <w:tcBorders>
                    <w:tl2br w:val="nil"/>
                    <w:tr2bl w:val="nil"/>
                  </w:tcBorders>
                  <w:noWrap w:val="0"/>
                  <w:vAlign w:val="center"/>
                </w:tcPr>
                <w:p w14:paraId="6CFC4243">
                  <w:pPr>
                    <w:ind w:right="-76" w:rightChars="-36"/>
                    <w:rPr>
                      <w:rFonts w:hint="default" w:ascii="Times New Roman" w:hAnsi="Times New Roman" w:eastAsia="仿宋" w:cs="Times New Roman"/>
                      <w:color w:val="auto"/>
                      <w:sz w:val="21"/>
                      <w:szCs w:val="21"/>
                      <w:highlight w:val="none"/>
                      <w:lang w:val="en-US" w:eastAsia="zh-CN"/>
                    </w:rPr>
                  </w:pPr>
                </w:p>
              </w:tc>
              <w:tc>
                <w:tcPr>
                  <w:tcW w:w="613" w:type="pct"/>
                  <w:tcBorders>
                    <w:tl2br w:val="nil"/>
                    <w:tr2bl w:val="nil"/>
                  </w:tcBorders>
                  <w:shd w:val="clear" w:color="auto" w:fill="auto"/>
                  <w:noWrap w:val="0"/>
                  <w:vAlign w:val="center"/>
                </w:tcPr>
                <w:p w14:paraId="0A5E5DB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酸洗处理</w:t>
                  </w:r>
                </w:p>
              </w:tc>
              <w:tc>
                <w:tcPr>
                  <w:tcW w:w="270" w:type="pct"/>
                  <w:tcBorders>
                    <w:tl2br w:val="nil"/>
                    <w:tr2bl w:val="nil"/>
                  </w:tcBorders>
                  <w:shd w:val="clear" w:color="auto" w:fill="auto"/>
                  <w:noWrap w:val="0"/>
                  <w:vAlign w:val="center"/>
                </w:tcPr>
                <w:p w14:paraId="73F9E882">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625" w:type="pct"/>
                  <w:tcBorders>
                    <w:tl2br w:val="nil"/>
                    <w:tr2bl w:val="nil"/>
                  </w:tcBorders>
                  <w:shd w:val="clear" w:color="auto" w:fill="auto"/>
                  <w:noWrap w:val="0"/>
                  <w:vAlign w:val="center"/>
                </w:tcPr>
                <w:p w14:paraId="640F0AA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水、硫酸、盐酸</w:t>
                  </w:r>
                </w:p>
              </w:tc>
              <w:tc>
                <w:tcPr>
                  <w:tcW w:w="550" w:type="pct"/>
                  <w:tcBorders>
                    <w:tl2br w:val="nil"/>
                    <w:tr2bl w:val="nil"/>
                  </w:tcBorders>
                  <w:shd w:val="clear" w:color="auto" w:fill="auto"/>
                  <w:noWrap w:val="0"/>
                  <w:vAlign w:val="center"/>
                </w:tcPr>
                <w:p w14:paraId="446136D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shd w:val="clear" w:color="auto" w:fill="auto"/>
                  <w:noWrap w:val="0"/>
                  <w:vAlign w:val="center"/>
                </w:tcPr>
                <w:p w14:paraId="5374C92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shd w:val="clear" w:color="auto" w:fill="auto"/>
                  <w:noWrap w:val="0"/>
                  <w:vAlign w:val="center"/>
                </w:tcPr>
                <w:p w14:paraId="0B3EB9BC">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17F6AFE3">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21</w:t>
                  </w:r>
                </w:p>
              </w:tc>
            </w:tr>
            <w:tr w14:paraId="0D7124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615A45B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10</w:t>
                  </w:r>
                </w:p>
              </w:tc>
              <w:tc>
                <w:tcPr>
                  <w:tcW w:w="494" w:type="pct"/>
                  <w:tcBorders>
                    <w:tl2br w:val="nil"/>
                    <w:tr2bl w:val="nil"/>
                  </w:tcBorders>
                  <w:shd w:val="clear" w:color="auto" w:fill="auto"/>
                  <w:noWrap w:val="0"/>
                  <w:vAlign w:val="center"/>
                </w:tcPr>
                <w:p w14:paraId="6D2FDB3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中和废液</w:t>
                  </w:r>
                </w:p>
              </w:tc>
              <w:tc>
                <w:tcPr>
                  <w:tcW w:w="270" w:type="pct"/>
                  <w:vMerge w:val="continue"/>
                  <w:tcBorders>
                    <w:tl2br w:val="nil"/>
                    <w:tr2bl w:val="nil"/>
                  </w:tcBorders>
                  <w:noWrap w:val="0"/>
                  <w:vAlign w:val="center"/>
                </w:tcPr>
                <w:p w14:paraId="6FF6FD43">
                  <w:pPr>
                    <w:ind w:right="-76" w:rightChars="-36"/>
                    <w:rPr>
                      <w:rFonts w:hint="default" w:ascii="Times New Roman" w:hAnsi="Times New Roman" w:eastAsia="仿宋" w:cs="Times New Roman"/>
                      <w:color w:val="auto"/>
                      <w:sz w:val="21"/>
                      <w:szCs w:val="21"/>
                      <w:highlight w:val="none"/>
                      <w:lang w:val="en-US" w:eastAsia="zh-CN"/>
                    </w:rPr>
                  </w:pPr>
                </w:p>
              </w:tc>
              <w:tc>
                <w:tcPr>
                  <w:tcW w:w="613" w:type="pct"/>
                  <w:tcBorders>
                    <w:tl2br w:val="nil"/>
                    <w:tr2bl w:val="nil"/>
                  </w:tcBorders>
                  <w:shd w:val="clear" w:color="auto" w:fill="auto"/>
                  <w:noWrap w:val="0"/>
                  <w:vAlign w:val="center"/>
                </w:tcPr>
                <w:p w14:paraId="5C850FF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中和处理</w:t>
                  </w:r>
                </w:p>
              </w:tc>
              <w:tc>
                <w:tcPr>
                  <w:tcW w:w="270" w:type="pct"/>
                  <w:tcBorders>
                    <w:tl2br w:val="nil"/>
                    <w:tr2bl w:val="nil"/>
                  </w:tcBorders>
                  <w:shd w:val="clear" w:color="auto" w:fill="auto"/>
                  <w:noWrap w:val="0"/>
                  <w:vAlign w:val="center"/>
                </w:tcPr>
                <w:p w14:paraId="02B3D7E2">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625" w:type="pct"/>
                  <w:tcBorders>
                    <w:tl2br w:val="nil"/>
                    <w:tr2bl w:val="nil"/>
                  </w:tcBorders>
                  <w:shd w:val="clear" w:color="auto" w:fill="auto"/>
                  <w:noWrap w:val="0"/>
                  <w:vAlign w:val="center"/>
                </w:tcPr>
                <w:p w14:paraId="1268A78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水、氢氧化钠</w:t>
                  </w:r>
                </w:p>
              </w:tc>
              <w:tc>
                <w:tcPr>
                  <w:tcW w:w="550" w:type="pct"/>
                  <w:tcBorders>
                    <w:tl2br w:val="nil"/>
                    <w:tr2bl w:val="nil"/>
                  </w:tcBorders>
                  <w:shd w:val="clear" w:color="auto" w:fill="auto"/>
                  <w:noWrap w:val="0"/>
                  <w:vAlign w:val="center"/>
                </w:tcPr>
                <w:p w14:paraId="45205B5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shd w:val="clear" w:color="auto" w:fill="auto"/>
                  <w:noWrap w:val="0"/>
                  <w:vAlign w:val="center"/>
                </w:tcPr>
                <w:p w14:paraId="2F7634A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shd w:val="clear" w:color="auto" w:fill="auto"/>
                  <w:noWrap w:val="0"/>
                  <w:vAlign w:val="center"/>
                </w:tcPr>
                <w:p w14:paraId="19FAB795">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12494D87">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8.24</w:t>
                  </w:r>
                </w:p>
              </w:tc>
            </w:tr>
            <w:tr w14:paraId="10CACA7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70" w:type="pct"/>
                  <w:tcBorders>
                    <w:tl2br w:val="nil"/>
                    <w:tr2bl w:val="nil"/>
                  </w:tcBorders>
                  <w:shd w:val="clear" w:color="auto" w:fill="auto"/>
                  <w:noWrap w:val="0"/>
                  <w:vAlign w:val="center"/>
                </w:tcPr>
                <w:p w14:paraId="02930F4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11</w:t>
                  </w:r>
                </w:p>
              </w:tc>
              <w:tc>
                <w:tcPr>
                  <w:tcW w:w="494" w:type="pct"/>
                  <w:tcBorders>
                    <w:tl2br w:val="nil"/>
                    <w:tr2bl w:val="nil"/>
                  </w:tcBorders>
                  <w:shd w:val="clear" w:color="auto" w:fill="auto"/>
                  <w:noWrap w:val="0"/>
                  <w:vAlign w:val="center"/>
                </w:tcPr>
                <w:p w14:paraId="1B68897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硅烷废液</w:t>
                  </w:r>
                </w:p>
              </w:tc>
              <w:tc>
                <w:tcPr>
                  <w:tcW w:w="270" w:type="pct"/>
                  <w:vMerge w:val="continue"/>
                  <w:tcBorders>
                    <w:tl2br w:val="nil"/>
                    <w:tr2bl w:val="nil"/>
                  </w:tcBorders>
                  <w:noWrap w:val="0"/>
                  <w:vAlign w:val="center"/>
                </w:tcPr>
                <w:p w14:paraId="087B5C43">
                  <w:pPr>
                    <w:ind w:right="-76" w:rightChars="-36"/>
                    <w:rPr>
                      <w:rFonts w:hint="default" w:ascii="Times New Roman" w:hAnsi="Times New Roman" w:eastAsia="仿宋" w:cs="Times New Roman"/>
                      <w:color w:val="auto"/>
                      <w:sz w:val="21"/>
                      <w:szCs w:val="21"/>
                      <w:highlight w:val="none"/>
                      <w:lang w:val="en-US" w:eastAsia="zh-CN"/>
                    </w:rPr>
                  </w:pPr>
                </w:p>
              </w:tc>
              <w:tc>
                <w:tcPr>
                  <w:tcW w:w="613" w:type="pct"/>
                  <w:tcBorders>
                    <w:tl2br w:val="nil"/>
                    <w:tr2bl w:val="nil"/>
                  </w:tcBorders>
                  <w:shd w:val="clear" w:color="auto" w:fill="auto"/>
                  <w:noWrap w:val="0"/>
                  <w:vAlign w:val="center"/>
                </w:tcPr>
                <w:p w14:paraId="2CAD11E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硅烷处理</w:t>
                  </w:r>
                </w:p>
              </w:tc>
              <w:tc>
                <w:tcPr>
                  <w:tcW w:w="270" w:type="pct"/>
                  <w:tcBorders>
                    <w:tl2br w:val="nil"/>
                    <w:tr2bl w:val="nil"/>
                  </w:tcBorders>
                  <w:shd w:val="clear" w:color="auto" w:fill="auto"/>
                  <w:noWrap w:val="0"/>
                  <w:vAlign w:val="center"/>
                </w:tcPr>
                <w:p w14:paraId="6C4234EC">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625" w:type="pct"/>
                  <w:tcBorders>
                    <w:tl2br w:val="nil"/>
                    <w:tr2bl w:val="nil"/>
                  </w:tcBorders>
                  <w:shd w:val="clear" w:color="auto" w:fill="auto"/>
                  <w:noWrap w:val="0"/>
                  <w:vAlign w:val="center"/>
                </w:tcPr>
                <w:p w14:paraId="2FFC220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水、硅烷剂</w:t>
                  </w:r>
                </w:p>
              </w:tc>
              <w:tc>
                <w:tcPr>
                  <w:tcW w:w="550" w:type="pct"/>
                  <w:tcBorders>
                    <w:tl2br w:val="nil"/>
                    <w:tr2bl w:val="nil"/>
                  </w:tcBorders>
                  <w:shd w:val="clear" w:color="auto" w:fill="auto"/>
                  <w:noWrap w:val="0"/>
                  <w:vAlign w:val="center"/>
                </w:tcPr>
                <w:p w14:paraId="43799B7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shd w:val="clear" w:color="auto" w:fill="auto"/>
                  <w:noWrap w:val="0"/>
                  <w:vAlign w:val="center"/>
                </w:tcPr>
                <w:p w14:paraId="46140CA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shd w:val="clear" w:color="auto" w:fill="auto"/>
                  <w:noWrap w:val="0"/>
                  <w:vAlign w:val="center"/>
                </w:tcPr>
                <w:p w14:paraId="09A01387">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7962A05F">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14</w:t>
                  </w:r>
                </w:p>
              </w:tc>
            </w:tr>
            <w:tr w14:paraId="2DE47FF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70" w:type="pct"/>
                  <w:tcBorders>
                    <w:tl2br w:val="nil"/>
                    <w:tr2bl w:val="nil"/>
                  </w:tcBorders>
                  <w:shd w:val="clear" w:color="auto" w:fill="auto"/>
                  <w:noWrap w:val="0"/>
                  <w:vAlign w:val="center"/>
                </w:tcPr>
                <w:p w14:paraId="0857743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12</w:t>
                  </w:r>
                </w:p>
              </w:tc>
              <w:tc>
                <w:tcPr>
                  <w:tcW w:w="494" w:type="pct"/>
                  <w:tcBorders>
                    <w:tl2br w:val="nil"/>
                    <w:tr2bl w:val="nil"/>
                  </w:tcBorders>
                  <w:shd w:val="clear" w:color="auto" w:fill="auto"/>
                  <w:noWrap w:val="0"/>
                  <w:vAlign w:val="center"/>
                </w:tcPr>
                <w:p w14:paraId="380C67BA">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废超滤膜</w:t>
                  </w:r>
                </w:p>
              </w:tc>
              <w:tc>
                <w:tcPr>
                  <w:tcW w:w="270" w:type="pct"/>
                  <w:vMerge w:val="continue"/>
                  <w:tcBorders>
                    <w:tl2br w:val="nil"/>
                    <w:tr2bl w:val="nil"/>
                  </w:tcBorders>
                  <w:noWrap w:val="0"/>
                  <w:vAlign w:val="center"/>
                </w:tcPr>
                <w:p w14:paraId="24405078">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34EEEFDD">
                  <w:pPr>
                    <w:pStyle w:val="40"/>
                    <w:adjustRightInd w:val="0"/>
                    <w:snapToGrid w:val="0"/>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SA"/>
                    </w:rPr>
                    <w:t>超滤装置</w:t>
                  </w:r>
                </w:p>
              </w:tc>
              <w:tc>
                <w:tcPr>
                  <w:tcW w:w="270" w:type="pct"/>
                  <w:tcBorders>
                    <w:tl2br w:val="nil"/>
                    <w:tr2bl w:val="nil"/>
                  </w:tcBorders>
                  <w:shd w:val="clear" w:color="auto" w:fill="auto"/>
                  <w:noWrap w:val="0"/>
                  <w:vAlign w:val="center"/>
                </w:tcPr>
                <w:p w14:paraId="0F8E2076">
                  <w:pPr>
                    <w:spacing w:line="240" w:lineRule="exact"/>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eastAsia" w:eastAsia="仿宋" w:cs="Times New Roman"/>
                      <w:b w:val="0"/>
                      <w:bCs w:val="0"/>
                      <w:color w:val="auto"/>
                      <w:kern w:val="0"/>
                      <w:sz w:val="21"/>
                      <w:szCs w:val="21"/>
                      <w:highlight w:val="none"/>
                      <w:lang w:val="en-US" w:eastAsia="zh-CN" w:bidi="ar-SA"/>
                    </w:rPr>
                    <w:t>固态</w:t>
                  </w:r>
                </w:p>
              </w:tc>
              <w:tc>
                <w:tcPr>
                  <w:tcW w:w="625" w:type="pct"/>
                  <w:tcBorders>
                    <w:tl2br w:val="nil"/>
                    <w:tr2bl w:val="nil"/>
                  </w:tcBorders>
                  <w:shd w:val="clear" w:color="auto" w:fill="auto"/>
                  <w:noWrap w:val="0"/>
                  <w:vAlign w:val="center"/>
                </w:tcPr>
                <w:p w14:paraId="552CE42A">
                  <w:pPr>
                    <w:pStyle w:val="40"/>
                    <w:adjustRightInd w:val="0"/>
                    <w:snapToGrid w:val="0"/>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SA"/>
                    </w:rPr>
                    <w:t>超滤膜</w:t>
                  </w:r>
                </w:p>
              </w:tc>
              <w:tc>
                <w:tcPr>
                  <w:tcW w:w="550" w:type="pct"/>
                  <w:tcBorders>
                    <w:tl2br w:val="nil"/>
                    <w:tr2bl w:val="nil"/>
                  </w:tcBorders>
                  <w:noWrap w:val="0"/>
                  <w:vAlign w:val="center"/>
                </w:tcPr>
                <w:p w14:paraId="298448A3">
                  <w:pPr>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481D45B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260A923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1A44D23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0.005</w:t>
                  </w:r>
                </w:p>
              </w:tc>
            </w:tr>
            <w:tr w14:paraId="1BEF8F2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44CBB258">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13</w:t>
                  </w:r>
                </w:p>
              </w:tc>
              <w:tc>
                <w:tcPr>
                  <w:tcW w:w="494" w:type="pct"/>
                  <w:tcBorders>
                    <w:tl2br w:val="nil"/>
                    <w:tr2bl w:val="nil"/>
                  </w:tcBorders>
                  <w:shd w:val="clear" w:color="auto" w:fill="auto"/>
                  <w:noWrap w:val="0"/>
                  <w:vAlign w:val="center"/>
                </w:tcPr>
                <w:p w14:paraId="362A5DE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槽渣</w:t>
                  </w:r>
                </w:p>
              </w:tc>
              <w:tc>
                <w:tcPr>
                  <w:tcW w:w="270" w:type="pct"/>
                  <w:vMerge w:val="continue"/>
                  <w:tcBorders>
                    <w:tl2br w:val="nil"/>
                    <w:tr2bl w:val="nil"/>
                  </w:tcBorders>
                  <w:noWrap w:val="0"/>
                  <w:vAlign w:val="center"/>
                </w:tcPr>
                <w:p w14:paraId="2E350D8E">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237247A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电泳</w:t>
                  </w:r>
                </w:p>
              </w:tc>
              <w:tc>
                <w:tcPr>
                  <w:tcW w:w="270" w:type="pct"/>
                  <w:tcBorders>
                    <w:tl2br w:val="nil"/>
                    <w:tr2bl w:val="nil"/>
                  </w:tcBorders>
                  <w:shd w:val="clear" w:color="auto" w:fill="auto"/>
                  <w:noWrap w:val="0"/>
                  <w:vAlign w:val="center"/>
                </w:tcPr>
                <w:p w14:paraId="16B5777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665133D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电泳漆</w:t>
                  </w:r>
                </w:p>
              </w:tc>
              <w:tc>
                <w:tcPr>
                  <w:tcW w:w="550" w:type="pct"/>
                  <w:tcBorders>
                    <w:tl2br w:val="nil"/>
                    <w:tr2bl w:val="nil"/>
                  </w:tcBorders>
                  <w:noWrap w:val="0"/>
                  <w:vAlign w:val="center"/>
                </w:tcPr>
                <w:p w14:paraId="64F2344E">
                  <w:pPr>
                    <w:spacing w:line="300" w:lineRule="exact"/>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T，I</w:t>
                  </w:r>
                </w:p>
              </w:tc>
              <w:tc>
                <w:tcPr>
                  <w:tcW w:w="491" w:type="pct"/>
                  <w:tcBorders>
                    <w:tl2br w:val="nil"/>
                    <w:tr2bl w:val="nil"/>
                  </w:tcBorders>
                  <w:shd w:val="clear" w:color="auto" w:fill="auto"/>
                  <w:noWrap w:val="0"/>
                  <w:vAlign w:val="center"/>
                </w:tcPr>
                <w:p w14:paraId="6160F14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12</w:t>
                  </w:r>
                </w:p>
              </w:tc>
              <w:tc>
                <w:tcPr>
                  <w:tcW w:w="830" w:type="pct"/>
                  <w:tcBorders>
                    <w:tl2br w:val="nil"/>
                    <w:tr2bl w:val="nil"/>
                  </w:tcBorders>
                  <w:shd w:val="clear" w:color="auto" w:fill="auto"/>
                  <w:noWrap w:val="0"/>
                  <w:vAlign w:val="center"/>
                </w:tcPr>
                <w:p w14:paraId="55371F1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w:t>
                  </w:r>
                  <w:r>
                    <w:rPr>
                      <w:rFonts w:hint="eastAsia" w:eastAsia="仿宋" w:cs="Times New Roman"/>
                      <w:color w:val="auto"/>
                      <w:sz w:val="21"/>
                      <w:szCs w:val="21"/>
                      <w:highlight w:val="none"/>
                      <w:lang w:val="en-US" w:eastAsia="zh-CN"/>
                    </w:rPr>
                    <w:t>252</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12</w:t>
                  </w:r>
                </w:p>
              </w:tc>
              <w:tc>
                <w:tcPr>
                  <w:tcW w:w="584" w:type="pct"/>
                  <w:tcBorders>
                    <w:tl2br w:val="nil"/>
                    <w:tr2bl w:val="nil"/>
                  </w:tcBorders>
                  <w:shd w:val="clear" w:color="auto" w:fill="auto"/>
                  <w:noWrap w:val="0"/>
                  <w:vAlign w:val="center"/>
                </w:tcPr>
                <w:p w14:paraId="029EDAAA">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11138</w:t>
                  </w:r>
                </w:p>
              </w:tc>
            </w:tr>
            <w:tr w14:paraId="5CC7654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75BE6CB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14</w:t>
                  </w:r>
                </w:p>
              </w:tc>
              <w:tc>
                <w:tcPr>
                  <w:tcW w:w="494" w:type="pct"/>
                  <w:tcBorders>
                    <w:tl2br w:val="nil"/>
                    <w:tr2bl w:val="nil"/>
                  </w:tcBorders>
                  <w:shd w:val="clear" w:color="auto" w:fill="auto"/>
                  <w:noWrap w:val="0"/>
                  <w:vAlign w:val="center"/>
                </w:tcPr>
                <w:p w14:paraId="516226D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表调废液</w:t>
                  </w:r>
                </w:p>
              </w:tc>
              <w:tc>
                <w:tcPr>
                  <w:tcW w:w="270" w:type="pct"/>
                  <w:vMerge w:val="continue"/>
                  <w:tcBorders>
                    <w:tl2br w:val="nil"/>
                    <w:tr2bl w:val="nil"/>
                  </w:tcBorders>
                  <w:noWrap w:val="0"/>
                  <w:vAlign w:val="center"/>
                </w:tcPr>
                <w:p w14:paraId="06F95706">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4ABF241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表调处理</w:t>
                  </w:r>
                </w:p>
              </w:tc>
              <w:tc>
                <w:tcPr>
                  <w:tcW w:w="270" w:type="pct"/>
                  <w:tcBorders>
                    <w:tl2br w:val="nil"/>
                    <w:tr2bl w:val="nil"/>
                  </w:tcBorders>
                  <w:shd w:val="clear" w:color="auto" w:fill="auto"/>
                  <w:noWrap w:val="0"/>
                  <w:vAlign w:val="center"/>
                </w:tcPr>
                <w:p w14:paraId="10EC1422">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625" w:type="pct"/>
                  <w:tcBorders>
                    <w:tl2br w:val="nil"/>
                    <w:tr2bl w:val="nil"/>
                  </w:tcBorders>
                  <w:shd w:val="clear" w:color="auto" w:fill="auto"/>
                  <w:noWrap w:val="0"/>
                  <w:vAlign w:val="center"/>
                </w:tcPr>
                <w:p w14:paraId="61439B5B">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水、表调剂</w:t>
                  </w:r>
                </w:p>
              </w:tc>
              <w:tc>
                <w:tcPr>
                  <w:tcW w:w="550" w:type="pct"/>
                  <w:tcBorders>
                    <w:tl2br w:val="nil"/>
                    <w:tr2bl w:val="nil"/>
                  </w:tcBorders>
                  <w:shd w:val="clear" w:color="auto" w:fill="auto"/>
                  <w:noWrap w:val="0"/>
                  <w:vAlign w:val="center"/>
                </w:tcPr>
                <w:p w14:paraId="0EA52DA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shd w:val="clear" w:color="auto" w:fill="auto"/>
                  <w:noWrap w:val="0"/>
                  <w:vAlign w:val="center"/>
                </w:tcPr>
                <w:p w14:paraId="60BF239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shd w:val="clear" w:color="auto" w:fill="auto"/>
                  <w:noWrap w:val="0"/>
                  <w:vAlign w:val="center"/>
                </w:tcPr>
                <w:p w14:paraId="060E9B1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38D64FD0">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5.76</w:t>
                  </w:r>
                </w:p>
              </w:tc>
            </w:tr>
            <w:tr w14:paraId="0088A33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7A900B84">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r>
                    <w:rPr>
                      <w:rFonts w:hint="eastAsia" w:ascii="Times New Roman" w:hAnsi="Times New Roman" w:eastAsia="仿宋" w:cs="Times New Roman"/>
                      <w:color w:val="auto"/>
                      <w:kern w:val="2"/>
                      <w:sz w:val="21"/>
                      <w:szCs w:val="21"/>
                      <w:highlight w:val="none"/>
                      <w:lang w:val="en-US" w:eastAsia="zh-CN" w:bidi="ar-SA"/>
                    </w:rPr>
                    <w:t>5</w:t>
                  </w:r>
                </w:p>
              </w:tc>
              <w:tc>
                <w:tcPr>
                  <w:tcW w:w="494" w:type="pct"/>
                  <w:tcBorders>
                    <w:tl2br w:val="nil"/>
                    <w:tr2bl w:val="nil"/>
                  </w:tcBorders>
                  <w:shd w:val="clear" w:color="auto" w:fill="auto"/>
                  <w:noWrap w:val="0"/>
                  <w:vAlign w:val="center"/>
                </w:tcPr>
                <w:p w14:paraId="1E8659EF">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废包装容器</w:t>
                  </w:r>
                </w:p>
              </w:tc>
              <w:tc>
                <w:tcPr>
                  <w:tcW w:w="270" w:type="pct"/>
                  <w:vMerge w:val="continue"/>
                  <w:tcBorders>
                    <w:tl2br w:val="nil"/>
                    <w:tr2bl w:val="nil"/>
                  </w:tcBorders>
                  <w:noWrap w:val="0"/>
                  <w:vAlign w:val="center"/>
                </w:tcPr>
                <w:p w14:paraId="5D72B691">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39084E55">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拆包</w:t>
                  </w:r>
                </w:p>
              </w:tc>
              <w:tc>
                <w:tcPr>
                  <w:tcW w:w="270" w:type="pct"/>
                  <w:tcBorders>
                    <w:tl2br w:val="nil"/>
                    <w:tr2bl w:val="nil"/>
                  </w:tcBorders>
                  <w:shd w:val="clear" w:color="auto" w:fill="auto"/>
                  <w:noWrap w:val="0"/>
                  <w:vAlign w:val="center"/>
                </w:tcPr>
                <w:p w14:paraId="28BAA4D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193C908C">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表调剂、硅烷剂等包装</w:t>
                  </w:r>
                </w:p>
              </w:tc>
              <w:tc>
                <w:tcPr>
                  <w:tcW w:w="550" w:type="pct"/>
                  <w:tcBorders>
                    <w:tl2br w:val="nil"/>
                    <w:tr2bl w:val="nil"/>
                  </w:tcBorders>
                  <w:shd w:val="clear" w:color="auto" w:fill="auto"/>
                  <w:noWrap w:val="0"/>
                  <w:vAlign w:val="center"/>
                </w:tcPr>
                <w:p w14:paraId="17B53E22">
                  <w:pPr>
                    <w:spacing w:line="30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0368DC8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01A4C815">
                  <w:pPr>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542C6525">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3.</w:t>
                  </w:r>
                  <w:r>
                    <w:rPr>
                      <w:rFonts w:hint="eastAsia" w:eastAsia="仿宋" w:cs="Times New Roman"/>
                      <w:color w:val="auto"/>
                      <w:sz w:val="21"/>
                      <w:szCs w:val="21"/>
                      <w:highlight w:val="none"/>
                      <w:lang w:val="en-US" w:eastAsia="zh-CN"/>
                    </w:rPr>
                    <w:t>22</w:t>
                  </w:r>
                </w:p>
              </w:tc>
            </w:tr>
            <w:tr w14:paraId="4B843E4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3C6ADFD3">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16</w:t>
                  </w:r>
                </w:p>
              </w:tc>
              <w:tc>
                <w:tcPr>
                  <w:tcW w:w="494" w:type="pct"/>
                  <w:tcBorders>
                    <w:tl2br w:val="nil"/>
                    <w:tr2bl w:val="nil"/>
                  </w:tcBorders>
                  <w:shd w:val="clear" w:color="auto" w:fill="auto"/>
                  <w:noWrap w:val="0"/>
                  <w:vAlign w:val="center"/>
                </w:tcPr>
                <w:p w14:paraId="65EAACFB">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润滑油</w:t>
                  </w:r>
                </w:p>
              </w:tc>
              <w:tc>
                <w:tcPr>
                  <w:tcW w:w="270" w:type="pct"/>
                  <w:vMerge w:val="continue"/>
                  <w:tcBorders>
                    <w:tl2br w:val="nil"/>
                    <w:tr2bl w:val="nil"/>
                  </w:tcBorders>
                  <w:noWrap w:val="0"/>
                  <w:vAlign w:val="center"/>
                </w:tcPr>
                <w:p w14:paraId="640DD420">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644D2323">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设备维护</w:t>
                  </w:r>
                </w:p>
              </w:tc>
              <w:tc>
                <w:tcPr>
                  <w:tcW w:w="270" w:type="pct"/>
                  <w:tcBorders>
                    <w:tl2br w:val="nil"/>
                    <w:tr2bl w:val="nil"/>
                  </w:tcBorders>
                  <w:shd w:val="clear" w:color="auto" w:fill="auto"/>
                  <w:noWrap w:val="0"/>
                  <w:vAlign w:val="center"/>
                </w:tcPr>
                <w:p w14:paraId="1E3F2D1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液态</w:t>
                  </w:r>
                </w:p>
              </w:tc>
              <w:tc>
                <w:tcPr>
                  <w:tcW w:w="625" w:type="pct"/>
                  <w:tcBorders>
                    <w:tl2br w:val="nil"/>
                    <w:tr2bl w:val="nil"/>
                  </w:tcBorders>
                  <w:shd w:val="clear" w:color="auto" w:fill="auto"/>
                  <w:noWrap w:val="0"/>
                  <w:vAlign w:val="center"/>
                </w:tcPr>
                <w:p w14:paraId="7535D5F2">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润滑油</w:t>
                  </w:r>
                </w:p>
              </w:tc>
              <w:tc>
                <w:tcPr>
                  <w:tcW w:w="550" w:type="pct"/>
                  <w:tcBorders>
                    <w:tl2br w:val="nil"/>
                    <w:tr2bl w:val="nil"/>
                  </w:tcBorders>
                  <w:noWrap w:val="0"/>
                  <w:vAlign w:val="center"/>
                </w:tcPr>
                <w:p w14:paraId="1E063545">
                  <w:pPr>
                    <w:spacing w:line="30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T，I</w:t>
                  </w:r>
                </w:p>
              </w:tc>
              <w:tc>
                <w:tcPr>
                  <w:tcW w:w="491" w:type="pct"/>
                  <w:tcBorders>
                    <w:tl2br w:val="nil"/>
                    <w:tr2bl w:val="nil"/>
                  </w:tcBorders>
                  <w:shd w:val="clear" w:color="auto" w:fill="auto"/>
                  <w:noWrap w:val="0"/>
                  <w:vAlign w:val="center"/>
                </w:tcPr>
                <w:p w14:paraId="6B27A24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HW08</w:t>
                  </w:r>
                </w:p>
              </w:tc>
              <w:tc>
                <w:tcPr>
                  <w:tcW w:w="830" w:type="pct"/>
                  <w:tcBorders>
                    <w:tl2br w:val="nil"/>
                    <w:tr2bl w:val="nil"/>
                  </w:tcBorders>
                  <w:shd w:val="clear" w:color="auto" w:fill="auto"/>
                  <w:noWrap w:val="0"/>
                  <w:vAlign w:val="center"/>
                </w:tcPr>
                <w:p w14:paraId="0648789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900-2</w:t>
                  </w:r>
                  <w:r>
                    <w:rPr>
                      <w:rFonts w:hint="eastAsia" w:eastAsia="仿宋" w:cs="Times New Roman"/>
                      <w:color w:val="auto"/>
                      <w:sz w:val="21"/>
                      <w:szCs w:val="21"/>
                      <w:highlight w:val="none"/>
                      <w:lang w:val="en-US" w:eastAsia="zh-CN"/>
                    </w:rPr>
                    <w:t>14</w:t>
                  </w:r>
                  <w:r>
                    <w:rPr>
                      <w:rFonts w:hint="default" w:ascii="Times New Roman" w:hAnsi="Times New Roman" w:eastAsia="仿宋" w:cs="Times New Roman"/>
                      <w:color w:val="auto"/>
                      <w:sz w:val="21"/>
                      <w:szCs w:val="21"/>
                      <w:highlight w:val="none"/>
                      <w:lang w:val="en-US" w:eastAsia="zh-CN"/>
                    </w:rPr>
                    <w:t>-08</w:t>
                  </w:r>
                </w:p>
              </w:tc>
              <w:tc>
                <w:tcPr>
                  <w:tcW w:w="584" w:type="pct"/>
                  <w:tcBorders>
                    <w:tl2br w:val="nil"/>
                    <w:tr2bl w:val="nil"/>
                  </w:tcBorders>
                  <w:shd w:val="clear" w:color="auto" w:fill="auto"/>
                  <w:noWrap w:val="0"/>
                  <w:vAlign w:val="center"/>
                </w:tcPr>
                <w:p w14:paraId="3BE15F56">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w:t>
                  </w:r>
                </w:p>
              </w:tc>
            </w:tr>
            <w:tr w14:paraId="3067F1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5C253F7E">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r>
                    <w:rPr>
                      <w:rFonts w:hint="eastAsia" w:ascii="Times New Roman" w:hAnsi="Times New Roman" w:eastAsia="仿宋" w:cs="Times New Roman"/>
                      <w:color w:val="auto"/>
                      <w:kern w:val="2"/>
                      <w:sz w:val="21"/>
                      <w:szCs w:val="21"/>
                      <w:highlight w:val="none"/>
                      <w:lang w:val="en-US" w:eastAsia="zh-CN" w:bidi="ar-SA"/>
                    </w:rPr>
                    <w:t>7</w:t>
                  </w:r>
                </w:p>
              </w:tc>
              <w:tc>
                <w:tcPr>
                  <w:tcW w:w="494" w:type="pct"/>
                  <w:tcBorders>
                    <w:tl2br w:val="nil"/>
                    <w:tr2bl w:val="nil"/>
                  </w:tcBorders>
                  <w:shd w:val="clear" w:color="auto" w:fill="auto"/>
                  <w:noWrap w:val="0"/>
                  <w:vAlign w:val="center"/>
                </w:tcPr>
                <w:p w14:paraId="22616436">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含油抹布</w:t>
                  </w:r>
                </w:p>
              </w:tc>
              <w:tc>
                <w:tcPr>
                  <w:tcW w:w="270" w:type="pct"/>
                  <w:vMerge w:val="continue"/>
                  <w:tcBorders>
                    <w:tl2br w:val="nil"/>
                    <w:tr2bl w:val="nil"/>
                  </w:tcBorders>
                  <w:noWrap w:val="0"/>
                  <w:vAlign w:val="center"/>
                </w:tcPr>
                <w:p w14:paraId="09A13911">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44B0721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擦拭</w:t>
                  </w:r>
                </w:p>
              </w:tc>
              <w:tc>
                <w:tcPr>
                  <w:tcW w:w="270" w:type="pct"/>
                  <w:tcBorders>
                    <w:tl2br w:val="nil"/>
                    <w:tr2bl w:val="nil"/>
                  </w:tcBorders>
                  <w:shd w:val="clear" w:color="auto" w:fill="auto"/>
                  <w:noWrap w:val="0"/>
                  <w:vAlign w:val="center"/>
                </w:tcPr>
                <w:p w14:paraId="446D168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43BDEA60">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导轨油、抹布</w:t>
                  </w:r>
                </w:p>
              </w:tc>
              <w:tc>
                <w:tcPr>
                  <w:tcW w:w="550" w:type="pct"/>
                  <w:tcBorders>
                    <w:tl2br w:val="nil"/>
                    <w:tr2bl w:val="nil"/>
                  </w:tcBorders>
                  <w:shd w:val="clear" w:color="auto" w:fill="auto"/>
                  <w:noWrap w:val="0"/>
                  <w:vAlign w:val="center"/>
                </w:tcPr>
                <w:p w14:paraId="0160FCF4">
                  <w:pPr>
                    <w:spacing w:line="30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3E9DBD8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7FC55DF9">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09886C8A">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0.02</w:t>
                  </w:r>
                </w:p>
              </w:tc>
            </w:tr>
            <w:tr w14:paraId="0DF7E8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491B2D7B">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r>
                    <w:rPr>
                      <w:rFonts w:hint="eastAsia" w:ascii="Times New Roman" w:hAnsi="Times New Roman" w:eastAsia="仿宋" w:cs="Times New Roman"/>
                      <w:color w:val="auto"/>
                      <w:kern w:val="2"/>
                      <w:sz w:val="21"/>
                      <w:szCs w:val="21"/>
                      <w:highlight w:val="none"/>
                      <w:lang w:val="en-US" w:eastAsia="zh-CN" w:bidi="ar-SA"/>
                    </w:rPr>
                    <w:t>8</w:t>
                  </w:r>
                </w:p>
              </w:tc>
              <w:tc>
                <w:tcPr>
                  <w:tcW w:w="494" w:type="pct"/>
                  <w:tcBorders>
                    <w:tl2br w:val="nil"/>
                    <w:tr2bl w:val="nil"/>
                  </w:tcBorders>
                  <w:shd w:val="clear" w:color="auto" w:fill="auto"/>
                  <w:noWrap w:val="0"/>
                  <w:vAlign w:val="center"/>
                </w:tcPr>
                <w:p w14:paraId="70ECD57F">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废油桶</w:t>
                  </w:r>
                </w:p>
              </w:tc>
              <w:tc>
                <w:tcPr>
                  <w:tcW w:w="270" w:type="pct"/>
                  <w:vMerge w:val="continue"/>
                  <w:tcBorders>
                    <w:tl2br w:val="nil"/>
                    <w:tr2bl w:val="nil"/>
                  </w:tcBorders>
                  <w:noWrap w:val="0"/>
                  <w:vAlign w:val="center"/>
                </w:tcPr>
                <w:p w14:paraId="7B9679E2">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759355FB">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设备维护</w:t>
                  </w:r>
                </w:p>
              </w:tc>
              <w:tc>
                <w:tcPr>
                  <w:tcW w:w="270" w:type="pct"/>
                  <w:tcBorders>
                    <w:tl2br w:val="nil"/>
                    <w:tr2bl w:val="nil"/>
                  </w:tcBorders>
                  <w:shd w:val="clear" w:color="auto" w:fill="auto"/>
                  <w:noWrap w:val="0"/>
                  <w:vAlign w:val="center"/>
                </w:tcPr>
                <w:p w14:paraId="186E743A">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22FB6877">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导轨油、包装桶</w:t>
                  </w:r>
                </w:p>
              </w:tc>
              <w:tc>
                <w:tcPr>
                  <w:tcW w:w="550" w:type="pct"/>
                  <w:tcBorders>
                    <w:tl2br w:val="nil"/>
                    <w:tr2bl w:val="nil"/>
                  </w:tcBorders>
                  <w:noWrap w:val="0"/>
                  <w:vAlign w:val="center"/>
                </w:tcPr>
                <w:p w14:paraId="347A2A20">
                  <w:pPr>
                    <w:spacing w:line="30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T，I</w:t>
                  </w:r>
                </w:p>
              </w:tc>
              <w:tc>
                <w:tcPr>
                  <w:tcW w:w="491" w:type="pct"/>
                  <w:tcBorders>
                    <w:tl2br w:val="nil"/>
                    <w:tr2bl w:val="nil"/>
                  </w:tcBorders>
                  <w:shd w:val="clear" w:color="auto" w:fill="auto"/>
                  <w:noWrap w:val="0"/>
                  <w:vAlign w:val="center"/>
                </w:tcPr>
                <w:p w14:paraId="7D30103B">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HW08</w:t>
                  </w:r>
                </w:p>
              </w:tc>
              <w:tc>
                <w:tcPr>
                  <w:tcW w:w="830" w:type="pct"/>
                  <w:tcBorders>
                    <w:tl2br w:val="nil"/>
                    <w:tr2bl w:val="nil"/>
                  </w:tcBorders>
                  <w:shd w:val="clear" w:color="auto" w:fill="auto"/>
                  <w:noWrap w:val="0"/>
                  <w:vAlign w:val="center"/>
                </w:tcPr>
                <w:p w14:paraId="5988D93C">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900-249-08</w:t>
                  </w:r>
                </w:p>
              </w:tc>
              <w:tc>
                <w:tcPr>
                  <w:tcW w:w="584" w:type="pct"/>
                  <w:tcBorders>
                    <w:tl2br w:val="nil"/>
                    <w:tr2bl w:val="nil"/>
                  </w:tcBorders>
                  <w:shd w:val="clear" w:color="auto" w:fill="auto"/>
                  <w:noWrap w:val="0"/>
                  <w:vAlign w:val="center"/>
                </w:tcPr>
                <w:p w14:paraId="78709DD8">
                  <w:pPr>
                    <w:spacing w:line="24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w:t>
                  </w:r>
                </w:p>
              </w:tc>
            </w:tr>
            <w:tr w14:paraId="42D32E6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4C423F9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w:t>
                  </w:r>
                  <w:r>
                    <w:rPr>
                      <w:rFonts w:hint="eastAsia" w:ascii="Times New Roman" w:hAnsi="Times New Roman" w:eastAsia="仿宋" w:cs="Times New Roman"/>
                      <w:color w:val="auto"/>
                      <w:kern w:val="2"/>
                      <w:sz w:val="21"/>
                      <w:szCs w:val="21"/>
                      <w:highlight w:val="none"/>
                      <w:lang w:val="en-US" w:eastAsia="zh-CN" w:bidi="ar-SA"/>
                    </w:rPr>
                    <w:t>9</w:t>
                  </w:r>
                </w:p>
              </w:tc>
              <w:tc>
                <w:tcPr>
                  <w:tcW w:w="494" w:type="pct"/>
                  <w:tcBorders>
                    <w:tl2br w:val="nil"/>
                    <w:tr2bl w:val="nil"/>
                  </w:tcBorders>
                  <w:shd w:val="clear" w:color="auto" w:fill="auto"/>
                  <w:noWrap w:val="0"/>
                  <w:vAlign w:val="center"/>
                </w:tcPr>
                <w:p w14:paraId="695EA33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废活性炭</w:t>
                  </w:r>
                </w:p>
              </w:tc>
              <w:tc>
                <w:tcPr>
                  <w:tcW w:w="270" w:type="pct"/>
                  <w:vMerge w:val="continue"/>
                  <w:tcBorders>
                    <w:tl2br w:val="nil"/>
                    <w:tr2bl w:val="nil"/>
                  </w:tcBorders>
                  <w:noWrap w:val="0"/>
                  <w:vAlign w:val="center"/>
                </w:tcPr>
                <w:p w14:paraId="0EE2297D">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721F166F">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废气处理</w:t>
                  </w:r>
                </w:p>
              </w:tc>
              <w:tc>
                <w:tcPr>
                  <w:tcW w:w="270" w:type="pct"/>
                  <w:tcBorders>
                    <w:tl2br w:val="nil"/>
                    <w:tr2bl w:val="nil"/>
                  </w:tcBorders>
                  <w:shd w:val="clear" w:color="auto" w:fill="auto"/>
                  <w:noWrap w:val="0"/>
                  <w:vAlign w:val="center"/>
                </w:tcPr>
                <w:p w14:paraId="7DAD3D3D">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39C80E37">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活性炭、非甲烷总烃</w:t>
                  </w:r>
                </w:p>
              </w:tc>
              <w:tc>
                <w:tcPr>
                  <w:tcW w:w="550" w:type="pct"/>
                  <w:tcBorders>
                    <w:tl2br w:val="nil"/>
                    <w:tr2bl w:val="nil"/>
                  </w:tcBorders>
                  <w:noWrap w:val="0"/>
                  <w:vAlign w:val="center"/>
                </w:tcPr>
                <w:p w14:paraId="75A80274">
                  <w:pPr>
                    <w:spacing w:line="30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w:t>
                  </w:r>
                </w:p>
              </w:tc>
              <w:tc>
                <w:tcPr>
                  <w:tcW w:w="491" w:type="pct"/>
                  <w:tcBorders>
                    <w:tl2br w:val="nil"/>
                    <w:tr2bl w:val="nil"/>
                  </w:tcBorders>
                  <w:shd w:val="clear" w:color="auto" w:fill="auto"/>
                  <w:noWrap w:val="0"/>
                  <w:vAlign w:val="center"/>
                </w:tcPr>
                <w:p w14:paraId="3644A65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6B2CE80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w:t>
                  </w:r>
                  <w:r>
                    <w:rPr>
                      <w:rFonts w:hint="eastAsia" w:eastAsia="仿宋" w:cs="Times New Roman"/>
                      <w:color w:val="auto"/>
                      <w:sz w:val="21"/>
                      <w:szCs w:val="21"/>
                      <w:highlight w:val="none"/>
                      <w:lang w:val="en-US" w:eastAsia="zh-CN"/>
                    </w:rPr>
                    <w:t>39</w:t>
                  </w:r>
                  <w:r>
                    <w:rPr>
                      <w:rFonts w:hint="default" w:ascii="Times New Roman" w:hAnsi="Times New Roman" w:eastAsia="仿宋" w:cs="Times New Roman"/>
                      <w:color w:val="auto"/>
                      <w:sz w:val="21"/>
                      <w:szCs w:val="21"/>
                      <w:highlight w:val="none"/>
                      <w:lang w:val="en-US" w:eastAsia="zh-CN"/>
                    </w:rPr>
                    <w:t>-49</w:t>
                  </w:r>
                </w:p>
              </w:tc>
              <w:tc>
                <w:tcPr>
                  <w:tcW w:w="584" w:type="pct"/>
                  <w:tcBorders>
                    <w:tl2br w:val="nil"/>
                    <w:tr2bl w:val="nil"/>
                  </w:tcBorders>
                  <w:shd w:val="clear" w:color="auto" w:fill="auto"/>
                  <w:noWrap w:val="0"/>
                  <w:vAlign w:val="center"/>
                </w:tcPr>
                <w:p w14:paraId="4829BFE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13.2237</w:t>
                  </w:r>
                </w:p>
              </w:tc>
            </w:tr>
            <w:tr w14:paraId="1B41E39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68E6D736">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20</w:t>
                  </w:r>
                </w:p>
              </w:tc>
              <w:tc>
                <w:tcPr>
                  <w:tcW w:w="494" w:type="pct"/>
                  <w:tcBorders>
                    <w:tl2br w:val="nil"/>
                    <w:tr2bl w:val="nil"/>
                  </w:tcBorders>
                  <w:shd w:val="clear" w:color="auto" w:fill="auto"/>
                  <w:noWrap w:val="0"/>
                  <w:vAlign w:val="center"/>
                </w:tcPr>
                <w:p w14:paraId="174D0D9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喷淋废液</w:t>
                  </w:r>
                </w:p>
              </w:tc>
              <w:tc>
                <w:tcPr>
                  <w:tcW w:w="270" w:type="pct"/>
                  <w:vMerge w:val="continue"/>
                  <w:tcBorders>
                    <w:tl2br w:val="nil"/>
                    <w:tr2bl w:val="nil"/>
                  </w:tcBorders>
                  <w:noWrap w:val="0"/>
                  <w:vAlign w:val="center"/>
                </w:tcPr>
                <w:p w14:paraId="7EB2392D">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6E1C5318">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废气处理</w:t>
                  </w:r>
                </w:p>
              </w:tc>
              <w:tc>
                <w:tcPr>
                  <w:tcW w:w="270" w:type="pct"/>
                  <w:tcBorders>
                    <w:tl2br w:val="nil"/>
                    <w:tr2bl w:val="nil"/>
                  </w:tcBorders>
                  <w:shd w:val="clear" w:color="auto" w:fill="auto"/>
                  <w:noWrap w:val="0"/>
                  <w:vAlign w:val="center"/>
                </w:tcPr>
                <w:p w14:paraId="245A4359">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液态</w:t>
                  </w:r>
                </w:p>
              </w:tc>
              <w:tc>
                <w:tcPr>
                  <w:tcW w:w="625" w:type="pct"/>
                  <w:tcBorders>
                    <w:tl2br w:val="nil"/>
                    <w:tr2bl w:val="nil"/>
                  </w:tcBorders>
                  <w:shd w:val="clear" w:color="auto" w:fill="auto"/>
                  <w:noWrap w:val="0"/>
                  <w:vAlign w:val="center"/>
                </w:tcPr>
                <w:p w14:paraId="763C092A">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水、硫酸、盐酸</w:t>
                  </w:r>
                </w:p>
              </w:tc>
              <w:tc>
                <w:tcPr>
                  <w:tcW w:w="550" w:type="pct"/>
                  <w:tcBorders>
                    <w:tl2br w:val="nil"/>
                    <w:tr2bl w:val="nil"/>
                  </w:tcBorders>
                  <w:shd w:val="clear" w:color="auto" w:fill="auto"/>
                  <w:noWrap w:val="0"/>
                  <w:vAlign w:val="center"/>
                </w:tcPr>
                <w:p w14:paraId="19C5D276">
                  <w:pPr>
                    <w:spacing w:line="30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6CC9796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03B8510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5195C8F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w:t>
                  </w:r>
                </w:p>
              </w:tc>
            </w:tr>
            <w:tr w14:paraId="1709A21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596A133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21</w:t>
                  </w:r>
                </w:p>
              </w:tc>
              <w:tc>
                <w:tcPr>
                  <w:tcW w:w="494" w:type="pct"/>
                  <w:tcBorders>
                    <w:tl2br w:val="nil"/>
                    <w:tr2bl w:val="nil"/>
                  </w:tcBorders>
                  <w:shd w:val="clear" w:color="auto" w:fill="auto"/>
                  <w:noWrap w:val="0"/>
                  <w:vAlign w:val="center"/>
                </w:tcPr>
                <w:p w14:paraId="1AE3E1CB">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废过滤棉</w:t>
                  </w:r>
                </w:p>
              </w:tc>
              <w:tc>
                <w:tcPr>
                  <w:tcW w:w="270" w:type="pct"/>
                  <w:vMerge w:val="continue"/>
                  <w:tcBorders>
                    <w:tl2br w:val="nil"/>
                    <w:tr2bl w:val="nil"/>
                  </w:tcBorders>
                  <w:noWrap w:val="0"/>
                  <w:vAlign w:val="center"/>
                </w:tcPr>
                <w:p w14:paraId="66C8B711">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3DB6A753">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废气处理</w:t>
                  </w:r>
                </w:p>
              </w:tc>
              <w:tc>
                <w:tcPr>
                  <w:tcW w:w="270" w:type="pct"/>
                  <w:tcBorders>
                    <w:tl2br w:val="nil"/>
                    <w:tr2bl w:val="nil"/>
                  </w:tcBorders>
                  <w:shd w:val="clear" w:color="auto" w:fill="auto"/>
                  <w:noWrap w:val="0"/>
                  <w:vAlign w:val="center"/>
                </w:tcPr>
                <w:p w14:paraId="48A2523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0487388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水、硫酸、盐酸、非甲烷总烃</w:t>
                  </w:r>
                </w:p>
              </w:tc>
              <w:tc>
                <w:tcPr>
                  <w:tcW w:w="550" w:type="pct"/>
                  <w:tcBorders>
                    <w:tl2br w:val="nil"/>
                    <w:tr2bl w:val="nil"/>
                  </w:tcBorders>
                  <w:shd w:val="clear" w:color="auto" w:fill="auto"/>
                  <w:noWrap w:val="0"/>
                  <w:vAlign w:val="center"/>
                </w:tcPr>
                <w:p w14:paraId="5715934E">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5C83572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781ED735">
                  <w:pPr>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5ECE9F62">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w:t>
                  </w:r>
                </w:p>
              </w:tc>
            </w:tr>
            <w:tr w14:paraId="1632ED0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47DFBD8B">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2</w:t>
                  </w:r>
                  <w:r>
                    <w:rPr>
                      <w:rFonts w:hint="eastAsia" w:eastAsia="仿宋" w:cs="Times New Roman"/>
                      <w:color w:val="auto"/>
                      <w:kern w:val="2"/>
                      <w:sz w:val="21"/>
                      <w:szCs w:val="21"/>
                      <w:highlight w:val="none"/>
                      <w:lang w:val="en-US" w:eastAsia="zh-CN" w:bidi="ar-SA"/>
                    </w:rPr>
                    <w:t>2</w:t>
                  </w:r>
                </w:p>
              </w:tc>
              <w:tc>
                <w:tcPr>
                  <w:tcW w:w="494" w:type="pct"/>
                  <w:tcBorders>
                    <w:tl2br w:val="nil"/>
                    <w:tr2bl w:val="nil"/>
                  </w:tcBorders>
                  <w:shd w:val="clear" w:color="auto" w:fill="auto"/>
                  <w:noWrap w:val="0"/>
                  <w:vAlign w:val="center"/>
                </w:tcPr>
                <w:p w14:paraId="356EA116">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废RO膜</w:t>
                  </w:r>
                </w:p>
              </w:tc>
              <w:tc>
                <w:tcPr>
                  <w:tcW w:w="270" w:type="pct"/>
                  <w:vMerge w:val="continue"/>
                  <w:tcBorders>
                    <w:tl2br w:val="nil"/>
                    <w:tr2bl w:val="nil"/>
                  </w:tcBorders>
                  <w:noWrap w:val="0"/>
                  <w:vAlign w:val="center"/>
                </w:tcPr>
                <w:p w14:paraId="0B5044A6">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2BE9ED29">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废水处理</w:t>
                  </w:r>
                </w:p>
              </w:tc>
              <w:tc>
                <w:tcPr>
                  <w:tcW w:w="270" w:type="pct"/>
                  <w:tcBorders>
                    <w:tl2br w:val="nil"/>
                    <w:tr2bl w:val="nil"/>
                  </w:tcBorders>
                  <w:shd w:val="clear" w:color="auto" w:fill="auto"/>
                  <w:noWrap w:val="0"/>
                  <w:vAlign w:val="center"/>
                </w:tcPr>
                <w:p w14:paraId="437AD017">
                  <w:pPr>
                    <w:spacing w:line="240" w:lineRule="exact"/>
                    <w:jc w:val="center"/>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0F3E609A">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废水、膜</w:t>
                  </w:r>
                </w:p>
              </w:tc>
              <w:tc>
                <w:tcPr>
                  <w:tcW w:w="550" w:type="pct"/>
                  <w:tcBorders>
                    <w:tl2br w:val="nil"/>
                    <w:tr2bl w:val="nil"/>
                  </w:tcBorders>
                  <w:shd w:val="clear" w:color="auto" w:fill="auto"/>
                  <w:noWrap w:val="0"/>
                  <w:vAlign w:val="center"/>
                </w:tcPr>
                <w:p w14:paraId="538A160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T/In</w:t>
                  </w:r>
                </w:p>
              </w:tc>
              <w:tc>
                <w:tcPr>
                  <w:tcW w:w="491" w:type="pct"/>
                  <w:tcBorders>
                    <w:tl2br w:val="nil"/>
                    <w:tr2bl w:val="nil"/>
                  </w:tcBorders>
                  <w:shd w:val="clear" w:color="auto" w:fill="auto"/>
                  <w:noWrap w:val="0"/>
                  <w:vAlign w:val="center"/>
                </w:tcPr>
                <w:p w14:paraId="305A75A0">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830" w:type="pct"/>
                  <w:tcBorders>
                    <w:tl2br w:val="nil"/>
                    <w:tr2bl w:val="nil"/>
                  </w:tcBorders>
                  <w:shd w:val="clear" w:color="auto" w:fill="auto"/>
                  <w:noWrap w:val="0"/>
                  <w:vAlign w:val="center"/>
                </w:tcPr>
                <w:p w14:paraId="20500FA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584" w:type="pct"/>
                  <w:tcBorders>
                    <w:tl2br w:val="nil"/>
                    <w:tr2bl w:val="nil"/>
                  </w:tcBorders>
                  <w:shd w:val="clear" w:color="auto" w:fill="auto"/>
                  <w:noWrap w:val="0"/>
                  <w:vAlign w:val="center"/>
                </w:tcPr>
                <w:p w14:paraId="2A9D2C84">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0.05</w:t>
                  </w:r>
                </w:p>
              </w:tc>
            </w:tr>
            <w:tr w14:paraId="13B0BEE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70" w:type="pct"/>
                  <w:tcBorders>
                    <w:tl2br w:val="nil"/>
                    <w:tr2bl w:val="nil"/>
                  </w:tcBorders>
                  <w:shd w:val="clear" w:color="auto" w:fill="auto"/>
                  <w:noWrap w:val="0"/>
                  <w:vAlign w:val="center"/>
                </w:tcPr>
                <w:p w14:paraId="1A54B3C7">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23</w:t>
                  </w:r>
                </w:p>
              </w:tc>
              <w:tc>
                <w:tcPr>
                  <w:tcW w:w="494" w:type="pct"/>
                  <w:tcBorders>
                    <w:tl2br w:val="nil"/>
                    <w:tr2bl w:val="nil"/>
                  </w:tcBorders>
                  <w:shd w:val="clear" w:color="auto" w:fill="auto"/>
                  <w:noWrap w:val="0"/>
                  <w:vAlign w:val="center"/>
                </w:tcPr>
                <w:p w14:paraId="36CEEB55">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污泥</w:t>
                  </w:r>
                </w:p>
              </w:tc>
              <w:tc>
                <w:tcPr>
                  <w:tcW w:w="270" w:type="pct"/>
                  <w:vMerge w:val="continue"/>
                  <w:tcBorders>
                    <w:tl2br w:val="nil"/>
                    <w:tr2bl w:val="nil"/>
                  </w:tcBorders>
                  <w:noWrap w:val="0"/>
                  <w:vAlign w:val="center"/>
                </w:tcPr>
                <w:p w14:paraId="00BD0C9C">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5FF63900">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废水处理</w:t>
                  </w:r>
                </w:p>
              </w:tc>
              <w:tc>
                <w:tcPr>
                  <w:tcW w:w="270" w:type="pct"/>
                  <w:tcBorders>
                    <w:tl2br w:val="nil"/>
                    <w:tr2bl w:val="nil"/>
                  </w:tcBorders>
                  <w:shd w:val="clear" w:color="auto" w:fill="auto"/>
                  <w:noWrap w:val="0"/>
                  <w:vAlign w:val="center"/>
                </w:tcPr>
                <w:p w14:paraId="3975132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半固态</w:t>
                  </w:r>
                </w:p>
              </w:tc>
              <w:tc>
                <w:tcPr>
                  <w:tcW w:w="625" w:type="pct"/>
                  <w:tcBorders>
                    <w:tl2br w:val="nil"/>
                    <w:tr2bl w:val="nil"/>
                  </w:tcBorders>
                  <w:shd w:val="clear" w:color="auto" w:fill="auto"/>
                  <w:noWrap w:val="0"/>
                  <w:vAlign w:val="center"/>
                </w:tcPr>
                <w:p w14:paraId="7FC231A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污泥</w:t>
                  </w:r>
                </w:p>
              </w:tc>
              <w:tc>
                <w:tcPr>
                  <w:tcW w:w="550" w:type="pct"/>
                  <w:tcBorders>
                    <w:tl2br w:val="nil"/>
                    <w:tr2bl w:val="nil"/>
                  </w:tcBorders>
                  <w:shd w:val="clear" w:color="auto" w:fill="auto"/>
                  <w:noWrap w:val="0"/>
                  <w:vAlign w:val="center"/>
                </w:tcPr>
                <w:p w14:paraId="2CC7AE9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T/C</w:t>
                  </w:r>
                </w:p>
              </w:tc>
              <w:tc>
                <w:tcPr>
                  <w:tcW w:w="491" w:type="pct"/>
                  <w:tcBorders>
                    <w:tl2br w:val="nil"/>
                    <w:tr2bl w:val="nil"/>
                  </w:tcBorders>
                  <w:shd w:val="clear" w:color="auto" w:fill="auto"/>
                  <w:noWrap w:val="0"/>
                  <w:vAlign w:val="center"/>
                </w:tcPr>
                <w:p w14:paraId="36AB7E2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830" w:type="pct"/>
                  <w:tcBorders>
                    <w:tl2br w:val="nil"/>
                    <w:tr2bl w:val="nil"/>
                  </w:tcBorders>
                  <w:shd w:val="clear" w:color="auto" w:fill="auto"/>
                  <w:noWrap w:val="0"/>
                  <w:vAlign w:val="center"/>
                </w:tcPr>
                <w:p w14:paraId="34E322D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584" w:type="pct"/>
                  <w:tcBorders>
                    <w:tl2br w:val="nil"/>
                    <w:tr2bl w:val="nil"/>
                  </w:tcBorders>
                  <w:shd w:val="clear" w:color="auto" w:fill="auto"/>
                  <w:noWrap w:val="0"/>
                  <w:vAlign w:val="center"/>
                </w:tcPr>
                <w:p w14:paraId="752BB913">
                  <w:pPr>
                    <w:spacing w:line="240" w:lineRule="exact"/>
                    <w:jc w:val="center"/>
                    <w:rPr>
                      <w:rFonts w:hint="default" w:eastAsia="仿宋" w:cs="Times New Roman"/>
                      <w:color w:val="auto"/>
                      <w:sz w:val="21"/>
                      <w:szCs w:val="21"/>
                      <w:highlight w:val="none"/>
                      <w:lang w:val="en-US" w:eastAsia="zh-CN"/>
                    </w:rPr>
                  </w:pPr>
                  <w:r>
                    <w:rPr>
                      <w:rFonts w:hint="default" w:eastAsia="仿宋" w:cs="Times New Roman"/>
                      <w:color w:val="auto"/>
                      <w:sz w:val="21"/>
                      <w:szCs w:val="21"/>
                      <w:highlight w:val="none"/>
                      <w:lang w:val="en-US" w:eastAsia="zh-CN"/>
                    </w:rPr>
                    <w:t>3</w:t>
                  </w:r>
                  <w:r>
                    <w:rPr>
                      <w:rFonts w:hint="eastAsia" w:eastAsia="仿宋" w:cs="Times New Roman"/>
                      <w:color w:val="auto"/>
                      <w:sz w:val="21"/>
                      <w:szCs w:val="21"/>
                      <w:highlight w:val="none"/>
                      <w:lang w:val="en-US" w:eastAsia="zh-CN"/>
                    </w:rPr>
                    <w:t>8.25</w:t>
                  </w:r>
                </w:p>
              </w:tc>
            </w:tr>
            <w:tr w14:paraId="0925DCB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657" w:hRule="atLeast"/>
                <w:jc w:val="center"/>
              </w:trPr>
              <w:tc>
                <w:tcPr>
                  <w:tcW w:w="270" w:type="pct"/>
                  <w:tcBorders>
                    <w:tl2br w:val="nil"/>
                    <w:tr2bl w:val="nil"/>
                  </w:tcBorders>
                  <w:shd w:val="clear" w:color="auto" w:fill="auto"/>
                  <w:noWrap w:val="0"/>
                  <w:vAlign w:val="center"/>
                </w:tcPr>
                <w:p w14:paraId="1470A67D">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24</w:t>
                  </w:r>
                </w:p>
              </w:tc>
              <w:tc>
                <w:tcPr>
                  <w:tcW w:w="494" w:type="pct"/>
                  <w:tcBorders>
                    <w:tl2br w:val="nil"/>
                    <w:tr2bl w:val="nil"/>
                  </w:tcBorders>
                  <w:shd w:val="clear" w:color="auto" w:fill="auto"/>
                  <w:noWrap w:val="0"/>
                  <w:vAlign w:val="center"/>
                </w:tcPr>
                <w:p w14:paraId="673C0F6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挂具废渣</w:t>
                  </w:r>
                </w:p>
              </w:tc>
              <w:tc>
                <w:tcPr>
                  <w:tcW w:w="270" w:type="pct"/>
                  <w:vMerge w:val="continue"/>
                  <w:tcBorders>
                    <w:tl2br w:val="nil"/>
                    <w:tr2bl w:val="nil"/>
                  </w:tcBorders>
                  <w:noWrap w:val="0"/>
                  <w:vAlign w:val="center"/>
                </w:tcPr>
                <w:p w14:paraId="79680400">
                  <w:pPr>
                    <w:ind w:right="-76" w:rightChars="-36"/>
                    <w:rPr>
                      <w:rFonts w:hint="default" w:ascii="Times New Roman" w:hAnsi="Times New Roman" w:eastAsia="仿宋" w:cs="Times New Roman"/>
                      <w:color w:val="auto"/>
                      <w:sz w:val="21"/>
                      <w:szCs w:val="21"/>
                      <w:highlight w:val="none"/>
                    </w:rPr>
                  </w:pPr>
                </w:p>
              </w:tc>
              <w:tc>
                <w:tcPr>
                  <w:tcW w:w="613" w:type="pct"/>
                  <w:tcBorders>
                    <w:tl2br w:val="nil"/>
                    <w:tr2bl w:val="nil"/>
                  </w:tcBorders>
                  <w:shd w:val="clear" w:color="auto" w:fill="auto"/>
                  <w:noWrap w:val="0"/>
                  <w:vAlign w:val="center"/>
                </w:tcPr>
                <w:p w14:paraId="0479757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挂具清理</w:t>
                  </w:r>
                </w:p>
              </w:tc>
              <w:tc>
                <w:tcPr>
                  <w:tcW w:w="270" w:type="pct"/>
                  <w:tcBorders>
                    <w:tl2br w:val="nil"/>
                    <w:tr2bl w:val="nil"/>
                  </w:tcBorders>
                  <w:shd w:val="clear" w:color="auto" w:fill="auto"/>
                  <w:noWrap w:val="0"/>
                  <w:vAlign w:val="center"/>
                </w:tcPr>
                <w:p w14:paraId="1E76E2A4">
                  <w:pPr>
                    <w:spacing w:line="240" w:lineRule="exact"/>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固态</w:t>
                  </w:r>
                </w:p>
              </w:tc>
              <w:tc>
                <w:tcPr>
                  <w:tcW w:w="625" w:type="pct"/>
                  <w:tcBorders>
                    <w:tl2br w:val="nil"/>
                    <w:tr2bl w:val="nil"/>
                  </w:tcBorders>
                  <w:shd w:val="clear" w:color="auto" w:fill="auto"/>
                  <w:noWrap w:val="0"/>
                  <w:vAlign w:val="center"/>
                </w:tcPr>
                <w:p w14:paraId="034BCF8E">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塑粉、电泳漆</w:t>
                  </w:r>
                </w:p>
              </w:tc>
              <w:tc>
                <w:tcPr>
                  <w:tcW w:w="550" w:type="pct"/>
                  <w:tcBorders>
                    <w:tl2br w:val="nil"/>
                    <w:tr2bl w:val="nil"/>
                  </w:tcBorders>
                  <w:shd w:val="clear" w:color="auto" w:fill="auto"/>
                  <w:noWrap w:val="0"/>
                  <w:vAlign w:val="center"/>
                </w:tcPr>
                <w:p w14:paraId="1FF66058">
                  <w:pPr>
                    <w:spacing w:line="30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T，I</w:t>
                  </w:r>
                </w:p>
              </w:tc>
              <w:tc>
                <w:tcPr>
                  <w:tcW w:w="491" w:type="pct"/>
                  <w:tcBorders>
                    <w:tl2br w:val="nil"/>
                    <w:tr2bl w:val="nil"/>
                  </w:tcBorders>
                  <w:shd w:val="clear" w:color="auto" w:fill="auto"/>
                  <w:noWrap w:val="0"/>
                  <w:vAlign w:val="center"/>
                </w:tcPr>
                <w:p w14:paraId="57DA25B4">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12</w:t>
                  </w:r>
                </w:p>
              </w:tc>
              <w:tc>
                <w:tcPr>
                  <w:tcW w:w="830" w:type="pct"/>
                  <w:tcBorders>
                    <w:tl2br w:val="nil"/>
                    <w:tr2bl w:val="nil"/>
                  </w:tcBorders>
                  <w:shd w:val="clear" w:color="auto" w:fill="auto"/>
                  <w:noWrap w:val="0"/>
                  <w:vAlign w:val="center"/>
                </w:tcPr>
                <w:p w14:paraId="6D165AB4">
                  <w:pPr>
                    <w:jc w:val="center"/>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w:t>
                  </w:r>
                  <w:r>
                    <w:rPr>
                      <w:rFonts w:hint="eastAsia" w:eastAsia="仿宋" w:cs="Times New Roman"/>
                      <w:color w:val="auto"/>
                      <w:sz w:val="21"/>
                      <w:szCs w:val="21"/>
                      <w:highlight w:val="none"/>
                      <w:lang w:val="en-US" w:eastAsia="zh-CN"/>
                    </w:rPr>
                    <w:t>252</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12</w:t>
                  </w:r>
                </w:p>
              </w:tc>
              <w:tc>
                <w:tcPr>
                  <w:tcW w:w="584" w:type="pct"/>
                  <w:tcBorders>
                    <w:tl2br w:val="nil"/>
                    <w:tr2bl w:val="nil"/>
                  </w:tcBorders>
                  <w:shd w:val="clear" w:color="auto" w:fill="auto"/>
                  <w:noWrap w:val="0"/>
                  <w:vAlign w:val="center"/>
                </w:tcPr>
                <w:p w14:paraId="4050804E">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0.20576</w:t>
                  </w:r>
                </w:p>
              </w:tc>
            </w:tr>
          </w:tbl>
          <w:p w14:paraId="1FEF2D67">
            <w:pPr>
              <w:adjustRightInd w:val="0"/>
              <w:snapToGrid w:val="0"/>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4.3  固体废物影响分析</w:t>
            </w:r>
          </w:p>
          <w:p w14:paraId="35AD8E2D">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固废处置方式</w:t>
            </w:r>
          </w:p>
          <w:p w14:paraId="5E34324E">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本项目固体废物利用处置方式</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89"/>
              <w:gridCol w:w="738"/>
              <w:gridCol w:w="1418"/>
              <w:gridCol w:w="808"/>
              <w:gridCol w:w="1617"/>
              <w:gridCol w:w="1202"/>
              <w:gridCol w:w="1154"/>
            </w:tblGrid>
            <w:tr w14:paraId="72081BF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tcBorders>
                    <w:tl2br w:val="nil"/>
                    <w:tr2bl w:val="nil"/>
                  </w:tcBorders>
                  <w:noWrap w:val="0"/>
                  <w:vAlign w:val="center"/>
                </w:tcPr>
                <w:p w14:paraId="010F054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855" w:type="pct"/>
                  <w:tcBorders>
                    <w:tl2br w:val="nil"/>
                    <w:tr2bl w:val="nil"/>
                  </w:tcBorders>
                  <w:noWrap w:val="0"/>
                  <w:vAlign w:val="center"/>
                </w:tcPr>
                <w:p w14:paraId="27D3C2B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固废名称</w:t>
                  </w:r>
                </w:p>
              </w:tc>
              <w:tc>
                <w:tcPr>
                  <w:tcW w:w="397" w:type="pct"/>
                  <w:tcBorders>
                    <w:tl2br w:val="nil"/>
                    <w:tr2bl w:val="nil"/>
                  </w:tcBorders>
                  <w:noWrap w:val="0"/>
                  <w:vAlign w:val="center"/>
                </w:tcPr>
                <w:p w14:paraId="6CF6E3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属性</w:t>
                  </w:r>
                </w:p>
              </w:tc>
              <w:tc>
                <w:tcPr>
                  <w:tcW w:w="763" w:type="pct"/>
                  <w:tcBorders>
                    <w:tl2br w:val="nil"/>
                    <w:tr2bl w:val="nil"/>
                  </w:tcBorders>
                  <w:noWrap w:val="0"/>
                  <w:vAlign w:val="center"/>
                </w:tcPr>
                <w:p w14:paraId="328D24B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产生工序</w:t>
                  </w:r>
                </w:p>
              </w:tc>
              <w:tc>
                <w:tcPr>
                  <w:tcW w:w="435" w:type="pct"/>
                  <w:tcBorders>
                    <w:tl2br w:val="nil"/>
                    <w:tr2bl w:val="nil"/>
                  </w:tcBorders>
                  <w:noWrap w:val="0"/>
                  <w:vAlign w:val="center"/>
                </w:tcPr>
                <w:p w14:paraId="7251C97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形态</w:t>
                  </w:r>
                </w:p>
              </w:tc>
              <w:tc>
                <w:tcPr>
                  <w:tcW w:w="870" w:type="pct"/>
                  <w:tcBorders>
                    <w:tl2br w:val="nil"/>
                    <w:tr2bl w:val="nil"/>
                  </w:tcBorders>
                  <w:noWrap w:val="0"/>
                  <w:vAlign w:val="center"/>
                </w:tcPr>
                <w:p w14:paraId="0E32D5E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主要成分</w:t>
                  </w:r>
                </w:p>
              </w:tc>
              <w:tc>
                <w:tcPr>
                  <w:tcW w:w="647" w:type="pct"/>
                  <w:tcBorders>
                    <w:tl2br w:val="nil"/>
                    <w:tr2bl w:val="nil"/>
                  </w:tcBorders>
                  <w:noWrap w:val="0"/>
                  <w:vAlign w:val="center"/>
                </w:tcPr>
                <w:p w14:paraId="75CD5E4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估算产生量t/a</w:t>
                  </w:r>
                </w:p>
              </w:tc>
              <w:tc>
                <w:tcPr>
                  <w:tcW w:w="621" w:type="pct"/>
                  <w:tcBorders>
                    <w:tl2br w:val="nil"/>
                    <w:tr2bl w:val="nil"/>
                  </w:tcBorders>
                  <w:noWrap w:val="0"/>
                  <w:vAlign w:val="center"/>
                </w:tcPr>
                <w:p w14:paraId="128868C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bCs/>
                      <w:color w:val="auto"/>
                      <w:sz w:val="21"/>
                      <w:szCs w:val="21"/>
                      <w:highlight w:val="none"/>
                      <w:lang w:eastAsia="zh-CN"/>
                    </w:rPr>
                  </w:pPr>
                  <w:r>
                    <w:rPr>
                      <w:rFonts w:hint="default" w:ascii="Times New Roman" w:hAnsi="Times New Roman" w:eastAsia="仿宋" w:cs="Times New Roman"/>
                      <w:b/>
                      <w:bCs/>
                      <w:color w:val="auto"/>
                      <w:sz w:val="21"/>
                      <w:szCs w:val="21"/>
                      <w:highlight w:val="none"/>
                      <w:lang w:val="en-US" w:eastAsia="zh-CN"/>
                    </w:rPr>
                    <w:t>利用处置方式</w:t>
                  </w:r>
                </w:p>
              </w:tc>
            </w:tr>
            <w:tr w14:paraId="2AF7CCA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9" w:type="pct"/>
                  <w:tcBorders>
                    <w:tl2br w:val="nil"/>
                    <w:tr2bl w:val="nil"/>
                  </w:tcBorders>
                  <w:shd w:val="clear" w:color="auto" w:fill="auto"/>
                  <w:noWrap w:val="0"/>
                  <w:vAlign w:val="center"/>
                </w:tcPr>
                <w:p w14:paraId="200828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w:t>
                  </w:r>
                </w:p>
              </w:tc>
              <w:tc>
                <w:tcPr>
                  <w:tcW w:w="855" w:type="pct"/>
                  <w:tcBorders>
                    <w:tl2br w:val="nil"/>
                    <w:tr2bl w:val="nil"/>
                  </w:tcBorders>
                  <w:shd w:val="clear" w:color="auto" w:fill="auto"/>
                  <w:noWrap w:val="0"/>
                  <w:vAlign w:val="center"/>
                </w:tcPr>
                <w:p w14:paraId="4CA051F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废边角料</w:t>
                  </w:r>
                </w:p>
              </w:tc>
              <w:tc>
                <w:tcPr>
                  <w:tcW w:w="397" w:type="pct"/>
                  <w:vMerge w:val="restart"/>
                  <w:tcBorders>
                    <w:tl2br w:val="nil"/>
                    <w:tr2bl w:val="nil"/>
                  </w:tcBorders>
                  <w:noWrap w:val="0"/>
                  <w:vAlign w:val="center"/>
                </w:tcPr>
                <w:p w14:paraId="444BBB68">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一般固废</w:t>
                  </w:r>
                </w:p>
              </w:tc>
              <w:tc>
                <w:tcPr>
                  <w:tcW w:w="763" w:type="pct"/>
                  <w:tcBorders>
                    <w:tl2br w:val="nil"/>
                    <w:tr2bl w:val="nil"/>
                  </w:tcBorders>
                  <w:shd w:val="clear" w:color="auto" w:fill="auto"/>
                  <w:noWrap w:val="0"/>
                  <w:vAlign w:val="center"/>
                </w:tcPr>
                <w:p w14:paraId="49B16AAC">
                  <w:pPr>
                    <w:pStyle w:val="40"/>
                    <w:adjustRightInd w:val="0"/>
                    <w:snapToGrid w:val="0"/>
                    <w:jc w:val="center"/>
                    <w:rPr>
                      <w:rFonts w:hint="default" w:ascii="Times New Roman" w:hAnsi="Times New Roman" w:eastAsia="仿宋" w:cs="Times New Roman"/>
                      <w:color w:val="auto"/>
                      <w:kern w:val="2"/>
                      <w:sz w:val="21"/>
                      <w:szCs w:val="21"/>
                      <w:highlight w:val="none"/>
                      <w:lang w:val="zh-CN" w:eastAsia="zh-CN" w:bidi="ar-SA"/>
                    </w:rPr>
                  </w:pPr>
                  <w:r>
                    <w:rPr>
                      <w:rFonts w:hint="default" w:ascii="Times New Roman" w:hAnsi="Times New Roman" w:eastAsia="仿宋" w:cs="Times New Roman"/>
                      <w:color w:val="auto"/>
                      <w:sz w:val="21"/>
                      <w:szCs w:val="21"/>
                      <w:highlight w:val="none"/>
                      <w:lang w:val="en-US" w:eastAsia="zh-CN"/>
                    </w:rPr>
                    <w:t>裁切</w:t>
                  </w:r>
                  <w:r>
                    <w:rPr>
                      <w:rFonts w:hint="eastAsia" w:ascii="Times New Roman" w:hAnsi="Times New Roman" w:eastAsia="仿宋" w:cs="Times New Roman"/>
                      <w:color w:val="auto"/>
                      <w:sz w:val="21"/>
                      <w:szCs w:val="21"/>
                      <w:highlight w:val="none"/>
                      <w:lang w:val="en-US" w:eastAsia="zh-CN"/>
                    </w:rPr>
                    <w:t>、冲压</w:t>
                  </w:r>
                </w:p>
              </w:tc>
              <w:tc>
                <w:tcPr>
                  <w:tcW w:w="435" w:type="pct"/>
                  <w:tcBorders>
                    <w:tl2br w:val="nil"/>
                    <w:tr2bl w:val="nil"/>
                  </w:tcBorders>
                  <w:shd w:val="clear" w:color="auto" w:fill="auto"/>
                  <w:noWrap w:val="0"/>
                  <w:vAlign w:val="center"/>
                </w:tcPr>
                <w:p w14:paraId="1CB3F9BF">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750738F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钢</w:t>
                  </w:r>
                </w:p>
              </w:tc>
              <w:tc>
                <w:tcPr>
                  <w:tcW w:w="1202" w:type="dxa"/>
                  <w:tcBorders>
                    <w:tl2br w:val="nil"/>
                    <w:tr2bl w:val="nil"/>
                  </w:tcBorders>
                  <w:shd w:val="clear" w:color="auto" w:fill="auto"/>
                  <w:noWrap w:val="0"/>
                  <w:vAlign w:val="center"/>
                </w:tcPr>
                <w:p w14:paraId="119594B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10</w:t>
                  </w:r>
                </w:p>
              </w:tc>
              <w:tc>
                <w:tcPr>
                  <w:tcW w:w="621" w:type="pct"/>
                  <w:vMerge w:val="restart"/>
                  <w:tcBorders>
                    <w:tl2br w:val="nil"/>
                    <w:tr2bl w:val="nil"/>
                  </w:tcBorders>
                  <w:noWrap w:val="0"/>
                  <w:vAlign w:val="center"/>
                </w:tcPr>
                <w:p w14:paraId="37C571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lang w:val="en-US" w:eastAsia="zh-CN"/>
                    </w:rPr>
                  </w:pPr>
                  <w:r>
                    <w:rPr>
                      <w:rFonts w:hint="default" w:ascii="Times New Roman" w:hAnsi="Times New Roman" w:eastAsia="仿宋" w:cs="Times New Roman"/>
                      <w:b w:val="0"/>
                      <w:bCs w:val="0"/>
                      <w:color w:val="auto"/>
                      <w:sz w:val="21"/>
                      <w:szCs w:val="21"/>
                      <w:highlight w:val="none"/>
                      <w:lang w:val="en-US" w:eastAsia="zh-CN"/>
                    </w:rPr>
                    <w:t>分类收集后外售</w:t>
                  </w:r>
                  <w:r>
                    <w:rPr>
                      <w:rFonts w:hint="eastAsia" w:eastAsia="仿宋" w:cs="Times New Roman"/>
                      <w:b w:val="0"/>
                      <w:bCs w:val="0"/>
                      <w:color w:val="auto"/>
                      <w:sz w:val="21"/>
                      <w:szCs w:val="21"/>
                      <w:highlight w:val="none"/>
                      <w:lang w:val="en-US" w:eastAsia="zh-CN"/>
                    </w:rPr>
                    <w:t>/回用</w:t>
                  </w:r>
                </w:p>
              </w:tc>
            </w:tr>
            <w:tr w14:paraId="345672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09" w:type="pct"/>
                  <w:tcBorders>
                    <w:tl2br w:val="nil"/>
                    <w:tr2bl w:val="nil"/>
                  </w:tcBorders>
                  <w:shd w:val="clear" w:color="auto" w:fill="auto"/>
                  <w:noWrap w:val="0"/>
                  <w:vAlign w:val="center"/>
                </w:tcPr>
                <w:p w14:paraId="5C40E0A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2</w:t>
                  </w:r>
                </w:p>
              </w:tc>
              <w:tc>
                <w:tcPr>
                  <w:tcW w:w="855" w:type="pct"/>
                  <w:tcBorders>
                    <w:tl2br w:val="nil"/>
                    <w:tr2bl w:val="nil"/>
                  </w:tcBorders>
                  <w:shd w:val="clear" w:color="auto" w:fill="auto"/>
                  <w:noWrap w:val="0"/>
                  <w:vAlign w:val="center"/>
                </w:tcPr>
                <w:p w14:paraId="67D535C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不合格品</w:t>
                  </w:r>
                </w:p>
              </w:tc>
              <w:tc>
                <w:tcPr>
                  <w:tcW w:w="397" w:type="pct"/>
                  <w:vMerge w:val="continue"/>
                  <w:tcBorders>
                    <w:tl2br w:val="nil"/>
                    <w:tr2bl w:val="nil"/>
                  </w:tcBorders>
                  <w:noWrap w:val="0"/>
                  <w:vAlign w:val="center"/>
                </w:tcPr>
                <w:p w14:paraId="49CDD1F1">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7DD5BA2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检验</w:t>
                  </w:r>
                </w:p>
              </w:tc>
              <w:tc>
                <w:tcPr>
                  <w:tcW w:w="435" w:type="pct"/>
                  <w:tcBorders>
                    <w:tl2br w:val="nil"/>
                    <w:tr2bl w:val="nil"/>
                  </w:tcBorders>
                  <w:shd w:val="clear" w:color="auto" w:fill="auto"/>
                  <w:noWrap w:val="0"/>
                  <w:vAlign w:val="center"/>
                </w:tcPr>
                <w:p w14:paraId="446A30F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3ACDE15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钢</w:t>
                  </w:r>
                </w:p>
              </w:tc>
              <w:tc>
                <w:tcPr>
                  <w:tcW w:w="1202" w:type="dxa"/>
                  <w:tcBorders>
                    <w:tl2br w:val="nil"/>
                    <w:tr2bl w:val="nil"/>
                  </w:tcBorders>
                  <w:shd w:val="clear" w:color="auto" w:fill="auto"/>
                  <w:noWrap w:val="0"/>
                  <w:vAlign w:val="center"/>
                </w:tcPr>
                <w:p w14:paraId="18F1F9FF">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4</w:t>
                  </w:r>
                </w:p>
              </w:tc>
              <w:tc>
                <w:tcPr>
                  <w:tcW w:w="621" w:type="pct"/>
                  <w:vMerge w:val="continue"/>
                  <w:tcBorders>
                    <w:tl2br w:val="nil"/>
                    <w:tr2bl w:val="nil"/>
                  </w:tcBorders>
                  <w:noWrap w:val="0"/>
                  <w:vAlign w:val="center"/>
                </w:tcPr>
                <w:p w14:paraId="78744F0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044F5A2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766" w:hRule="atLeast"/>
                <w:jc w:val="center"/>
              </w:trPr>
              <w:tc>
                <w:tcPr>
                  <w:tcW w:w="409" w:type="pct"/>
                  <w:tcBorders>
                    <w:tl2br w:val="nil"/>
                    <w:tr2bl w:val="nil"/>
                  </w:tcBorders>
                  <w:shd w:val="clear" w:color="auto" w:fill="auto"/>
                  <w:noWrap w:val="0"/>
                  <w:vAlign w:val="center"/>
                </w:tcPr>
                <w:p w14:paraId="233D165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3</w:t>
                  </w:r>
                </w:p>
              </w:tc>
              <w:tc>
                <w:tcPr>
                  <w:tcW w:w="855" w:type="pct"/>
                  <w:tcBorders>
                    <w:tl2br w:val="nil"/>
                    <w:tr2bl w:val="nil"/>
                  </w:tcBorders>
                  <w:shd w:val="clear" w:color="auto" w:fill="auto"/>
                  <w:noWrap w:val="0"/>
                  <w:vAlign w:val="center"/>
                </w:tcPr>
                <w:p w14:paraId="2120DEB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废包装材料</w:t>
                  </w:r>
                </w:p>
              </w:tc>
              <w:tc>
                <w:tcPr>
                  <w:tcW w:w="397" w:type="pct"/>
                  <w:vMerge w:val="continue"/>
                  <w:tcBorders>
                    <w:tl2br w:val="nil"/>
                    <w:tr2bl w:val="nil"/>
                  </w:tcBorders>
                  <w:noWrap w:val="0"/>
                  <w:vAlign w:val="center"/>
                </w:tcPr>
                <w:p w14:paraId="24AECC58">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54BD7F47">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拆包、装包</w:t>
                  </w:r>
                </w:p>
              </w:tc>
              <w:tc>
                <w:tcPr>
                  <w:tcW w:w="435" w:type="pct"/>
                  <w:tcBorders>
                    <w:tl2br w:val="nil"/>
                    <w:tr2bl w:val="nil"/>
                  </w:tcBorders>
                  <w:shd w:val="clear" w:color="auto" w:fill="auto"/>
                  <w:noWrap w:val="0"/>
                  <w:vAlign w:val="center"/>
                </w:tcPr>
                <w:p w14:paraId="6961FC9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434FE8B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塑料、纸箱</w:t>
                  </w:r>
                </w:p>
              </w:tc>
              <w:tc>
                <w:tcPr>
                  <w:tcW w:w="1202" w:type="dxa"/>
                  <w:tcBorders>
                    <w:tl2br w:val="nil"/>
                    <w:tr2bl w:val="nil"/>
                  </w:tcBorders>
                  <w:shd w:val="clear" w:color="auto" w:fill="auto"/>
                  <w:noWrap w:val="0"/>
                  <w:vAlign w:val="center"/>
                </w:tcPr>
                <w:p w14:paraId="75F943B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w:t>
                  </w:r>
                </w:p>
              </w:tc>
              <w:tc>
                <w:tcPr>
                  <w:tcW w:w="621" w:type="pct"/>
                  <w:vMerge w:val="continue"/>
                  <w:tcBorders>
                    <w:tl2br w:val="nil"/>
                    <w:tr2bl w:val="nil"/>
                  </w:tcBorders>
                  <w:noWrap w:val="0"/>
                  <w:vAlign w:val="center"/>
                </w:tcPr>
                <w:p w14:paraId="5B3310F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3A24533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09" w:type="pct"/>
                  <w:tcBorders>
                    <w:tl2br w:val="nil"/>
                    <w:tr2bl w:val="nil"/>
                  </w:tcBorders>
                  <w:shd w:val="clear" w:color="auto" w:fill="auto"/>
                  <w:noWrap w:val="0"/>
                  <w:vAlign w:val="center"/>
                </w:tcPr>
                <w:p w14:paraId="35AD0E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4</w:t>
                  </w:r>
                </w:p>
              </w:tc>
              <w:tc>
                <w:tcPr>
                  <w:tcW w:w="855" w:type="pct"/>
                  <w:tcBorders>
                    <w:tl2br w:val="nil"/>
                    <w:tr2bl w:val="nil"/>
                  </w:tcBorders>
                  <w:shd w:val="clear" w:color="auto" w:fill="auto"/>
                  <w:noWrap w:val="0"/>
                  <w:vAlign w:val="center"/>
                </w:tcPr>
                <w:p w14:paraId="2158CA8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ar-SA"/>
                    </w:rPr>
                    <w:t>废滤</w:t>
                  </w:r>
                  <w:r>
                    <w:rPr>
                      <w:rFonts w:hint="eastAsia" w:ascii="Times New Roman" w:hAnsi="Times New Roman" w:eastAsia="仿宋" w:cs="Times New Roman"/>
                      <w:b w:val="0"/>
                      <w:bCs w:val="0"/>
                      <w:color w:val="auto"/>
                      <w:kern w:val="0"/>
                      <w:sz w:val="21"/>
                      <w:szCs w:val="21"/>
                      <w:highlight w:val="none"/>
                      <w:lang w:val="en-US" w:eastAsia="zh-CN" w:bidi="ar-SA"/>
                    </w:rPr>
                    <w:t>材</w:t>
                  </w:r>
                </w:p>
              </w:tc>
              <w:tc>
                <w:tcPr>
                  <w:tcW w:w="397" w:type="pct"/>
                  <w:vMerge w:val="continue"/>
                  <w:tcBorders>
                    <w:tl2br w:val="nil"/>
                    <w:tr2bl w:val="nil"/>
                  </w:tcBorders>
                  <w:noWrap w:val="0"/>
                  <w:vAlign w:val="center"/>
                </w:tcPr>
                <w:p w14:paraId="522DA869">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06C0D2C6">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ar-SA"/>
                    </w:rPr>
                    <w:t>纯水制备</w:t>
                  </w:r>
                </w:p>
              </w:tc>
              <w:tc>
                <w:tcPr>
                  <w:tcW w:w="435" w:type="pct"/>
                  <w:tcBorders>
                    <w:tl2br w:val="nil"/>
                    <w:tr2bl w:val="nil"/>
                  </w:tcBorders>
                  <w:shd w:val="clear" w:color="auto" w:fill="auto"/>
                  <w:noWrap w:val="0"/>
                  <w:vAlign w:val="center"/>
                </w:tcPr>
                <w:p w14:paraId="580E818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55E6E96F">
                  <w:pPr>
                    <w:pStyle w:val="4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废活性炭、废膜、废滤芯、废</w:t>
                  </w:r>
                  <w:r>
                    <w:rPr>
                      <w:rFonts w:hint="default" w:ascii="Times New Roman" w:hAnsi="Times New Roman" w:eastAsia="仿宋" w:cs="Times New Roman"/>
                      <w:color w:val="auto"/>
                      <w:sz w:val="21"/>
                      <w:szCs w:val="21"/>
                      <w:highlight w:val="none"/>
                      <w:lang w:val="en-US"/>
                    </w:rPr>
                    <w:t>石英砂</w:t>
                  </w:r>
                </w:p>
              </w:tc>
              <w:tc>
                <w:tcPr>
                  <w:tcW w:w="1202" w:type="dxa"/>
                  <w:tcBorders>
                    <w:tl2br w:val="nil"/>
                    <w:tr2bl w:val="nil"/>
                  </w:tcBorders>
                  <w:shd w:val="clear" w:color="auto" w:fill="auto"/>
                  <w:noWrap w:val="0"/>
                  <w:vAlign w:val="center"/>
                </w:tcPr>
                <w:p w14:paraId="7E7F2C13">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b w:val="0"/>
                      <w:bCs w:val="0"/>
                      <w:color w:val="auto"/>
                      <w:kern w:val="0"/>
                      <w:sz w:val="21"/>
                      <w:szCs w:val="21"/>
                      <w:highlight w:val="none"/>
                      <w:lang w:val="en-US" w:eastAsia="zh-CN" w:bidi="ar-SA"/>
                    </w:rPr>
                    <w:t>0.5</w:t>
                  </w:r>
                </w:p>
              </w:tc>
              <w:tc>
                <w:tcPr>
                  <w:tcW w:w="621" w:type="pct"/>
                  <w:vMerge w:val="continue"/>
                  <w:tcBorders>
                    <w:tl2br w:val="nil"/>
                    <w:tr2bl w:val="nil"/>
                  </w:tcBorders>
                  <w:noWrap w:val="0"/>
                  <w:vAlign w:val="center"/>
                </w:tcPr>
                <w:p w14:paraId="38D9F8B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099F0A0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09" w:type="pct"/>
                  <w:tcBorders>
                    <w:tl2br w:val="nil"/>
                    <w:tr2bl w:val="nil"/>
                  </w:tcBorders>
                  <w:shd w:val="clear" w:color="auto" w:fill="auto"/>
                  <w:noWrap w:val="0"/>
                  <w:vAlign w:val="center"/>
                </w:tcPr>
                <w:p w14:paraId="1CFC3F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5</w:t>
                  </w:r>
                </w:p>
              </w:tc>
              <w:tc>
                <w:tcPr>
                  <w:tcW w:w="855" w:type="pct"/>
                  <w:tcBorders>
                    <w:tl2br w:val="nil"/>
                    <w:tr2bl w:val="nil"/>
                  </w:tcBorders>
                  <w:shd w:val="clear" w:color="auto" w:fill="auto"/>
                  <w:noWrap w:val="0"/>
                  <w:vAlign w:val="center"/>
                </w:tcPr>
                <w:p w14:paraId="4EDAD11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回收粉尘</w:t>
                  </w:r>
                </w:p>
              </w:tc>
              <w:tc>
                <w:tcPr>
                  <w:tcW w:w="397" w:type="pct"/>
                  <w:vMerge w:val="continue"/>
                  <w:tcBorders>
                    <w:tl2br w:val="nil"/>
                    <w:tr2bl w:val="nil"/>
                  </w:tcBorders>
                  <w:noWrap w:val="0"/>
                  <w:vAlign w:val="center"/>
                </w:tcPr>
                <w:p w14:paraId="28FDC577">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549C7BE4">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eastAsia="zh-CN"/>
                    </w:rPr>
                    <w:t>废气处理设备</w:t>
                  </w:r>
                </w:p>
              </w:tc>
              <w:tc>
                <w:tcPr>
                  <w:tcW w:w="435" w:type="pct"/>
                  <w:tcBorders>
                    <w:tl2br w:val="nil"/>
                    <w:tr2bl w:val="nil"/>
                  </w:tcBorders>
                  <w:shd w:val="clear" w:color="auto" w:fill="auto"/>
                  <w:noWrap w:val="0"/>
                  <w:vAlign w:val="center"/>
                </w:tcPr>
                <w:p w14:paraId="22A163D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53A070A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w:t>
                  </w:r>
                </w:p>
              </w:tc>
              <w:tc>
                <w:tcPr>
                  <w:tcW w:w="647" w:type="pct"/>
                  <w:tcBorders>
                    <w:tl2br w:val="nil"/>
                    <w:tr2bl w:val="nil"/>
                  </w:tcBorders>
                  <w:shd w:val="clear" w:color="auto" w:fill="auto"/>
                  <w:noWrap w:val="0"/>
                  <w:vAlign w:val="center"/>
                </w:tcPr>
                <w:p w14:paraId="152A6F0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6.517</w:t>
                  </w:r>
                </w:p>
              </w:tc>
              <w:tc>
                <w:tcPr>
                  <w:tcW w:w="621" w:type="pct"/>
                  <w:vMerge w:val="continue"/>
                  <w:tcBorders>
                    <w:tl2br w:val="nil"/>
                    <w:tr2bl w:val="nil"/>
                  </w:tcBorders>
                  <w:noWrap w:val="0"/>
                  <w:vAlign w:val="center"/>
                </w:tcPr>
                <w:p w14:paraId="4200D7D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10A5310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09" w:type="pct"/>
                  <w:tcBorders>
                    <w:tl2br w:val="nil"/>
                    <w:tr2bl w:val="nil"/>
                  </w:tcBorders>
                  <w:shd w:val="clear" w:color="auto" w:fill="auto"/>
                  <w:noWrap w:val="0"/>
                  <w:vAlign w:val="center"/>
                </w:tcPr>
                <w:p w14:paraId="26E0152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6</w:t>
                  </w:r>
                </w:p>
              </w:tc>
              <w:tc>
                <w:tcPr>
                  <w:tcW w:w="855" w:type="pct"/>
                  <w:tcBorders>
                    <w:tl2br w:val="nil"/>
                    <w:tr2bl w:val="nil"/>
                  </w:tcBorders>
                  <w:shd w:val="clear" w:color="auto" w:fill="auto"/>
                  <w:noWrap w:val="0"/>
                  <w:vAlign w:val="center"/>
                </w:tcPr>
                <w:p w14:paraId="022537A3">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沉降粉尘</w:t>
                  </w:r>
                </w:p>
              </w:tc>
              <w:tc>
                <w:tcPr>
                  <w:tcW w:w="397" w:type="pct"/>
                  <w:vMerge w:val="continue"/>
                  <w:tcBorders>
                    <w:tl2br w:val="nil"/>
                    <w:tr2bl w:val="nil"/>
                  </w:tcBorders>
                  <w:noWrap w:val="0"/>
                  <w:vAlign w:val="center"/>
                </w:tcPr>
                <w:p w14:paraId="2EEBEDBA">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2774CF28">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喷粉</w:t>
                  </w:r>
                </w:p>
              </w:tc>
              <w:tc>
                <w:tcPr>
                  <w:tcW w:w="435" w:type="pct"/>
                  <w:tcBorders>
                    <w:tl2br w:val="nil"/>
                    <w:tr2bl w:val="nil"/>
                  </w:tcBorders>
                  <w:shd w:val="clear" w:color="auto" w:fill="auto"/>
                  <w:noWrap w:val="0"/>
                  <w:vAlign w:val="center"/>
                </w:tcPr>
                <w:p w14:paraId="5FA27BDD">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固态</w:t>
                  </w:r>
                </w:p>
              </w:tc>
              <w:tc>
                <w:tcPr>
                  <w:tcW w:w="870" w:type="pct"/>
                  <w:tcBorders>
                    <w:tl2br w:val="nil"/>
                    <w:tr2bl w:val="nil"/>
                  </w:tcBorders>
                  <w:shd w:val="clear" w:color="auto" w:fill="auto"/>
                  <w:noWrap w:val="0"/>
                  <w:vAlign w:val="center"/>
                </w:tcPr>
                <w:p w14:paraId="6F6F8D83">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w:t>
                  </w:r>
                </w:p>
              </w:tc>
              <w:tc>
                <w:tcPr>
                  <w:tcW w:w="647" w:type="pct"/>
                  <w:tcBorders>
                    <w:tl2br w:val="nil"/>
                    <w:tr2bl w:val="nil"/>
                  </w:tcBorders>
                  <w:shd w:val="clear" w:color="auto" w:fill="auto"/>
                  <w:noWrap w:val="0"/>
                  <w:vAlign w:val="center"/>
                </w:tcPr>
                <w:p w14:paraId="4DFCDCC3">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0.21</w:t>
                  </w:r>
                </w:p>
              </w:tc>
              <w:tc>
                <w:tcPr>
                  <w:tcW w:w="621" w:type="pct"/>
                  <w:vMerge w:val="continue"/>
                  <w:tcBorders>
                    <w:tl2br w:val="nil"/>
                    <w:tr2bl w:val="nil"/>
                  </w:tcBorders>
                  <w:noWrap w:val="0"/>
                  <w:vAlign w:val="center"/>
                </w:tcPr>
                <w:p w14:paraId="37EEDC1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0C00EC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09" w:type="pct"/>
                  <w:tcBorders>
                    <w:tl2br w:val="nil"/>
                    <w:tr2bl w:val="nil"/>
                  </w:tcBorders>
                  <w:shd w:val="clear" w:color="auto" w:fill="auto"/>
                  <w:noWrap w:val="0"/>
                  <w:vAlign w:val="center"/>
                </w:tcPr>
                <w:p w14:paraId="28C448D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7</w:t>
                  </w:r>
                </w:p>
              </w:tc>
              <w:tc>
                <w:tcPr>
                  <w:tcW w:w="855" w:type="pct"/>
                  <w:tcBorders>
                    <w:tl2br w:val="nil"/>
                    <w:tr2bl w:val="nil"/>
                  </w:tcBorders>
                  <w:shd w:val="clear" w:color="auto" w:fill="auto"/>
                  <w:noWrap w:val="0"/>
                  <w:vAlign w:val="center"/>
                </w:tcPr>
                <w:p w14:paraId="5550FBE7">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滤芯</w:t>
                  </w:r>
                </w:p>
              </w:tc>
              <w:tc>
                <w:tcPr>
                  <w:tcW w:w="397" w:type="pct"/>
                  <w:vMerge w:val="continue"/>
                  <w:tcBorders>
                    <w:tl2br w:val="nil"/>
                    <w:tr2bl w:val="nil"/>
                  </w:tcBorders>
                  <w:noWrap w:val="0"/>
                  <w:vAlign w:val="center"/>
                </w:tcPr>
                <w:p w14:paraId="48C5C116">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7420F37F">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废气处理设备</w:t>
                  </w:r>
                </w:p>
              </w:tc>
              <w:tc>
                <w:tcPr>
                  <w:tcW w:w="435" w:type="pct"/>
                  <w:tcBorders>
                    <w:tl2br w:val="nil"/>
                    <w:tr2bl w:val="nil"/>
                  </w:tcBorders>
                  <w:shd w:val="clear" w:color="auto" w:fill="auto"/>
                  <w:noWrap w:val="0"/>
                  <w:vAlign w:val="center"/>
                </w:tcPr>
                <w:p w14:paraId="4D7C964E">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固态</w:t>
                  </w:r>
                </w:p>
              </w:tc>
              <w:tc>
                <w:tcPr>
                  <w:tcW w:w="870" w:type="pct"/>
                  <w:tcBorders>
                    <w:tl2br w:val="nil"/>
                    <w:tr2bl w:val="nil"/>
                  </w:tcBorders>
                  <w:shd w:val="clear" w:color="auto" w:fill="auto"/>
                  <w:noWrap w:val="0"/>
                  <w:vAlign w:val="center"/>
                </w:tcPr>
                <w:p w14:paraId="210A1E31">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滤芯</w:t>
                  </w:r>
                </w:p>
              </w:tc>
              <w:tc>
                <w:tcPr>
                  <w:tcW w:w="647" w:type="pct"/>
                  <w:tcBorders>
                    <w:tl2br w:val="nil"/>
                    <w:tr2bl w:val="nil"/>
                  </w:tcBorders>
                  <w:shd w:val="clear" w:color="auto" w:fill="auto"/>
                  <w:noWrap w:val="0"/>
                  <w:vAlign w:val="center"/>
                </w:tcPr>
                <w:p w14:paraId="7FF38014">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0.001</w:t>
                  </w:r>
                </w:p>
              </w:tc>
              <w:tc>
                <w:tcPr>
                  <w:tcW w:w="621" w:type="pct"/>
                  <w:vMerge w:val="continue"/>
                  <w:tcBorders>
                    <w:tl2br w:val="nil"/>
                    <w:tr2bl w:val="nil"/>
                  </w:tcBorders>
                  <w:noWrap w:val="0"/>
                  <w:vAlign w:val="center"/>
                </w:tcPr>
                <w:p w14:paraId="0419D5E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b w:val="0"/>
                      <w:bCs w:val="0"/>
                      <w:color w:val="auto"/>
                      <w:sz w:val="21"/>
                      <w:szCs w:val="21"/>
                      <w:highlight w:val="none"/>
                    </w:rPr>
                  </w:pPr>
                </w:p>
              </w:tc>
            </w:tr>
            <w:tr w14:paraId="2934CF0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09" w:type="pct"/>
                  <w:tcBorders>
                    <w:tl2br w:val="nil"/>
                    <w:tr2bl w:val="nil"/>
                  </w:tcBorders>
                  <w:shd w:val="clear" w:color="auto" w:fill="auto"/>
                  <w:noWrap w:val="0"/>
                  <w:vAlign w:val="center"/>
                </w:tcPr>
                <w:p w14:paraId="3D9E20F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8</w:t>
                  </w:r>
                </w:p>
              </w:tc>
              <w:tc>
                <w:tcPr>
                  <w:tcW w:w="855" w:type="pct"/>
                  <w:tcBorders>
                    <w:tl2br w:val="nil"/>
                    <w:tr2bl w:val="nil"/>
                  </w:tcBorders>
                  <w:shd w:val="clear" w:color="auto" w:fill="auto"/>
                  <w:noWrap w:val="0"/>
                  <w:vAlign w:val="center"/>
                </w:tcPr>
                <w:p w14:paraId="408A02A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脱脂废液</w:t>
                  </w:r>
                </w:p>
              </w:tc>
              <w:tc>
                <w:tcPr>
                  <w:tcW w:w="397" w:type="pct"/>
                  <w:vMerge w:val="restart"/>
                  <w:tcBorders>
                    <w:tl2br w:val="nil"/>
                    <w:tr2bl w:val="nil"/>
                  </w:tcBorders>
                  <w:noWrap w:val="0"/>
                  <w:vAlign w:val="center"/>
                </w:tcPr>
                <w:p w14:paraId="1252C832">
                  <w:pPr>
                    <w:keepNext w:val="0"/>
                    <w:keepLines w:val="0"/>
                    <w:pageBreakBefore w:val="0"/>
                    <w:widowControl w:val="0"/>
                    <w:kinsoku/>
                    <w:wordWrap/>
                    <w:overflowPunct/>
                    <w:topLinePunct w:val="0"/>
                    <w:autoSpaceDE/>
                    <w:autoSpaceDN/>
                    <w:bidi w:val="0"/>
                    <w:spacing w:line="240" w:lineRule="auto"/>
                    <w:ind w:right="-76" w:rightChars="-36"/>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危险废物</w:t>
                  </w:r>
                </w:p>
              </w:tc>
              <w:tc>
                <w:tcPr>
                  <w:tcW w:w="763" w:type="pct"/>
                  <w:tcBorders>
                    <w:tl2br w:val="nil"/>
                    <w:tr2bl w:val="nil"/>
                  </w:tcBorders>
                  <w:shd w:val="clear" w:color="auto" w:fill="auto"/>
                  <w:noWrap w:val="0"/>
                  <w:vAlign w:val="center"/>
                </w:tcPr>
                <w:p w14:paraId="1A35113A">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脱脂处理</w:t>
                  </w:r>
                </w:p>
              </w:tc>
              <w:tc>
                <w:tcPr>
                  <w:tcW w:w="435" w:type="pct"/>
                  <w:tcBorders>
                    <w:tl2br w:val="nil"/>
                    <w:tr2bl w:val="nil"/>
                  </w:tcBorders>
                  <w:shd w:val="clear" w:color="auto" w:fill="auto"/>
                  <w:noWrap w:val="0"/>
                  <w:vAlign w:val="center"/>
                </w:tcPr>
                <w:p w14:paraId="3B04F801">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870" w:type="pct"/>
                  <w:tcBorders>
                    <w:tl2br w:val="nil"/>
                    <w:tr2bl w:val="nil"/>
                  </w:tcBorders>
                  <w:shd w:val="clear" w:color="auto" w:fill="auto"/>
                  <w:noWrap w:val="0"/>
                  <w:vAlign w:val="center"/>
                </w:tcPr>
                <w:p w14:paraId="58846BB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水、脱脂剂</w:t>
                  </w:r>
                </w:p>
              </w:tc>
              <w:tc>
                <w:tcPr>
                  <w:tcW w:w="1202" w:type="dxa"/>
                  <w:tcBorders>
                    <w:tl2br w:val="nil"/>
                    <w:tr2bl w:val="nil"/>
                  </w:tcBorders>
                  <w:shd w:val="clear" w:color="auto" w:fill="auto"/>
                  <w:noWrap w:val="0"/>
                  <w:vAlign w:val="center"/>
                </w:tcPr>
                <w:p w14:paraId="0073DB2C">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21</w:t>
                  </w:r>
                </w:p>
              </w:tc>
              <w:tc>
                <w:tcPr>
                  <w:tcW w:w="621" w:type="pct"/>
                  <w:vMerge w:val="restart"/>
                  <w:tcBorders>
                    <w:tl2br w:val="nil"/>
                    <w:tr2bl w:val="nil"/>
                  </w:tcBorders>
                  <w:shd w:val="clear" w:color="auto" w:fill="auto"/>
                  <w:noWrap w:val="0"/>
                  <w:vAlign w:val="center"/>
                </w:tcPr>
                <w:p w14:paraId="0D2CE14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委托有资质单位处置</w:t>
                  </w:r>
                </w:p>
              </w:tc>
            </w:tr>
            <w:tr w14:paraId="379CB8F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09" w:type="pct"/>
                  <w:tcBorders>
                    <w:tl2br w:val="nil"/>
                    <w:tr2bl w:val="nil"/>
                  </w:tcBorders>
                  <w:shd w:val="clear" w:color="auto" w:fill="auto"/>
                  <w:noWrap w:val="0"/>
                  <w:vAlign w:val="center"/>
                </w:tcPr>
                <w:p w14:paraId="47E04C9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9</w:t>
                  </w:r>
                </w:p>
              </w:tc>
              <w:tc>
                <w:tcPr>
                  <w:tcW w:w="855" w:type="pct"/>
                  <w:tcBorders>
                    <w:tl2br w:val="nil"/>
                    <w:tr2bl w:val="nil"/>
                  </w:tcBorders>
                  <w:shd w:val="clear" w:color="auto" w:fill="auto"/>
                  <w:noWrap w:val="0"/>
                  <w:vAlign w:val="center"/>
                </w:tcPr>
                <w:p w14:paraId="491CA697">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酸洗废液</w:t>
                  </w:r>
                </w:p>
              </w:tc>
              <w:tc>
                <w:tcPr>
                  <w:tcW w:w="397" w:type="pct"/>
                  <w:vMerge w:val="continue"/>
                  <w:tcBorders>
                    <w:tl2br w:val="nil"/>
                    <w:tr2bl w:val="nil"/>
                  </w:tcBorders>
                  <w:noWrap w:val="0"/>
                  <w:vAlign w:val="center"/>
                </w:tcPr>
                <w:p w14:paraId="761E1886">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47FC1AC7">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酸洗处理</w:t>
                  </w:r>
                </w:p>
              </w:tc>
              <w:tc>
                <w:tcPr>
                  <w:tcW w:w="435" w:type="pct"/>
                  <w:tcBorders>
                    <w:tl2br w:val="nil"/>
                    <w:tr2bl w:val="nil"/>
                  </w:tcBorders>
                  <w:shd w:val="clear" w:color="auto" w:fill="auto"/>
                  <w:noWrap w:val="0"/>
                  <w:vAlign w:val="center"/>
                </w:tcPr>
                <w:p w14:paraId="7E5C6F1E">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870" w:type="pct"/>
                  <w:tcBorders>
                    <w:tl2br w:val="nil"/>
                    <w:tr2bl w:val="nil"/>
                  </w:tcBorders>
                  <w:shd w:val="clear" w:color="auto" w:fill="auto"/>
                  <w:noWrap w:val="0"/>
                  <w:vAlign w:val="center"/>
                </w:tcPr>
                <w:p w14:paraId="77847FEF">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水、硫酸、盐酸</w:t>
                  </w:r>
                </w:p>
              </w:tc>
              <w:tc>
                <w:tcPr>
                  <w:tcW w:w="1202" w:type="dxa"/>
                  <w:tcBorders>
                    <w:tl2br w:val="nil"/>
                    <w:tr2bl w:val="nil"/>
                  </w:tcBorders>
                  <w:shd w:val="clear" w:color="auto" w:fill="auto"/>
                  <w:noWrap w:val="0"/>
                  <w:vAlign w:val="center"/>
                </w:tcPr>
                <w:p w14:paraId="0EC9B011">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21</w:t>
                  </w:r>
                </w:p>
              </w:tc>
              <w:tc>
                <w:tcPr>
                  <w:tcW w:w="621" w:type="pct"/>
                  <w:vMerge w:val="continue"/>
                  <w:tcBorders>
                    <w:tl2br w:val="nil"/>
                    <w:tr2bl w:val="nil"/>
                  </w:tcBorders>
                  <w:shd w:val="clear" w:color="auto" w:fill="auto"/>
                  <w:noWrap w:val="0"/>
                  <w:vAlign w:val="center"/>
                </w:tcPr>
                <w:p w14:paraId="0C50C90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374C59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9" w:type="pct"/>
                  <w:tcBorders>
                    <w:tl2br w:val="nil"/>
                    <w:tr2bl w:val="nil"/>
                  </w:tcBorders>
                  <w:shd w:val="clear" w:color="auto" w:fill="auto"/>
                  <w:noWrap w:val="0"/>
                  <w:vAlign w:val="center"/>
                </w:tcPr>
                <w:p w14:paraId="732E052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10</w:t>
                  </w:r>
                </w:p>
              </w:tc>
              <w:tc>
                <w:tcPr>
                  <w:tcW w:w="855" w:type="pct"/>
                  <w:tcBorders>
                    <w:tl2br w:val="nil"/>
                    <w:tr2bl w:val="nil"/>
                  </w:tcBorders>
                  <w:shd w:val="clear" w:color="auto" w:fill="auto"/>
                  <w:noWrap w:val="0"/>
                  <w:vAlign w:val="center"/>
                </w:tcPr>
                <w:p w14:paraId="2EDC01AC">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中和废液</w:t>
                  </w:r>
                </w:p>
              </w:tc>
              <w:tc>
                <w:tcPr>
                  <w:tcW w:w="397" w:type="pct"/>
                  <w:vMerge w:val="continue"/>
                  <w:tcBorders>
                    <w:tl2br w:val="nil"/>
                    <w:tr2bl w:val="nil"/>
                  </w:tcBorders>
                  <w:noWrap w:val="0"/>
                  <w:vAlign w:val="center"/>
                </w:tcPr>
                <w:p w14:paraId="36426C5D">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3698E095">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中和处理</w:t>
                  </w:r>
                </w:p>
              </w:tc>
              <w:tc>
                <w:tcPr>
                  <w:tcW w:w="435" w:type="pct"/>
                  <w:tcBorders>
                    <w:tl2br w:val="nil"/>
                    <w:tr2bl w:val="nil"/>
                  </w:tcBorders>
                  <w:shd w:val="clear" w:color="auto" w:fill="auto"/>
                  <w:noWrap w:val="0"/>
                  <w:vAlign w:val="center"/>
                </w:tcPr>
                <w:p w14:paraId="36BFBD8A">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870" w:type="pct"/>
                  <w:tcBorders>
                    <w:tl2br w:val="nil"/>
                    <w:tr2bl w:val="nil"/>
                  </w:tcBorders>
                  <w:shd w:val="clear" w:color="auto" w:fill="auto"/>
                  <w:noWrap w:val="0"/>
                  <w:vAlign w:val="center"/>
                </w:tcPr>
                <w:p w14:paraId="177FA90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水、氢氧化钠</w:t>
                  </w:r>
                </w:p>
              </w:tc>
              <w:tc>
                <w:tcPr>
                  <w:tcW w:w="1202" w:type="dxa"/>
                  <w:tcBorders>
                    <w:tl2br w:val="nil"/>
                    <w:tr2bl w:val="nil"/>
                  </w:tcBorders>
                  <w:shd w:val="clear" w:color="auto" w:fill="auto"/>
                  <w:noWrap w:val="0"/>
                  <w:vAlign w:val="center"/>
                </w:tcPr>
                <w:p w14:paraId="3DF34DAD">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8.24</w:t>
                  </w:r>
                </w:p>
              </w:tc>
              <w:tc>
                <w:tcPr>
                  <w:tcW w:w="621" w:type="pct"/>
                  <w:vMerge w:val="continue"/>
                  <w:tcBorders>
                    <w:tl2br w:val="nil"/>
                    <w:tr2bl w:val="nil"/>
                  </w:tcBorders>
                  <w:shd w:val="clear" w:color="auto" w:fill="auto"/>
                  <w:noWrap w:val="0"/>
                  <w:vAlign w:val="center"/>
                </w:tcPr>
                <w:p w14:paraId="0EF6804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2536B5D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9" w:type="pct"/>
                  <w:tcBorders>
                    <w:tl2br w:val="nil"/>
                    <w:tr2bl w:val="nil"/>
                  </w:tcBorders>
                  <w:shd w:val="clear" w:color="auto" w:fill="auto"/>
                  <w:noWrap w:val="0"/>
                  <w:vAlign w:val="center"/>
                </w:tcPr>
                <w:p w14:paraId="231125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11</w:t>
                  </w:r>
                </w:p>
              </w:tc>
              <w:tc>
                <w:tcPr>
                  <w:tcW w:w="855" w:type="pct"/>
                  <w:tcBorders>
                    <w:tl2br w:val="nil"/>
                    <w:tr2bl w:val="nil"/>
                  </w:tcBorders>
                  <w:shd w:val="clear" w:color="auto" w:fill="auto"/>
                  <w:noWrap w:val="0"/>
                  <w:vAlign w:val="center"/>
                </w:tcPr>
                <w:p w14:paraId="0315496E">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硅烷废液</w:t>
                  </w:r>
                </w:p>
              </w:tc>
              <w:tc>
                <w:tcPr>
                  <w:tcW w:w="397" w:type="pct"/>
                  <w:vMerge w:val="continue"/>
                  <w:tcBorders>
                    <w:tl2br w:val="nil"/>
                    <w:tr2bl w:val="nil"/>
                  </w:tcBorders>
                  <w:noWrap w:val="0"/>
                  <w:vAlign w:val="center"/>
                </w:tcPr>
                <w:p w14:paraId="4E14EF22">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26C817A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硅烷处理</w:t>
                  </w:r>
                </w:p>
              </w:tc>
              <w:tc>
                <w:tcPr>
                  <w:tcW w:w="435" w:type="pct"/>
                  <w:tcBorders>
                    <w:tl2br w:val="nil"/>
                    <w:tr2bl w:val="nil"/>
                  </w:tcBorders>
                  <w:shd w:val="clear" w:color="auto" w:fill="auto"/>
                  <w:noWrap w:val="0"/>
                  <w:vAlign w:val="center"/>
                </w:tcPr>
                <w:p w14:paraId="1D05215C">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870" w:type="pct"/>
                  <w:tcBorders>
                    <w:tl2br w:val="nil"/>
                    <w:tr2bl w:val="nil"/>
                  </w:tcBorders>
                  <w:shd w:val="clear" w:color="auto" w:fill="auto"/>
                  <w:noWrap w:val="0"/>
                  <w:vAlign w:val="center"/>
                </w:tcPr>
                <w:p w14:paraId="507F44F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水、硅烷剂</w:t>
                  </w:r>
                </w:p>
              </w:tc>
              <w:tc>
                <w:tcPr>
                  <w:tcW w:w="1202" w:type="dxa"/>
                  <w:tcBorders>
                    <w:tl2br w:val="nil"/>
                    <w:tr2bl w:val="nil"/>
                  </w:tcBorders>
                  <w:shd w:val="clear" w:color="auto" w:fill="auto"/>
                  <w:noWrap w:val="0"/>
                  <w:vAlign w:val="center"/>
                </w:tcPr>
                <w:p w14:paraId="184E8253">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14</w:t>
                  </w:r>
                </w:p>
              </w:tc>
              <w:tc>
                <w:tcPr>
                  <w:tcW w:w="621" w:type="pct"/>
                  <w:vMerge w:val="continue"/>
                  <w:tcBorders>
                    <w:tl2br w:val="nil"/>
                    <w:tr2bl w:val="nil"/>
                  </w:tcBorders>
                  <w:shd w:val="clear" w:color="auto" w:fill="auto"/>
                  <w:noWrap w:val="0"/>
                  <w:vAlign w:val="center"/>
                </w:tcPr>
                <w:p w14:paraId="57517A1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371885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tcBorders>
                    <w:tl2br w:val="nil"/>
                    <w:tr2bl w:val="nil"/>
                  </w:tcBorders>
                  <w:shd w:val="clear" w:color="auto" w:fill="auto"/>
                  <w:noWrap w:val="0"/>
                  <w:vAlign w:val="center"/>
                </w:tcPr>
                <w:p w14:paraId="30B3692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12</w:t>
                  </w:r>
                </w:p>
              </w:tc>
              <w:tc>
                <w:tcPr>
                  <w:tcW w:w="855" w:type="pct"/>
                  <w:tcBorders>
                    <w:tl2br w:val="nil"/>
                    <w:tr2bl w:val="nil"/>
                  </w:tcBorders>
                  <w:shd w:val="clear" w:color="auto" w:fill="auto"/>
                  <w:noWrap w:val="0"/>
                  <w:vAlign w:val="center"/>
                </w:tcPr>
                <w:p w14:paraId="6FBE6186">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废超滤膜</w:t>
                  </w:r>
                </w:p>
              </w:tc>
              <w:tc>
                <w:tcPr>
                  <w:tcW w:w="397" w:type="pct"/>
                  <w:vMerge w:val="continue"/>
                  <w:tcBorders>
                    <w:tl2br w:val="nil"/>
                    <w:tr2bl w:val="nil"/>
                  </w:tcBorders>
                  <w:noWrap w:val="0"/>
                  <w:vAlign w:val="center"/>
                </w:tcPr>
                <w:p w14:paraId="73C5D13F">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311737B2">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b w:val="0"/>
                      <w:bCs w:val="0"/>
                      <w:color w:val="auto"/>
                      <w:kern w:val="0"/>
                      <w:sz w:val="21"/>
                      <w:szCs w:val="21"/>
                      <w:highlight w:val="none"/>
                      <w:lang w:val="en-US" w:eastAsia="zh-CN" w:bidi="ar-SA"/>
                    </w:rPr>
                    <w:t>超滤装置</w:t>
                  </w:r>
                </w:p>
              </w:tc>
              <w:tc>
                <w:tcPr>
                  <w:tcW w:w="435" w:type="pct"/>
                  <w:tcBorders>
                    <w:tl2br w:val="nil"/>
                    <w:tr2bl w:val="nil"/>
                  </w:tcBorders>
                  <w:shd w:val="clear" w:color="auto" w:fill="auto"/>
                  <w:noWrap w:val="0"/>
                  <w:vAlign w:val="center"/>
                </w:tcPr>
                <w:p w14:paraId="3E9480A2">
                  <w:pPr>
                    <w:spacing w:line="240" w:lineRule="exact"/>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b w:val="0"/>
                      <w:bCs w:val="0"/>
                      <w:color w:val="auto"/>
                      <w:kern w:val="0"/>
                      <w:sz w:val="21"/>
                      <w:szCs w:val="21"/>
                      <w:highlight w:val="none"/>
                      <w:lang w:val="en-US" w:eastAsia="zh-CN" w:bidi="ar-SA"/>
                    </w:rPr>
                    <w:t>固态</w:t>
                  </w:r>
                </w:p>
              </w:tc>
              <w:tc>
                <w:tcPr>
                  <w:tcW w:w="870" w:type="pct"/>
                  <w:tcBorders>
                    <w:tl2br w:val="nil"/>
                    <w:tr2bl w:val="nil"/>
                  </w:tcBorders>
                  <w:shd w:val="clear" w:color="auto" w:fill="auto"/>
                  <w:noWrap w:val="0"/>
                  <w:vAlign w:val="center"/>
                </w:tcPr>
                <w:p w14:paraId="1B30AEF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b w:val="0"/>
                      <w:bCs w:val="0"/>
                      <w:color w:val="auto"/>
                      <w:kern w:val="0"/>
                      <w:sz w:val="21"/>
                      <w:szCs w:val="21"/>
                      <w:highlight w:val="none"/>
                      <w:lang w:val="en-US" w:eastAsia="zh-CN" w:bidi="ar-SA"/>
                    </w:rPr>
                    <w:t>超滤膜</w:t>
                  </w:r>
                </w:p>
              </w:tc>
              <w:tc>
                <w:tcPr>
                  <w:tcW w:w="1202" w:type="dxa"/>
                  <w:tcBorders>
                    <w:tl2br w:val="nil"/>
                    <w:tr2bl w:val="nil"/>
                  </w:tcBorders>
                  <w:shd w:val="clear" w:color="auto" w:fill="auto"/>
                  <w:noWrap w:val="0"/>
                  <w:vAlign w:val="center"/>
                </w:tcPr>
                <w:p w14:paraId="64A27E4E">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0.005</w:t>
                  </w:r>
                </w:p>
              </w:tc>
              <w:tc>
                <w:tcPr>
                  <w:tcW w:w="621" w:type="pct"/>
                  <w:vMerge w:val="continue"/>
                  <w:tcBorders>
                    <w:tl2br w:val="nil"/>
                    <w:tr2bl w:val="nil"/>
                  </w:tcBorders>
                  <w:shd w:val="clear" w:color="auto" w:fill="auto"/>
                  <w:noWrap w:val="0"/>
                  <w:vAlign w:val="center"/>
                </w:tcPr>
                <w:p w14:paraId="71B4789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15AE557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538" w:hRule="atLeast"/>
                <w:jc w:val="center"/>
              </w:trPr>
              <w:tc>
                <w:tcPr>
                  <w:tcW w:w="409" w:type="pct"/>
                  <w:tcBorders>
                    <w:tl2br w:val="nil"/>
                    <w:tr2bl w:val="nil"/>
                  </w:tcBorders>
                  <w:shd w:val="clear" w:color="auto" w:fill="auto"/>
                  <w:noWrap w:val="0"/>
                  <w:vAlign w:val="center"/>
                </w:tcPr>
                <w:p w14:paraId="5C8FA32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13</w:t>
                  </w:r>
                </w:p>
              </w:tc>
              <w:tc>
                <w:tcPr>
                  <w:tcW w:w="855" w:type="pct"/>
                  <w:tcBorders>
                    <w:tl2br w:val="nil"/>
                    <w:tr2bl w:val="nil"/>
                  </w:tcBorders>
                  <w:shd w:val="clear" w:color="auto" w:fill="auto"/>
                  <w:noWrap w:val="0"/>
                  <w:vAlign w:val="center"/>
                </w:tcPr>
                <w:p w14:paraId="266A626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槽渣</w:t>
                  </w:r>
                </w:p>
              </w:tc>
              <w:tc>
                <w:tcPr>
                  <w:tcW w:w="397" w:type="pct"/>
                  <w:vMerge w:val="continue"/>
                  <w:tcBorders>
                    <w:tl2br w:val="nil"/>
                    <w:tr2bl w:val="nil"/>
                  </w:tcBorders>
                  <w:noWrap w:val="0"/>
                  <w:vAlign w:val="center"/>
                </w:tcPr>
                <w:p w14:paraId="23D745D6">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766F5069">
                  <w:pPr>
                    <w:pStyle w:val="40"/>
                    <w:adjustRightInd w:val="0"/>
                    <w:snapToGrid w:val="0"/>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电泳</w:t>
                  </w:r>
                </w:p>
              </w:tc>
              <w:tc>
                <w:tcPr>
                  <w:tcW w:w="435" w:type="pct"/>
                  <w:tcBorders>
                    <w:tl2br w:val="nil"/>
                    <w:tr2bl w:val="nil"/>
                  </w:tcBorders>
                  <w:shd w:val="clear" w:color="auto" w:fill="auto"/>
                  <w:noWrap w:val="0"/>
                  <w:vAlign w:val="center"/>
                </w:tcPr>
                <w:p w14:paraId="2A4E2F23">
                  <w:pPr>
                    <w:spacing w:line="240" w:lineRule="exact"/>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5298C3B7">
                  <w:pPr>
                    <w:pStyle w:val="40"/>
                    <w:adjustRightInd w:val="0"/>
                    <w:snapToGrid w:val="0"/>
                    <w:jc w:val="center"/>
                    <w:rPr>
                      <w:rFonts w:hint="default" w:ascii="Times New Roman" w:hAnsi="Times New Roman" w:eastAsia="仿宋" w:cs="Times New Roman"/>
                      <w:b w:val="0"/>
                      <w:bCs w:val="0"/>
                      <w:color w:val="auto"/>
                      <w:kern w:val="0"/>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电泳漆</w:t>
                  </w:r>
                </w:p>
              </w:tc>
              <w:tc>
                <w:tcPr>
                  <w:tcW w:w="1202" w:type="dxa"/>
                  <w:tcBorders>
                    <w:tl2br w:val="nil"/>
                    <w:tr2bl w:val="nil"/>
                  </w:tcBorders>
                  <w:shd w:val="clear" w:color="auto" w:fill="auto"/>
                  <w:noWrap w:val="0"/>
                  <w:vAlign w:val="center"/>
                </w:tcPr>
                <w:p w14:paraId="39A0727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11138</w:t>
                  </w:r>
                </w:p>
              </w:tc>
              <w:tc>
                <w:tcPr>
                  <w:tcW w:w="621" w:type="pct"/>
                  <w:vMerge w:val="continue"/>
                  <w:tcBorders>
                    <w:tl2br w:val="nil"/>
                    <w:tr2bl w:val="nil"/>
                  </w:tcBorders>
                  <w:shd w:val="clear" w:color="auto" w:fill="auto"/>
                  <w:noWrap w:val="0"/>
                  <w:vAlign w:val="center"/>
                </w:tcPr>
                <w:p w14:paraId="4477D65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5845900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9" w:type="pct"/>
                  <w:tcBorders>
                    <w:tl2br w:val="nil"/>
                    <w:tr2bl w:val="nil"/>
                  </w:tcBorders>
                  <w:shd w:val="clear" w:color="auto" w:fill="auto"/>
                  <w:noWrap w:val="0"/>
                  <w:vAlign w:val="center"/>
                </w:tcPr>
                <w:p w14:paraId="0C399B9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14</w:t>
                  </w:r>
                </w:p>
              </w:tc>
              <w:tc>
                <w:tcPr>
                  <w:tcW w:w="855" w:type="pct"/>
                  <w:tcBorders>
                    <w:tl2br w:val="nil"/>
                    <w:tr2bl w:val="nil"/>
                  </w:tcBorders>
                  <w:shd w:val="clear" w:color="auto" w:fill="auto"/>
                  <w:noWrap w:val="0"/>
                  <w:vAlign w:val="center"/>
                </w:tcPr>
                <w:p w14:paraId="5B882C4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表调废液</w:t>
                  </w:r>
                </w:p>
              </w:tc>
              <w:tc>
                <w:tcPr>
                  <w:tcW w:w="397" w:type="pct"/>
                  <w:vMerge w:val="continue"/>
                  <w:tcBorders>
                    <w:tl2br w:val="nil"/>
                    <w:tr2bl w:val="nil"/>
                  </w:tcBorders>
                  <w:noWrap w:val="0"/>
                  <w:vAlign w:val="center"/>
                </w:tcPr>
                <w:p w14:paraId="37F34420">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54A1ABA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表调处理</w:t>
                  </w:r>
                </w:p>
              </w:tc>
              <w:tc>
                <w:tcPr>
                  <w:tcW w:w="435" w:type="pct"/>
                  <w:tcBorders>
                    <w:tl2br w:val="nil"/>
                    <w:tr2bl w:val="nil"/>
                  </w:tcBorders>
                  <w:shd w:val="clear" w:color="auto" w:fill="auto"/>
                  <w:noWrap w:val="0"/>
                  <w:vAlign w:val="center"/>
                </w:tcPr>
                <w:p w14:paraId="3076F35C">
                  <w:pPr>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液</w:t>
                  </w:r>
                  <w:r>
                    <w:rPr>
                      <w:rFonts w:hint="default" w:ascii="Times New Roman" w:hAnsi="Times New Roman" w:eastAsia="仿宋" w:cs="Times New Roman"/>
                      <w:color w:val="auto"/>
                      <w:sz w:val="21"/>
                      <w:szCs w:val="21"/>
                      <w:highlight w:val="none"/>
                    </w:rPr>
                    <w:t>态</w:t>
                  </w:r>
                </w:p>
              </w:tc>
              <w:tc>
                <w:tcPr>
                  <w:tcW w:w="870" w:type="pct"/>
                  <w:tcBorders>
                    <w:tl2br w:val="nil"/>
                    <w:tr2bl w:val="nil"/>
                  </w:tcBorders>
                  <w:shd w:val="clear" w:color="auto" w:fill="auto"/>
                  <w:noWrap w:val="0"/>
                  <w:vAlign w:val="center"/>
                </w:tcPr>
                <w:p w14:paraId="64FBBFB9">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水、表调剂</w:t>
                  </w:r>
                </w:p>
              </w:tc>
              <w:tc>
                <w:tcPr>
                  <w:tcW w:w="1202" w:type="dxa"/>
                  <w:tcBorders>
                    <w:tl2br w:val="nil"/>
                    <w:tr2bl w:val="nil"/>
                  </w:tcBorders>
                  <w:shd w:val="clear" w:color="auto" w:fill="auto"/>
                  <w:noWrap w:val="0"/>
                  <w:vAlign w:val="center"/>
                </w:tcPr>
                <w:p w14:paraId="3E1E18C6">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5.76</w:t>
                  </w:r>
                </w:p>
              </w:tc>
              <w:tc>
                <w:tcPr>
                  <w:tcW w:w="621" w:type="pct"/>
                  <w:vMerge w:val="continue"/>
                  <w:tcBorders>
                    <w:tl2br w:val="nil"/>
                    <w:tr2bl w:val="nil"/>
                  </w:tcBorders>
                  <w:shd w:val="clear" w:color="auto" w:fill="auto"/>
                  <w:noWrap w:val="0"/>
                  <w:vAlign w:val="center"/>
                </w:tcPr>
                <w:p w14:paraId="73DD777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5E5507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9" w:type="pct"/>
                  <w:tcBorders>
                    <w:tl2br w:val="nil"/>
                    <w:tr2bl w:val="nil"/>
                  </w:tcBorders>
                  <w:shd w:val="clear" w:color="auto" w:fill="auto"/>
                  <w:noWrap w:val="0"/>
                  <w:vAlign w:val="center"/>
                </w:tcPr>
                <w:p w14:paraId="397643E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15</w:t>
                  </w:r>
                </w:p>
              </w:tc>
              <w:tc>
                <w:tcPr>
                  <w:tcW w:w="855" w:type="pct"/>
                  <w:tcBorders>
                    <w:tl2br w:val="nil"/>
                    <w:tr2bl w:val="nil"/>
                  </w:tcBorders>
                  <w:shd w:val="clear" w:color="auto" w:fill="auto"/>
                  <w:noWrap w:val="0"/>
                  <w:vAlign w:val="center"/>
                </w:tcPr>
                <w:p w14:paraId="599226B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废包装容器</w:t>
                  </w:r>
                </w:p>
              </w:tc>
              <w:tc>
                <w:tcPr>
                  <w:tcW w:w="397" w:type="pct"/>
                  <w:vMerge w:val="continue"/>
                  <w:tcBorders>
                    <w:tl2br w:val="nil"/>
                    <w:tr2bl w:val="nil"/>
                  </w:tcBorders>
                  <w:noWrap w:val="0"/>
                  <w:vAlign w:val="center"/>
                </w:tcPr>
                <w:p w14:paraId="7DF1DF7D">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50F9DEA1">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拆包</w:t>
                  </w:r>
                </w:p>
              </w:tc>
              <w:tc>
                <w:tcPr>
                  <w:tcW w:w="435" w:type="pct"/>
                  <w:tcBorders>
                    <w:tl2br w:val="nil"/>
                    <w:tr2bl w:val="nil"/>
                  </w:tcBorders>
                  <w:shd w:val="clear" w:color="auto" w:fill="auto"/>
                  <w:noWrap w:val="0"/>
                  <w:vAlign w:val="center"/>
                </w:tcPr>
                <w:p w14:paraId="42F616E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1008A435">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表调剂、硅烷剂等包装</w:t>
                  </w:r>
                </w:p>
              </w:tc>
              <w:tc>
                <w:tcPr>
                  <w:tcW w:w="1202" w:type="dxa"/>
                  <w:tcBorders>
                    <w:tl2br w:val="nil"/>
                    <w:tr2bl w:val="nil"/>
                  </w:tcBorders>
                  <w:shd w:val="clear" w:color="auto" w:fill="auto"/>
                  <w:noWrap w:val="0"/>
                  <w:vAlign w:val="center"/>
                </w:tcPr>
                <w:p w14:paraId="233974F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3.</w:t>
                  </w:r>
                  <w:r>
                    <w:rPr>
                      <w:rFonts w:hint="eastAsia" w:eastAsia="仿宋" w:cs="Times New Roman"/>
                      <w:color w:val="auto"/>
                      <w:sz w:val="21"/>
                      <w:szCs w:val="21"/>
                      <w:highlight w:val="none"/>
                      <w:lang w:val="en-US" w:eastAsia="zh-CN"/>
                    </w:rPr>
                    <w:t>22</w:t>
                  </w:r>
                </w:p>
              </w:tc>
              <w:tc>
                <w:tcPr>
                  <w:tcW w:w="621" w:type="pct"/>
                  <w:vMerge w:val="continue"/>
                  <w:tcBorders>
                    <w:tl2br w:val="nil"/>
                    <w:tr2bl w:val="nil"/>
                  </w:tcBorders>
                  <w:shd w:val="clear" w:color="auto" w:fill="auto"/>
                  <w:noWrap w:val="0"/>
                  <w:vAlign w:val="center"/>
                </w:tcPr>
                <w:p w14:paraId="34E31A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4B92116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9" w:type="pct"/>
                  <w:tcBorders>
                    <w:tl2br w:val="nil"/>
                    <w:tr2bl w:val="nil"/>
                  </w:tcBorders>
                  <w:shd w:val="clear" w:color="auto" w:fill="auto"/>
                  <w:noWrap w:val="0"/>
                  <w:vAlign w:val="center"/>
                </w:tcPr>
                <w:p w14:paraId="2942DA6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16</w:t>
                  </w:r>
                </w:p>
              </w:tc>
              <w:tc>
                <w:tcPr>
                  <w:tcW w:w="855" w:type="pct"/>
                  <w:tcBorders>
                    <w:tl2br w:val="nil"/>
                    <w:tr2bl w:val="nil"/>
                  </w:tcBorders>
                  <w:shd w:val="clear" w:color="auto" w:fill="auto"/>
                  <w:noWrap w:val="0"/>
                  <w:vAlign w:val="center"/>
                </w:tcPr>
                <w:p w14:paraId="560E662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润滑油</w:t>
                  </w:r>
                </w:p>
              </w:tc>
              <w:tc>
                <w:tcPr>
                  <w:tcW w:w="397" w:type="pct"/>
                  <w:vMerge w:val="continue"/>
                  <w:tcBorders>
                    <w:tl2br w:val="nil"/>
                    <w:tr2bl w:val="nil"/>
                  </w:tcBorders>
                  <w:noWrap w:val="0"/>
                  <w:vAlign w:val="center"/>
                </w:tcPr>
                <w:p w14:paraId="26D34565">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31C9E7F0">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设备维护</w:t>
                  </w:r>
                </w:p>
              </w:tc>
              <w:tc>
                <w:tcPr>
                  <w:tcW w:w="435" w:type="pct"/>
                  <w:tcBorders>
                    <w:tl2br w:val="nil"/>
                    <w:tr2bl w:val="nil"/>
                  </w:tcBorders>
                  <w:shd w:val="clear" w:color="auto" w:fill="auto"/>
                  <w:noWrap w:val="0"/>
                  <w:vAlign w:val="center"/>
                </w:tcPr>
                <w:p w14:paraId="3C7FDDF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液态</w:t>
                  </w:r>
                </w:p>
              </w:tc>
              <w:tc>
                <w:tcPr>
                  <w:tcW w:w="870" w:type="pct"/>
                  <w:tcBorders>
                    <w:tl2br w:val="nil"/>
                    <w:tr2bl w:val="nil"/>
                  </w:tcBorders>
                  <w:shd w:val="clear" w:color="auto" w:fill="auto"/>
                  <w:noWrap w:val="0"/>
                  <w:vAlign w:val="center"/>
                </w:tcPr>
                <w:p w14:paraId="3AFCF6BE">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润滑油</w:t>
                  </w:r>
                </w:p>
              </w:tc>
              <w:tc>
                <w:tcPr>
                  <w:tcW w:w="1202" w:type="dxa"/>
                  <w:tcBorders>
                    <w:tl2br w:val="nil"/>
                    <w:tr2bl w:val="nil"/>
                  </w:tcBorders>
                  <w:shd w:val="clear" w:color="auto" w:fill="auto"/>
                  <w:noWrap w:val="0"/>
                  <w:vAlign w:val="center"/>
                </w:tcPr>
                <w:p w14:paraId="7B0245AC">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0.01</w:t>
                  </w:r>
                </w:p>
              </w:tc>
              <w:tc>
                <w:tcPr>
                  <w:tcW w:w="621" w:type="pct"/>
                  <w:vMerge w:val="continue"/>
                  <w:tcBorders>
                    <w:tl2br w:val="nil"/>
                    <w:tr2bl w:val="nil"/>
                  </w:tcBorders>
                  <w:shd w:val="clear" w:color="auto" w:fill="auto"/>
                  <w:noWrap w:val="0"/>
                  <w:vAlign w:val="center"/>
                </w:tcPr>
                <w:p w14:paraId="58240BA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572CED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26" w:hRule="atLeast"/>
                <w:jc w:val="center"/>
              </w:trPr>
              <w:tc>
                <w:tcPr>
                  <w:tcW w:w="409" w:type="pct"/>
                  <w:tcBorders>
                    <w:tl2br w:val="nil"/>
                    <w:tr2bl w:val="nil"/>
                  </w:tcBorders>
                  <w:shd w:val="clear" w:color="auto" w:fill="auto"/>
                  <w:noWrap w:val="0"/>
                  <w:vAlign w:val="center"/>
                </w:tcPr>
                <w:p w14:paraId="0A07A6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17</w:t>
                  </w:r>
                </w:p>
              </w:tc>
              <w:tc>
                <w:tcPr>
                  <w:tcW w:w="855" w:type="pct"/>
                  <w:tcBorders>
                    <w:tl2br w:val="nil"/>
                    <w:tr2bl w:val="nil"/>
                  </w:tcBorders>
                  <w:shd w:val="clear" w:color="auto" w:fill="auto"/>
                  <w:noWrap w:val="0"/>
                  <w:vAlign w:val="center"/>
                </w:tcPr>
                <w:p w14:paraId="249758E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含油抹布</w:t>
                  </w:r>
                </w:p>
              </w:tc>
              <w:tc>
                <w:tcPr>
                  <w:tcW w:w="397" w:type="pct"/>
                  <w:vMerge w:val="continue"/>
                  <w:tcBorders>
                    <w:tl2br w:val="nil"/>
                    <w:tr2bl w:val="nil"/>
                  </w:tcBorders>
                  <w:noWrap w:val="0"/>
                  <w:vAlign w:val="center"/>
                </w:tcPr>
                <w:p w14:paraId="5F0C7C80">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75F5449F">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擦拭</w:t>
                  </w:r>
                </w:p>
              </w:tc>
              <w:tc>
                <w:tcPr>
                  <w:tcW w:w="435" w:type="pct"/>
                  <w:tcBorders>
                    <w:tl2br w:val="nil"/>
                    <w:tr2bl w:val="nil"/>
                  </w:tcBorders>
                  <w:shd w:val="clear" w:color="auto" w:fill="auto"/>
                  <w:noWrap w:val="0"/>
                  <w:vAlign w:val="center"/>
                </w:tcPr>
                <w:p w14:paraId="78AB01C2">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0214BB7B">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导轨油、抹布</w:t>
                  </w:r>
                </w:p>
              </w:tc>
              <w:tc>
                <w:tcPr>
                  <w:tcW w:w="1202" w:type="dxa"/>
                  <w:tcBorders>
                    <w:tl2br w:val="nil"/>
                    <w:tr2bl w:val="nil"/>
                  </w:tcBorders>
                  <w:shd w:val="clear" w:color="auto" w:fill="auto"/>
                  <w:noWrap w:val="0"/>
                  <w:vAlign w:val="center"/>
                </w:tcPr>
                <w:p w14:paraId="6B596CF0">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0.02</w:t>
                  </w:r>
                </w:p>
              </w:tc>
              <w:tc>
                <w:tcPr>
                  <w:tcW w:w="621" w:type="pct"/>
                  <w:vMerge w:val="continue"/>
                  <w:tcBorders>
                    <w:tl2br w:val="nil"/>
                    <w:tr2bl w:val="nil"/>
                  </w:tcBorders>
                  <w:shd w:val="clear" w:color="auto" w:fill="auto"/>
                  <w:noWrap w:val="0"/>
                  <w:vAlign w:val="center"/>
                </w:tcPr>
                <w:p w14:paraId="483A058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56C5FE2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9" w:type="pct"/>
                  <w:tcBorders>
                    <w:tl2br w:val="nil"/>
                    <w:tr2bl w:val="nil"/>
                  </w:tcBorders>
                  <w:shd w:val="clear" w:color="auto" w:fill="auto"/>
                  <w:noWrap w:val="0"/>
                  <w:vAlign w:val="center"/>
                </w:tcPr>
                <w:p w14:paraId="0D3626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18</w:t>
                  </w:r>
                </w:p>
              </w:tc>
              <w:tc>
                <w:tcPr>
                  <w:tcW w:w="855" w:type="pct"/>
                  <w:tcBorders>
                    <w:tl2br w:val="nil"/>
                    <w:tr2bl w:val="nil"/>
                  </w:tcBorders>
                  <w:shd w:val="clear" w:color="auto" w:fill="auto"/>
                  <w:noWrap w:val="0"/>
                  <w:vAlign w:val="center"/>
                </w:tcPr>
                <w:p w14:paraId="0B4F1AC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废油桶</w:t>
                  </w:r>
                </w:p>
              </w:tc>
              <w:tc>
                <w:tcPr>
                  <w:tcW w:w="397" w:type="pct"/>
                  <w:vMerge w:val="continue"/>
                  <w:tcBorders>
                    <w:tl2br w:val="nil"/>
                    <w:tr2bl w:val="nil"/>
                  </w:tcBorders>
                  <w:noWrap w:val="0"/>
                  <w:vAlign w:val="center"/>
                </w:tcPr>
                <w:p w14:paraId="2012219D">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1FB5558C">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设备维护</w:t>
                  </w:r>
                </w:p>
              </w:tc>
              <w:tc>
                <w:tcPr>
                  <w:tcW w:w="435" w:type="pct"/>
                  <w:tcBorders>
                    <w:tl2br w:val="nil"/>
                    <w:tr2bl w:val="nil"/>
                  </w:tcBorders>
                  <w:shd w:val="clear" w:color="auto" w:fill="auto"/>
                  <w:noWrap w:val="0"/>
                  <w:vAlign w:val="center"/>
                </w:tcPr>
                <w:p w14:paraId="01619313">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09C52286">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导轨油、包装桶</w:t>
                  </w:r>
                </w:p>
              </w:tc>
              <w:tc>
                <w:tcPr>
                  <w:tcW w:w="1202" w:type="dxa"/>
                  <w:tcBorders>
                    <w:tl2br w:val="nil"/>
                    <w:tr2bl w:val="nil"/>
                  </w:tcBorders>
                  <w:shd w:val="clear" w:color="auto" w:fill="auto"/>
                  <w:noWrap w:val="0"/>
                  <w:vAlign w:val="center"/>
                </w:tcPr>
                <w:p w14:paraId="6AA44BAE">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1</w:t>
                  </w:r>
                </w:p>
              </w:tc>
              <w:tc>
                <w:tcPr>
                  <w:tcW w:w="621" w:type="pct"/>
                  <w:vMerge w:val="continue"/>
                  <w:tcBorders>
                    <w:tl2br w:val="nil"/>
                    <w:tr2bl w:val="nil"/>
                  </w:tcBorders>
                  <w:shd w:val="clear" w:color="auto" w:fill="auto"/>
                  <w:noWrap w:val="0"/>
                  <w:vAlign w:val="center"/>
                </w:tcPr>
                <w:p w14:paraId="46DD3C7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28E40CB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09" w:type="pct"/>
                  <w:tcBorders>
                    <w:tl2br w:val="nil"/>
                    <w:tr2bl w:val="nil"/>
                  </w:tcBorders>
                  <w:shd w:val="clear" w:color="auto" w:fill="auto"/>
                  <w:noWrap w:val="0"/>
                  <w:vAlign w:val="center"/>
                </w:tcPr>
                <w:p w14:paraId="71A8723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19</w:t>
                  </w:r>
                </w:p>
              </w:tc>
              <w:tc>
                <w:tcPr>
                  <w:tcW w:w="855" w:type="pct"/>
                  <w:tcBorders>
                    <w:tl2br w:val="nil"/>
                    <w:tr2bl w:val="nil"/>
                  </w:tcBorders>
                  <w:shd w:val="clear" w:color="auto" w:fill="auto"/>
                  <w:noWrap w:val="0"/>
                  <w:vAlign w:val="center"/>
                </w:tcPr>
                <w:p w14:paraId="1B6BF5BF">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废活性炭</w:t>
                  </w:r>
                </w:p>
              </w:tc>
              <w:tc>
                <w:tcPr>
                  <w:tcW w:w="397" w:type="pct"/>
                  <w:vMerge w:val="continue"/>
                  <w:tcBorders>
                    <w:tl2br w:val="nil"/>
                    <w:tr2bl w:val="nil"/>
                  </w:tcBorders>
                  <w:noWrap w:val="0"/>
                  <w:vAlign w:val="center"/>
                </w:tcPr>
                <w:p w14:paraId="5A19636F">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rPr>
                  </w:pPr>
                </w:p>
              </w:tc>
              <w:tc>
                <w:tcPr>
                  <w:tcW w:w="763" w:type="pct"/>
                  <w:tcBorders>
                    <w:tl2br w:val="nil"/>
                    <w:tr2bl w:val="nil"/>
                  </w:tcBorders>
                  <w:shd w:val="clear" w:color="auto" w:fill="auto"/>
                  <w:noWrap w:val="0"/>
                  <w:vAlign w:val="center"/>
                </w:tcPr>
                <w:p w14:paraId="3A00DFB9">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废气处理</w:t>
                  </w:r>
                </w:p>
              </w:tc>
              <w:tc>
                <w:tcPr>
                  <w:tcW w:w="435" w:type="pct"/>
                  <w:tcBorders>
                    <w:tl2br w:val="nil"/>
                    <w:tr2bl w:val="nil"/>
                  </w:tcBorders>
                  <w:shd w:val="clear" w:color="auto" w:fill="auto"/>
                  <w:noWrap w:val="0"/>
                  <w:vAlign w:val="center"/>
                </w:tcPr>
                <w:p w14:paraId="762BAB48">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3349E99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活性炭、非甲烷总烃</w:t>
                  </w:r>
                </w:p>
              </w:tc>
              <w:tc>
                <w:tcPr>
                  <w:tcW w:w="1202" w:type="dxa"/>
                  <w:tcBorders>
                    <w:tl2br w:val="nil"/>
                    <w:tr2bl w:val="nil"/>
                  </w:tcBorders>
                  <w:shd w:val="clear" w:color="auto" w:fill="auto"/>
                  <w:noWrap w:val="0"/>
                  <w:vAlign w:val="center"/>
                </w:tcPr>
                <w:p w14:paraId="2A197EE1">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13.2237</w:t>
                  </w:r>
                </w:p>
              </w:tc>
              <w:tc>
                <w:tcPr>
                  <w:tcW w:w="621" w:type="pct"/>
                  <w:vMerge w:val="continue"/>
                  <w:tcBorders>
                    <w:tl2br w:val="nil"/>
                    <w:tr2bl w:val="nil"/>
                  </w:tcBorders>
                  <w:shd w:val="clear" w:color="auto" w:fill="auto"/>
                  <w:noWrap w:val="0"/>
                  <w:vAlign w:val="center"/>
                </w:tcPr>
                <w:p w14:paraId="1C09944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397BEEE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09" w:type="pct"/>
                  <w:tcBorders>
                    <w:tl2br w:val="nil"/>
                    <w:tr2bl w:val="nil"/>
                  </w:tcBorders>
                  <w:shd w:val="clear" w:color="auto" w:fill="auto"/>
                  <w:noWrap w:val="0"/>
                  <w:vAlign w:val="center"/>
                </w:tcPr>
                <w:p w14:paraId="0F453EB5">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20</w:t>
                  </w:r>
                </w:p>
              </w:tc>
              <w:tc>
                <w:tcPr>
                  <w:tcW w:w="855" w:type="pct"/>
                  <w:tcBorders>
                    <w:tl2br w:val="nil"/>
                    <w:tr2bl w:val="nil"/>
                  </w:tcBorders>
                  <w:shd w:val="clear" w:color="auto" w:fill="auto"/>
                  <w:noWrap w:val="0"/>
                  <w:vAlign w:val="center"/>
                </w:tcPr>
                <w:p w14:paraId="69D692F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喷淋废液</w:t>
                  </w:r>
                </w:p>
              </w:tc>
              <w:tc>
                <w:tcPr>
                  <w:tcW w:w="397" w:type="pct"/>
                  <w:vMerge w:val="continue"/>
                  <w:tcBorders>
                    <w:tl2br w:val="nil"/>
                    <w:tr2bl w:val="nil"/>
                  </w:tcBorders>
                  <w:noWrap w:val="0"/>
                  <w:vAlign w:val="center"/>
                </w:tcPr>
                <w:p w14:paraId="5A20142D">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403D7700">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废气处理</w:t>
                  </w:r>
                </w:p>
              </w:tc>
              <w:tc>
                <w:tcPr>
                  <w:tcW w:w="435" w:type="pct"/>
                  <w:tcBorders>
                    <w:tl2br w:val="nil"/>
                    <w:tr2bl w:val="nil"/>
                  </w:tcBorders>
                  <w:shd w:val="clear" w:color="auto" w:fill="auto"/>
                  <w:noWrap w:val="0"/>
                  <w:vAlign w:val="center"/>
                </w:tcPr>
                <w:p w14:paraId="7C7A8CD6">
                  <w:pPr>
                    <w:spacing w:line="240" w:lineRule="exact"/>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kern w:val="2"/>
                      <w:sz w:val="21"/>
                      <w:szCs w:val="21"/>
                      <w:highlight w:val="none"/>
                      <w:lang w:val="en-US" w:eastAsia="zh-CN" w:bidi="ar-SA"/>
                    </w:rPr>
                    <w:t>液态</w:t>
                  </w:r>
                </w:p>
              </w:tc>
              <w:tc>
                <w:tcPr>
                  <w:tcW w:w="870" w:type="pct"/>
                  <w:tcBorders>
                    <w:tl2br w:val="nil"/>
                    <w:tr2bl w:val="nil"/>
                  </w:tcBorders>
                  <w:shd w:val="clear" w:color="auto" w:fill="auto"/>
                  <w:noWrap w:val="0"/>
                  <w:vAlign w:val="center"/>
                </w:tcPr>
                <w:p w14:paraId="6FC651AC">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水、硫酸、盐酸</w:t>
                  </w:r>
                </w:p>
              </w:tc>
              <w:tc>
                <w:tcPr>
                  <w:tcW w:w="1202" w:type="dxa"/>
                  <w:tcBorders>
                    <w:tl2br w:val="nil"/>
                    <w:tr2bl w:val="nil"/>
                  </w:tcBorders>
                  <w:shd w:val="clear" w:color="auto" w:fill="auto"/>
                  <w:noWrap w:val="0"/>
                  <w:vAlign w:val="center"/>
                </w:tcPr>
                <w:p w14:paraId="6A849A61">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1</w:t>
                  </w:r>
                </w:p>
              </w:tc>
              <w:tc>
                <w:tcPr>
                  <w:tcW w:w="621" w:type="pct"/>
                  <w:vMerge w:val="continue"/>
                  <w:tcBorders>
                    <w:tl2br w:val="nil"/>
                    <w:tr2bl w:val="nil"/>
                  </w:tcBorders>
                  <w:shd w:val="clear" w:color="auto" w:fill="auto"/>
                  <w:noWrap w:val="0"/>
                  <w:vAlign w:val="center"/>
                </w:tcPr>
                <w:p w14:paraId="30C6CC0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1A50E3E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09" w:type="pct"/>
                  <w:tcBorders>
                    <w:tl2br w:val="nil"/>
                    <w:tr2bl w:val="nil"/>
                  </w:tcBorders>
                  <w:shd w:val="clear" w:color="auto" w:fill="auto"/>
                  <w:noWrap w:val="0"/>
                  <w:vAlign w:val="center"/>
                </w:tcPr>
                <w:p w14:paraId="24B91435">
                  <w:pPr>
                    <w:spacing w:line="240" w:lineRule="exact"/>
                    <w:jc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21</w:t>
                  </w:r>
                </w:p>
              </w:tc>
              <w:tc>
                <w:tcPr>
                  <w:tcW w:w="855" w:type="pct"/>
                  <w:tcBorders>
                    <w:tl2br w:val="nil"/>
                    <w:tr2bl w:val="nil"/>
                  </w:tcBorders>
                  <w:shd w:val="clear" w:color="auto" w:fill="auto"/>
                  <w:noWrap w:val="0"/>
                  <w:vAlign w:val="center"/>
                </w:tcPr>
                <w:p w14:paraId="60B72F39">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废过滤棉</w:t>
                  </w:r>
                </w:p>
              </w:tc>
              <w:tc>
                <w:tcPr>
                  <w:tcW w:w="397" w:type="pct"/>
                  <w:vMerge w:val="continue"/>
                  <w:tcBorders>
                    <w:tl2br w:val="nil"/>
                    <w:tr2bl w:val="nil"/>
                  </w:tcBorders>
                  <w:noWrap w:val="0"/>
                  <w:vAlign w:val="center"/>
                </w:tcPr>
                <w:p w14:paraId="4EEC40F9">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0AA91D9F">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废气处理</w:t>
                  </w:r>
                </w:p>
              </w:tc>
              <w:tc>
                <w:tcPr>
                  <w:tcW w:w="435" w:type="pct"/>
                  <w:tcBorders>
                    <w:tl2br w:val="nil"/>
                    <w:tr2bl w:val="nil"/>
                  </w:tcBorders>
                  <w:shd w:val="clear" w:color="auto" w:fill="auto"/>
                  <w:noWrap w:val="0"/>
                  <w:vAlign w:val="center"/>
                </w:tcPr>
                <w:p w14:paraId="3FA33F98">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36DB5309">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水、硫酸、盐酸、非甲烷总烃</w:t>
                  </w:r>
                </w:p>
              </w:tc>
              <w:tc>
                <w:tcPr>
                  <w:tcW w:w="1202" w:type="dxa"/>
                  <w:tcBorders>
                    <w:tl2br w:val="nil"/>
                    <w:tr2bl w:val="nil"/>
                  </w:tcBorders>
                  <w:shd w:val="clear" w:color="auto" w:fill="auto"/>
                  <w:noWrap w:val="0"/>
                  <w:vAlign w:val="center"/>
                </w:tcPr>
                <w:p w14:paraId="18912876">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0.01</w:t>
                  </w:r>
                </w:p>
              </w:tc>
              <w:tc>
                <w:tcPr>
                  <w:tcW w:w="621" w:type="pct"/>
                  <w:vMerge w:val="continue"/>
                  <w:tcBorders>
                    <w:tl2br w:val="nil"/>
                    <w:tr2bl w:val="nil"/>
                  </w:tcBorders>
                  <w:shd w:val="clear" w:color="auto" w:fill="auto"/>
                  <w:noWrap w:val="0"/>
                  <w:vAlign w:val="center"/>
                </w:tcPr>
                <w:p w14:paraId="3F490E8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5DCAF52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09" w:type="pct"/>
                  <w:tcBorders>
                    <w:tl2br w:val="nil"/>
                    <w:tr2bl w:val="nil"/>
                  </w:tcBorders>
                  <w:shd w:val="clear" w:color="auto" w:fill="auto"/>
                  <w:noWrap w:val="0"/>
                  <w:vAlign w:val="center"/>
                </w:tcPr>
                <w:p w14:paraId="53AE9546">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22</w:t>
                  </w:r>
                </w:p>
              </w:tc>
              <w:tc>
                <w:tcPr>
                  <w:tcW w:w="855" w:type="pct"/>
                  <w:tcBorders>
                    <w:tl2br w:val="nil"/>
                    <w:tr2bl w:val="nil"/>
                  </w:tcBorders>
                  <w:shd w:val="clear" w:color="auto" w:fill="auto"/>
                  <w:noWrap w:val="0"/>
                  <w:vAlign w:val="center"/>
                </w:tcPr>
                <w:p w14:paraId="7A530339">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废RO膜</w:t>
                  </w:r>
                </w:p>
              </w:tc>
              <w:tc>
                <w:tcPr>
                  <w:tcW w:w="397" w:type="pct"/>
                  <w:vMerge w:val="continue"/>
                  <w:tcBorders>
                    <w:tl2br w:val="nil"/>
                    <w:tr2bl w:val="nil"/>
                  </w:tcBorders>
                  <w:noWrap w:val="0"/>
                  <w:vAlign w:val="center"/>
                </w:tcPr>
                <w:p w14:paraId="3FC67E4E">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0BD3D103">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废水处理</w:t>
                  </w:r>
                </w:p>
              </w:tc>
              <w:tc>
                <w:tcPr>
                  <w:tcW w:w="435" w:type="pct"/>
                  <w:tcBorders>
                    <w:tl2br w:val="nil"/>
                    <w:tr2bl w:val="nil"/>
                  </w:tcBorders>
                  <w:shd w:val="clear" w:color="auto" w:fill="auto"/>
                  <w:noWrap w:val="0"/>
                  <w:vAlign w:val="center"/>
                </w:tcPr>
                <w:p w14:paraId="45CBA834">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66146A2C">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废水、膜</w:t>
                  </w:r>
                </w:p>
              </w:tc>
              <w:tc>
                <w:tcPr>
                  <w:tcW w:w="1202" w:type="dxa"/>
                  <w:tcBorders>
                    <w:tl2br w:val="nil"/>
                    <w:tr2bl w:val="nil"/>
                  </w:tcBorders>
                  <w:shd w:val="clear" w:color="auto" w:fill="auto"/>
                  <w:noWrap w:val="0"/>
                  <w:vAlign w:val="center"/>
                </w:tcPr>
                <w:p w14:paraId="4D038F65">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0.05</w:t>
                  </w:r>
                </w:p>
              </w:tc>
              <w:tc>
                <w:tcPr>
                  <w:tcW w:w="621" w:type="pct"/>
                  <w:vMerge w:val="continue"/>
                  <w:tcBorders>
                    <w:tl2br w:val="nil"/>
                    <w:tr2bl w:val="nil"/>
                  </w:tcBorders>
                  <w:shd w:val="clear" w:color="auto" w:fill="auto"/>
                  <w:noWrap w:val="0"/>
                  <w:vAlign w:val="center"/>
                </w:tcPr>
                <w:p w14:paraId="6D6DC29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125DD96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09" w:type="pct"/>
                  <w:tcBorders>
                    <w:tl2br w:val="nil"/>
                    <w:tr2bl w:val="nil"/>
                  </w:tcBorders>
                  <w:shd w:val="clear" w:color="auto" w:fill="auto"/>
                  <w:noWrap w:val="0"/>
                  <w:vAlign w:val="center"/>
                </w:tcPr>
                <w:p w14:paraId="349EA53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23</w:t>
                  </w:r>
                </w:p>
              </w:tc>
              <w:tc>
                <w:tcPr>
                  <w:tcW w:w="855" w:type="pct"/>
                  <w:tcBorders>
                    <w:tl2br w:val="nil"/>
                    <w:tr2bl w:val="nil"/>
                  </w:tcBorders>
                  <w:shd w:val="clear" w:color="auto" w:fill="auto"/>
                  <w:noWrap w:val="0"/>
                  <w:vAlign w:val="center"/>
                </w:tcPr>
                <w:p w14:paraId="66851B3A">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污泥</w:t>
                  </w:r>
                </w:p>
              </w:tc>
              <w:tc>
                <w:tcPr>
                  <w:tcW w:w="397" w:type="pct"/>
                  <w:vMerge w:val="continue"/>
                  <w:tcBorders>
                    <w:tl2br w:val="nil"/>
                    <w:tr2bl w:val="nil"/>
                  </w:tcBorders>
                  <w:noWrap w:val="0"/>
                  <w:vAlign w:val="center"/>
                </w:tcPr>
                <w:p w14:paraId="13D9EED2">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16BFFC95">
                  <w:pPr>
                    <w:pStyle w:val="40"/>
                    <w:adjustRightInd w:val="0"/>
                    <w:snapToGrid w:val="0"/>
                    <w:jc w:val="center"/>
                    <w:rPr>
                      <w:rFonts w:hint="default" w:ascii="Times New Roman" w:hAnsi="Times New Roman" w:eastAsia="仿宋" w:cs="Times New Roman"/>
                      <w:color w:val="auto"/>
                      <w:kern w:val="2"/>
                      <w:sz w:val="21"/>
                      <w:szCs w:val="21"/>
                      <w:highlight w:val="none"/>
                      <w:lang w:val="zh-CN" w:eastAsia="zh-CN" w:bidi="ar-SA"/>
                    </w:rPr>
                  </w:pPr>
                  <w:r>
                    <w:rPr>
                      <w:rFonts w:hint="eastAsia" w:ascii="Times New Roman" w:hAnsi="Times New Roman" w:eastAsia="仿宋" w:cs="Times New Roman"/>
                      <w:color w:val="auto"/>
                      <w:sz w:val="21"/>
                      <w:szCs w:val="21"/>
                      <w:highlight w:val="none"/>
                      <w:lang w:val="en-US" w:eastAsia="zh-CN"/>
                    </w:rPr>
                    <w:t>废水处理</w:t>
                  </w:r>
                </w:p>
              </w:tc>
              <w:tc>
                <w:tcPr>
                  <w:tcW w:w="435" w:type="pct"/>
                  <w:tcBorders>
                    <w:tl2br w:val="nil"/>
                    <w:tr2bl w:val="nil"/>
                  </w:tcBorders>
                  <w:shd w:val="clear" w:color="auto" w:fill="auto"/>
                  <w:noWrap w:val="0"/>
                  <w:vAlign w:val="center"/>
                </w:tcPr>
                <w:p w14:paraId="63CCD8DE">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半固态</w:t>
                  </w:r>
                </w:p>
              </w:tc>
              <w:tc>
                <w:tcPr>
                  <w:tcW w:w="870" w:type="pct"/>
                  <w:tcBorders>
                    <w:tl2br w:val="nil"/>
                    <w:tr2bl w:val="nil"/>
                  </w:tcBorders>
                  <w:shd w:val="clear" w:color="auto" w:fill="auto"/>
                  <w:noWrap w:val="0"/>
                  <w:vAlign w:val="center"/>
                </w:tcPr>
                <w:p w14:paraId="10C534CE">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污泥</w:t>
                  </w:r>
                </w:p>
              </w:tc>
              <w:tc>
                <w:tcPr>
                  <w:tcW w:w="1202" w:type="dxa"/>
                  <w:tcBorders>
                    <w:tl2br w:val="nil"/>
                    <w:tr2bl w:val="nil"/>
                  </w:tcBorders>
                  <w:shd w:val="clear" w:color="auto" w:fill="auto"/>
                  <w:noWrap w:val="0"/>
                  <w:vAlign w:val="center"/>
                </w:tcPr>
                <w:p w14:paraId="45C51D68">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eastAsia="仿宋" w:cs="Times New Roman"/>
                      <w:color w:val="auto"/>
                      <w:sz w:val="21"/>
                      <w:szCs w:val="21"/>
                      <w:highlight w:val="none"/>
                      <w:lang w:val="en-US" w:eastAsia="zh-CN"/>
                    </w:rPr>
                    <w:t>3</w:t>
                  </w:r>
                  <w:r>
                    <w:rPr>
                      <w:rFonts w:hint="eastAsia" w:eastAsia="仿宋" w:cs="Times New Roman"/>
                      <w:color w:val="auto"/>
                      <w:sz w:val="21"/>
                      <w:szCs w:val="21"/>
                      <w:highlight w:val="none"/>
                      <w:lang w:val="en-US" w:eastAsia="zh-CN"/>
                    </w:rPr>
                    <w:t>8.25</w:t>
                  </w:r>
                </w:p>
              </w:tc>
              <w:tc>
                <w:tcPr>
                  <w:tcW w:w="621" w:type="pct"/>
                  <w:vMerge w:val="continue"/>
                  <w:tcBorders>
                    <w:tl2br w:val="nil"/>
                    <w:tr2bl w:val="nil"/>
                  </w:tcBorders>
                  <w:shd w:val="clear" w:color="auto" w:fill="auto"/>
                  <w:noWrap w:val="0"/>
                  <w:vAlign w:val="center"/>
                </w:tcPr>
                <w:p w14:paraId="02BFFDE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r w14:paraId="64A4E30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09" w:type="pct"/>
                  <w:tcBorders>
                    <w:tl2br w:val="nil"/>
                    <w:tr2bl w:val="nil"/>
                  </w:tcBorders>
                  <w:shd w:val="clear" w:color="auto" w:fill="auto"/>
                  <w:noWrap w:val="0"/>
                  <w:vAlign w:val="center"/>
                </w:tcPr>
                <w:p w14:paraId="79BD69D3">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24</w:t>
                  </w:r>
                </w:p>
              </w:tc>
              <w:tc>
                <w:tcPr>
                  <w:tcW w:w="855" w:type="pct"/>
                  <w:tcBorders>
                    <w:tl2br w:val="nil"/>
                    <w:tr2bl w:val="nil"/>
                  </w:tcBorders>
                  <w:shd w:val="clear" w:color="auto" w:fill="auto"/>
                  <w:noWrap w:val="0"/>
                  <w:vAlign w:val="center"/>
                </w:tcPr>
                <w:p w14:paraId="51B363E7">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挂具废渣</w:t>
                  </w:r>
                </w:p>
              </w:tc>
              <w:tc>
                <w:tcPr>
                  <w:tcW w:w="397" w:type="pct"/>
                  <w:vMerge w:val="continue"/>
                  <w:tcBorders>
                    <w:tl2br w:val="nil"/>
                    <w:tr2bl w:val="nil"/>
                  </w:tcBorders>
                  <w:noWrap w:val="0"/>
                  <w:vAlign w:val="center"/>
                </w:tcPr>
                <w:p w14:paraId="0D812180">
                  <w:pPr>
                    <w:keepNext w:val="0"/>
                    <w:keepLines w:val="0"/>
                    <w:pageBreakBefore w:val="0"/>
                    <w:widowControl w:val="0"/>
                    <w:kinsoku/>
                    <w:wordWrap/>
                    <w:overflowPunct/>
                    <w:topLinePunct w:val="0"/>
                    <w:autoSpaceDE/>
                    <w:autoSpaceDN/>
                    <w:bidi w:val="0"/>
                    <w:spacing w:line="240" w:lineRule="auto"/>
                    <w:ind w:right="-76" w:rightChars="-36"/>
                    <w:textAlignment w:val="auto"/>
                    <w:rPr>
                      <w:rFonts w:hint="default" w:ascii="Times New Roman" w:hAnsi="Times New Roman" w:eastAsia="仿宋" w:cs="Times New Roman"/>
                      <w:color w:val="auto"/>
                      <w:sz w:val="21"/>
                      <w:szCs w:val="21"/>
                      <w:highlight w:val="none"/>
                      <w:lang w:val="en-US" w:eastAsia="zh-CN"/>
                    </w:rPr>
                  </w:pPr>
                </w:p>
              </w:tc>
              <w:tc>
                <w:tcPr>
                  <w:tcW w:w="763" w:type="pct"/>
                  <w:tcBorders>
                    <w:tl2br w:val="nil"/>
                    <w:tr2bl w:val="nil"/>
                  </w:tcBorders>
                  <w:shd w:val="clear" w:color="auto" w:fill="auto"/>
                  <w:noWrap w:val="0"/>
                  <w:vAlign w:val="center"/>
                </w:tcPr>
                <w:p w14:paraId="3E26F03D">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挂具清理</w:t>
                  </w:r>
                </w:p>
              </w:tc>
              <w:tc>
                <w:tcPr>
                  <w:tcW w:w="435" w:type="pct"/>
                  <w:tcBorders>
                    <w:tl2br w:val="nil"/>
                    <w:tr2bl w:val="nil"/>
                  </w:tcBorders>
                  <w:shd w:val="clear" w:color="auto" w:fill="auto"/>
                  <w:noWrap w:val="0"/>
                  <w:vAlign w:val="center"/>
                </w:tcPr>
                <w:p w14:paraId="21F0A88F">
                  <w:pPr>
                    <w:spacing w:line="24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固态</w:t>
                  </w:r>
                </w:p>
              </w:tc>
              <w:tc>
                <w:tcPr>
                  <w:tcW w:w="870" w:type="pct"/>
                  <w:tcBorders>
                    <w:tl2br w:val="nil"/>
                    <w:tr2bl w:val="nil"/>
                  </w:tcBorders>
                  <w:shd w:val="clear" w:color="auto" w:fill="auto"/>
                  <w:noWrap w:val="0"/>
                  <w:vAlign w:val="center"/>
                </w:tcPr>
                <w:p w14:paraId="66DE38A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塑粉、电泳漆</w:t>
                  </w:r>
                </w:p>
              </w:tc>
              <w:tc>
                <w:tcPr>
                  <w:tcW w:w="1202" w:type="dxa"/>
                  <w:tcBorders>
                    <w:tl2br w:val="nil"/>
                    <w:tr2bl w:val="nil"/>
                  </w:tcBorders>
                  <w:shd w:val="clear" w:color="auto" w:fill="auto"/>
                  <w:noWrap w:val="0"/>
                  <w:vAlign w:val="center"/>
                </w:tcPr>
                <w:p w14:paraId="749E7329">
                  <w:pPr>
                    <w:spacing w:line="240" w:lineRule="exact"/>
                    <w:jc w:val="center"/>
                    <w:rPr>
                      <w:rFonts w:hint="default"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0.20576</w:t>
                  </w:r>
                </w:p>
              </w:tc>
              <w:tc>
                <w:tcPr>
                  <w:tcW w:w="621" w:type="pct"/>
                  <w:vMerge w:val="continue"/>
                  <w:tcBorders>
                    <w:tl2br w:val="nil"/>
                    <w:tr2bl w:val="nil"/>
                  </w:tcBorders>
                  <w:shd w:val="clear" w:color="auto" w:fill="auto"/>
                  <w:noWrap w:val="0"/>
                  <w:vAlign w:val="center"/>
                </w:tcPr>
                <w:p w14:paraId="14D1D26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p>
              </w:tc>
            </w:tr>
          </w:tbl>
          <w:p w14:paraId="294D892A">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贮存场所污染防治措施及环境影响分析</w:t>
            </w:r>
          </w:p>
          <w:p w14:paraId="2FDA35BD">
            <w:pPr>
              <w:adjustRightInd w:val="0"/>
              <w:snapToGrid w:val="0"/>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1）一般工业固废</w:t>
            </w:r>
            <w:r>
              <w:rPr>
                <w:rFonts w:hint="eastAsia" w:cs="Times New Roman"/>
                <w:b/>
                <w:bCs w:val="0"/>
                <w:color w:val="auto"/>
                <w:sz w:val="24"/>
                <w:szCs w:val="24"/>
                <w:highlight w:val="none"/>
                <w:lang w:val="en-US" w:eastAsia="zh-CN"/>
              </w:rPr>
              <w:t>贮存场所</w:t>
            </w:r>
          </w:p>
          <w:p w14:paraId="50ABB7E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本项目设置一</w:t>
            </w:r>
            <w:r>
              <w:rPr>
                <w:rFonts w:hint="eastAsia" w:ascii="Times New Roman" w:hAnsi="Times New Roman" w:eastAsia="宋体" w:cs="Times New Roman"/>
                <w:color w:val="auto"/>
                <w:sz w:val="24"/>
                <w:szCs w:val="24"/>
                <w:highlight w:val="none"/>
                <w:lang w:val="en-US" w:eastAsia="zh-CN"/>
              </w:rPr>
              <w:t>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一般</w:t>
            </w:r>
            <w:r>
              <w:rPr>
                <w:rFonts w:hint="default" w:ascii="Times New Roman" w:hAnsi="Times New Roman" w:eastAsia="宋体" w:cs="Times New Roman"/>
                <w:color w:val="auto"/>
                <w:sz w:val="24"/>
                <w:szCs w:val="24"/>
                <w:highlight w:val="none"/>
                <w:lang w:eastAsia="zh-CN"/>
              </w:rPr>
              <w:t>工业</w:t>
            </w:r>
            <w:r>
              <w:rPr>
                <w:rFonts w:hint="default" w:ascii="Times New Roman" w:hAnsi="Times New Roman" w:eastAsia="宋体" w:cs="Times New Roman"/>
                <w:color w:val="auto"/>
                <w:sz w:val="24"/>
                <w:szCs w:val="24"/>
                <w:highlight w:val="none"/>
              </w:rPr>
              <w:t>固废仓库，</w:t>
            </w:r>
            <w:r>
              <w:rPr>
                <w:rFonts w:hint="default" w:ascii="Times New Roman" w:hAnsi="Times New Roman" w:eastAsia="宋体" w:cs="Times New Roman"/>
                <w:color w:val="auto"/>
                <w:sz w:val="24"/>
                <w:szCs w:val="24"/>
                <w:highlight w:val="none"/>
                <w:lang w:eastAsia="zh-CN"/>
              </w:rPr>
              <w:t>一般固废仓库</w:t>
            </w:r>
            <w:r>
              <w:rPr>
                <w:rFonts w:hint="eastAsia"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rPr>
              <w:t>《一般工业固体废物贮存和填埋污染控制标准》（GB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18599-2020）</w:t>
            </w:r>
            <w:r>
              <w:rPr>
                <w:rFonts w:hint="default" w:ascii="Times New Roman" w:hAnsi="Times New Roman" w:eastAsia="宋体" w:cs="Times New Roman"/>
                <w:color w:val="auto"/>
                <w:sz w:val="24"/>
                <w:szCs w:val="24"/>
                <w:highlight w:val="none"/>
                <w:lang w:eastAsia="zh-CN"/>
              </w:rPr>
              <w:t>的要求规范建设和维护使用，贮存过程中需做到</w:t>
            </w:r>
            <w:r>
              <w:rPr>
                <w:rFonts w:hint="default" w:ascii="Times New Roman" w:hAnsi="Times New Roman" w:eastAsia="宋体" w:cs="Times New Roman"/>
                <w:color w:val="auto"/>
                <w:sz w:val="24"/>
                <w:szCs w:val="24"/>
                <w:highlight w:val="none"/>
              </w:rPr>
              <w:t>防</w:t>
            </w:r>
            <w:r>
              <w:rPr>
                <w:rFonts w:hint="default" w:ascii="Times New Roman" w:hAnsi="Times New Roman" w:eastAsia="宋体" w:cs="Times New Roman"/>
                <w:color w:val="auto"/>
                <w:sz w:val="24"/>
                <w:szCs w:val="24"/>
                <w:highlight w:val="none"/>
                <w:lang w:eastAsia="zh-CN"/>
              </w:rPr>
              <w:t>渗漏</w:t>
            </w:r>
            <w:r>
              <w:rPr>
                <w:rFonts w:hint="default" w:ascii="Times New Roman" w:hAnsi="Times New Roman" w:eastAsia="宋体" w:cs="Times New Roman"/>
                <w:color w:val="auto"/>
                <w:sz w:val="24"/>
                <w:szCs w:val="24"/>
                <w:highlight w:val="none"/>
              </w:rPr>
              <w:t>、防雨淋、防扬尘等环境保护要求。一般工业固废仓库禁止危险废物和生活垃圾混入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并按照《</w:t>
            </w:r>
            <w:r>
              <w:rPr>
                <w:rFonts w:hint="eastAsia" w:ascii="Times New Roman" w:hAnsi="Times New Roman" w:eastAsia="宋体" w:cs="Times New Roman"/>
                <w:color w:val="auto"/>
                <w:sz w:val="24"/>
                <w:szCs w:val="24"/>
                <w:highlight w:val="none"/>
                <w:lang w:eastAsia="zh-CN"/>
              </w:rPr>
              <w:t>环境保护图形标志固体废物贮存（处置）场</w:t>
            </w:r>
            <w:r>
              <w:rPr>
                <w:rFonts w:hint="default" w:ascii="Times New Roman" w:hAnsi="Times New Roman" w:eastAsia="宋体" w:cs="Times New Roman"/>
                <w:color w:val="auto"/>
                <w:sz w:val="24"/>
                <w:szCs w:val="24"/>
                <w:highlight w:val="none"/>
              </w:rPr>
              <w:t>》（GB</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15562.2-1995）</w:t>
            </w:r>
            <w:r>
              <w:rPr>
                <w:rFonts w:hint="eastAsia" w:ascii="Times New Roman" w:hAnsi="Times New Roman" w:cs="Times New Roman"/>
                <w:color w:val="auto"/>
                <w:sz w:val="24"/>
                <w:szCs w:val="24"/>
                <w:highlight w:val="none"/>
                <w:lang w:val="en-US" w:eastAsia="zh-CN"/>
              </w:rPr>
              <w:t>及其</w:t>
            </w:r>
            <w:r>
              <w:rPr>
                <w:rFonts w:hint="eastAsia" w:ascii="Times New Roman" w:hAnsi="Times New Roman" w:eastAsia="宋体" w:cs="Times New Roman"/>
                <w:color w:val="auto"/>
                <w:sz w:val="24"/>
                <w:szCs w:val="24"/>
                <w:highlight w:val="none"/>
                <w:lang w:eastAsia="zh-CN"/>
              </w:rPr>
              <w:t>修改单</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要求张贴环保标志</w:t>
            </w:r>
            <w:r>
              <w:rPr>
                <w:rFonts w:hint="default" w:ascii="Times New Roman" w:hAnsi="Times New Roman" w:eastAsia="宋体" w:cs="Times New Roman"/>
                <w:color w:val="auto"/>
                <w:sz w:val="24"/>
                <w:szCs w:val="24"/>
                <w:highlight w:val="none"/>
                <w:lang w:eastAsia="zh-CN"/>
              </w:rPr>
              <w:t>。一般工业固废</w:t>
            </w:r>
            <w:r>
              <w:rPr>
                <w:rFonts w:hint="default" w:ascii="Times New Roman" w:hAnsi="Times New Roman" w:eastAsia="宋体" w:cs="Times New Roman"/>
                <w:color w:val="auto"/>
                <w:sz w:val="24"/>
                <w:szCs w:val="24"/>
                <w:highlight w:val="none"/>
              </w:rPr>
              <w:t>收集后</w:t>
            </w:r>
            <w:r>
              <w:rPr>
                <w:rFonts w:hint="default" w:ascii="Times New Roman" w:hAnsi="Times New Roman" w:eastAsia="宋体" w:cs="Times New Roman"/>
                <w:color w:val="auto"/>
                <w:sz w:val="24"/>
                <w:szCs w:val="24"/>
                <w:highlight w:val="none"/>
                <w:lang w:eastAsia="zh-CN"/>
              </w:rPr>
              <w:t>委托</w:t>
            </w:r>
            <w:r>
              <w:rPr>
                <w:rFonts w:hint="default" w:ascii="Times New Roman" w:hAnsi="Times New Roman" w:eastAsia="宋体" w:cs="Times New Roman"/>
                <w:color w:val="auto"/>
                <w:sz w:val="24"/>
                <w:szCs w:val="24"/>
                <w:highlight w:val="none"/>
              </w:rPr>
              <w:t>一般</w:t>
            </w:r>
            <w:r>
              <w:rPr>
                <w:rFonts w:hint="default" w:ascii="Times New Roman" w:hAnsi="Times New Roman" w:eastAsia="宋体" w:cs="Times New Roman"/>
                <w:color w:val="auto"/>
                <w:sz w:val="24"/>
                <w:szCs w:val="24"/>
                <w:highlight w:val="none"/>
                <w:lang w:eastAsia="zh-CN"/>
              </w:rPr>
              <w:t>工业</w:t>
            </w:r>
            <w:r>
              <w:rPr>
                <w:rFonts w:hint="default" w:ascii="Times New Roman" w:hAnsi="Times New Roman" w:eastAsia="宋体" w:cs="Times New Roman"/>
                <w:color w:val="auto"/>
                <w:sz w:val="24"/>
                <w:szCs w:val="24"/>
                <w:highlight w:val="none"/>
              </w:rPr>
              <w:t>固废</w:t>
            </w:r>
            <w:r>
              <w:rPr>
                <w:rFonts w:hint="default" w:ascii="Times New Roman" w:hAnsi="Times New Roman" w:eastAsia="宋体" w:cs="Times New Roman"/>
                <w:color w:val="auto"/>
                <w:sz w:val="24"/>
                <w:szCs w:val="24"/>
                <w:highlight w:val="none"/>
                <w:lang w:eastAsia="zh-CN"/>
              </w:rPr>
              <w:t>处置单位处置。按照《省生态环境厅关于进一步完善一般工业固体废物环境管理的通知》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苏环办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327号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的要求，企业应强化主体责任落实，建立健全一般固废全过程管理台账，落实转运转移制度，规范利用处置过程。</w:t>
            </w:r>
          </w:p>
          <w:p w14:paraId="01F9B47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eastAsia="zh-CN"/>
              </w:rPr>
              <w:t>《省生态环境厅关于进一步完善一般工业固体废物环境管理的通知》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苏环办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327号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相符性见下表。</w:t>
            </w:r>
          </w:p>
          <w:p w14:paraId="773187A2">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与《省生态环境厅关于进一步完善一般工业固体废物环境管理的通知》（苏环办〔2023〕327号）的相符性分析</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492"/>
              <w:gridCol w:w="5155"/>
              <w:gridCol w:w="2308"/>
              <w:gridCol w:w="819"/>
            </w:tblGrid>
            <w:tr w14:paraId="3566EA9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l2br w:val="nil"/>
                    <w:tr2bl w:val="nil"/>
                  </w:tcBorders>
                  <w:noWrap w:val="0"/>
                  <w:vAlign w:val="center"/>
                </w:tcPr>
                <w:p w14:paraId="44A6510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val="en-US" w:eastAsia="zh-CN"/>
                    </w:rPr>
                    <w:t>序号</w:t>
                  </w:r>
                </w:p>
              </w:tc>
              <w:tc>
                <w:tcPr>
                  <w:tcW w:w="3039" w:type="pct"/>
                  <w:gridSpan w:val="2"/>
                  <w:tcBorders>
                    <w:tl2br w:val="nil"/>
                    <w:tr2bl w:val="nil"/>
                  </w:tcBorders>
                  <w:noWrap w:val="0"/>
                  <w:vAlign w:val="center"/>
                </w:tcPr>
                <w:p w14:paraId="7B04039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lang w:val="en-US" w:eastAsia="zh-CN"/>
                    </w:rPr>
                    <w:t>规范设置要求</w:t>
                  </w:r>
                </w:p>
              </w:tc>
              <w:tc>
                <w:tcPr>
                  <w:tcW w:w="1242" w:type="pct"/>
                  <w:tcBorders>
                    <w:tl2br w:val="nil"/>
                    <w:tr2bl w:val="nil"/>
                  </w:tcBorders>
                  <w:noWrap w:val="0"/>
                  <w:vAlign w:val="center"/>
                </w:tcPr>
                <w:p w14:paraId="3C65F70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rPr>
                    <w:t>拟设置情况</w:t>
                  </w:r>
                </w:p>
              </w:tc>
              <w:tc>
                <w:tcPr>
                  <w:tcW w:w="441" w:type="pct"/>
                  <w:tcBorders>
                    <w:tl2br w:val="nil"/>
                    <w:tr2bl w:val="nil"/>
                  </w:tcBorders>
                  <w:noWrap w:val="0"/>
                  <w:vAlign w:val="center"/>
                </w:tcPr>
                <w:p w14:paraId="270384B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lang w:val="en-US" w:eastAsia="zh-CN"/>
                    </w:rPr>
                  </w:pPr>
                  <w:r>
                    <w:rPr>
                      <w:rFonts w:hint="default" w:ascii="Times New Roman" w:hAnsi="Times New Roman" w:eastAsia="仿宋" w:cs="Times New Roman"/>
                      <w:b/>
                      <w:bCs/>
                      <w:color w:val="auto"/>
                      <w:kern w:val="0"/>
                      <w:sz w:val="21"/>
                      <w:szCs w:val="21"/>
                      <w:highlight w:val="none"/>
                    </w:rPr>
                    <w:t>相符性</w:t>
                  </w:r>
                </w:p>
              </w:tc>
            </w:tr>
            <w:tr w14:paraId="4A468DC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l2br w:val="nil"/>
                    <w:tr2bl w:val="nil"/>
                  </w:tcBorders>
                  <w:noWrap w:val="0"/>
                  <w:vAlign w:val="center"/>
                </w:tcPr>
                <w:p w14:paraId="54330A0F">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1</w:t>
                  </w:r>
                </w:p>
              </w:tc>
              <w:tc>
                <w:tcPr>
                  <w:tcW w:w="265" w:type="pct"/>
                  <w:tcBorders>
                    <w:tl2br w:val="nil"/>
                    <w:tr2bl w:val="nil"/>
                  </w:tcBorders>
                  <w:noWrap w:val="0"/>
                  <w:vAlign w:val="center"/>
                </w:tcPr>
                <w:p w14:paraId="1A63BCD2">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建立健全管理台账</w:t>
                  </w:r>
                </w:p>
              </w:tc>
              <w:tc>
                <w:tcPr>
                  <w:tcW w:w="2774" w:type="pct"/>
                  <w:tcBorders>
                    <w:tl2br w:val="nil"/>
                    <w:tr2bl w:val="nil"/>
                  </w:tcBorders>
                  <w:noWrap w:val="0"/>
                  <w:vAlign w:val="center"/>
                </w:tcPr>
                <w:p w14:paraId="5C8E99C8">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一般工业固体废物产生单位要严格按照环评文件、排污许可等明确固体废物属性，做好不同属性固体废物分类管理。按照《中华人民共和国固体废物污染环境防治法》《一般工业固体废物管理台账制定指南（试行）》的要求，建立健全全过程管理台账，如实记录一般工业固体废物种类、数量、流向、贮存、利用、处置等信息。推动产生单位建立电子台账，并直接与江苏省固体废物管理信息系统（以下简称固废系统）数据对接。</w:t>
                  </w:r>
                </w:p>
              </w:tc>
              <w:tc>
                <w:tcPr>
                  <w:tcW w:w="1242" w:type="pct"/>
                  <w:tcBorders>
                    <w:tl2br w:val="nil"/>
                    <w:tr2bl w:val="nil"/>
                  </w:tcBorders>
                  <w:noWrap w:val="0"/>
                  <w:vAlign w:val="center"/>
                </w:tcPr>
                <w:p w14:paraId="432E63DB">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本项目一般工业固废按照不同属性进行分类管理，建立健全全过程管理台账，如实记录一般工业固体废物种类、数量、流向、贮存、利用、处置等信息。</w:t>
                  </w:r>
                </w:p>
              </w:tc>
              <w:tc>
                <w:tcPr>
                  <w:tcW w:w="441" w:type="pct"/>
                  <w:tcBorders>
                    <w:tl2br w:val="nil"/>
                    <w:tr2bl w:val="nil"/>
                  </w:tcBorders>
                  <w:noWrap w:val="0"/>
                  <w:vAlign w:val="center"/>
                </w:tcPr>
                <w:p w14:paraId="590C1A70">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相符</w:t>
                  </w:r>
                </w:p>
              </w:tc>
            </w:tr>
            <w:tr w14:paraId="76A8038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l2br w:val="nil"/>
                    <w:tr2bl w:val="nil"/>
                  </w:tcBorders>
                  <w:noWrap w:val="0"/>
                  <w:vAlign w:val="center"/>
                </w:tcPr>
                <w:p w14:paraId="0A96B6A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2</w:t>
                  </w:r>
                </w:p>
              </w:tc>
              <w:tc>
                <w:tcPr>
                  <w:tcW w:w="265" w:type="pct"/>
                  <w:tcBorders>
                    <w:tl2br w:val="nil"/>
                    <w:tr2bl w:val="nil"/>
                  </w:tcBorders>
                  <w:noWrap w:val="0"/>
                  <w:vAlign w:val="center"/>
                </w:tcPr>
                <w:p w14:paraId="130E78BE">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建立健全管理台账</w:t>
                  </w:r>
                </w:p>
              </w:tc>
              <w:tc>
                <w:tcPr>
                  <w:tcW w:w="2774" w:type="pct"/>
                  <w:tcBorders>
                    <w:tl2br w:val="nil"/>
                    <w:tr2bl w:val="nil"/>
                  </w:tcBorders>
                  <w:noWrap w:val="0"/>
                  <w:vAlign w:val="center"/>
                </w:tcPr>
                <w:p w14:paraId="61960B0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一般工业固体废物产生、收集、贮存、利用处置单位应建设满足防扬散、防流失、防渗漏或者其他防止污染环境措施要求的贮存设施，在显著位置设立符合《环境保护图形标志固体废物贮存（处置）场》（GB15562.2）要求的环境保护图形标志。</w:t>
                  </w:r>
                </w:p>
              </w:tc>
              <w:tc>
                <w:tcPr>
                  <w:tcW w:w="1242" w:type="pct"/>
                  <w:tcBorders>
                    <w:tl2br w:val="nil"/>
                    <w:tr2bl w:val="nil"/>
                  </w:tcBorders>
                  <w:noWrap w:val="0"/>
                  <w:vAlign w:val="center"/>
                </w:tcPr>
                <w:p w14:paraId="129A3F55">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本项目一般固废仓库满足防扬散、防流失、防渗漏或者其他防止污染环境措施要求，且严格按照《环境保护图形标志固体废物贮存（处置）场》（GB</w:t>
                  </w:r>
                  <w:r>
                    <w:rPr>
                      <w:rFonts w:hint="eastAsia" w:ascii="Times New Roman" w:hAnsi="Times New Roman" w:eastAsia="仿宋" w:cs="Times New Roman"/>
                      <w:b w:val="0"/>
                      <w:bCs/>
                      <w:color w:val="auto"/>
                      <w:sz w:val="21"/>
                      <w:szCs w:val="21"/>
                      <w:highlight w:val="none"/>
                      <w:lang w:val="en-US" w:eastAsia="zh-CN"/>
                    </w:rPr>
                    <w:t xml:space="preserve"> </w:t>
                  </w:r>
                  <w:r>
                    <w:rPr>
                      <w:rFonts w:hint="default" w:ascii="Times New Roman" w:hAnsi="Times New Roman" w:eastAsia="仿宋" w:cs="Times New Roman"/>
                      <w:b w:val="0"/>
                      <w:bCs/>
                      <w:color w:val="auto"/>
                      <w:sz w:val="21"/>
                      <w:szCs w:val="21"/>
                      <w:highlight w:val="none"/>
                    </w:rPr>
                    <w:t>15562.2）的要求设置环境保护图形标志。</w:t>
                  </w:r>
                </w:p>
              </w:tc>
              <w:tc>
                <w:tcPr>
                  <w:tcW w:w="441" w:type="pct"/>
                  <w:tcBorders>
                    <w:tl2br w:val="nil"/>
                    <w:tr2bl w:val="nil"/>
                  </w:tcBorders>
                  <w:noWrap w:val="0"/>
                  <w:vAlign w:val="center"/>
                </w:tcPr>
                <w:p w14:paraId="752D82CC">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相符</w:t>
                  </w:r>
                </w:p>
              </w:tc>
            </w:tr>
            <w:tr w14:paraId="64FF1E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l2br w:val="nil"/>
                    <w:tr2bl w:val="nil"/>
                  </w:tcBorders>
                  <w:noWrap w:val="0"/>
                  <w:vAlign w:val="center"/>
                </w:tcPr>
                <w:p w14:paraId="2E2D4CB9">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3</w:t>
                  </w:r>
                </w:p>
              </w:tc>
              <w:tc>
                <w:tcPr>
                  <w:tcW w:w="265" w:type="pct"/>
                  <w:tcBorders>
                    <w:tl2br w:val="nil"/>
                    <w:tr2bl w:val="nil"/>
                  </w:tcBorders>
                  <w:noWrap w:val="0"/>
                  <w:vAlign w:val="center"/>
                </w:tcPr>
                <w:p w14:paraId="0C27F0BE">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落实转运转移制度</w:t>
                  </w:r>
                </w:p>
              </w:tc>
              <w:tc>
                <w:tcPr>
                  <w:tcW w:w="2774" w:type="pct"/>
                  <w:tcBorders>
                    <w:tl2br w:val="nil"/>
                    <w:tr2bl w:val="nil"/>
                  </w:tcBorders>
                  <w:noWrap w:val="0"/>
                  <w:vAlign w:val="center"/>
                </w:tcPr>
                <w:p w14:paraId="2D4773F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产生单位委托运输、利用、处置一般工业固体废物的，要对受托方的主体资格和技术能力进行核实，依法签订书面合同，在合同中约定污染防治要求，并跟踪最终利用处置去向，严禁委托给无利用处置能力的单位和个人，收集单位应落实并跟踪最终利用处置去向。省内转移污泥要严格执行电子转运联单制度，转移其他一般工业固体废物的逐步执行。原则上污泥以设区市为范围就近利用处置。跨省转移贮存、处置一般工业固体废物的，严格执行审批程序。跨省转出利用一般工业固体废物的，执行备案流程，严禁未备先转。接受跨省移入利用一般工业固体废物的单位，应在接受前向属地生态环境部门提供种类、数量、贮存</w:t>
                  </w:r>
                  <w:r>
                    <w:rPr>
                      <w:rFonts w:hint="default" w:ascii="Times New Roman" w:hAnsi="Times New Roman" w:eastAsia="仿宋" w:cs="Times New Roman"/>
                      <w:b w:val="0"/>
                      <w:bCs/>
                      <w:color w:val="auto"/>
                      <w:sz w:val="21"/>
                      <w:szCs w:val="21"/>
                      <w:highlight w:val="none"/>
                      <w:lang w:eastAsia="zh-CN"/>
                    </w:rPr>
                    <w:t>、</w:t>
                  </w:r>
                  <w:r>
                    <w:rPr>
                      <w:rFonts w:hint="default" w:ascii="Times New Roman" w:hAnsi="Times New Roman" w:eastAsia="仿宋" w:cs="Times New Roman"/>
                      <w:b w:val="0"/>
                      <w:bCs/>
                      <w:color w:val="auto"/>
                      <w:sz w:val="21"/>
                      <w:szCs w:val="21"/>
                      <w:highlight w:val="none"/>
                    </w:rPr>
                    <w:t>利用处置等有关资料，防范污染二次转移。对接</w:t>
                  </w:r>
                  <w:r>
                    <w:rPr>
                      <w:rFonts w:hint="default" w:ascii="Times New Roman" w:hAnsi="Times New Roman" w:eastAsia="仿宋" w:cs="Times New Roman"/>
                      <w:b w:val="0"/>
                      <w:bCs/>
                      <w:color w:val="auto"/>
                      <w:sz w:val="21"/>
                      <w:szCs w:val="21"/>
                      <w:highlight w:val="none"/>
                      <w:lang w:val="en-US" w:eastAsia="zh-CN"/>
                    </w:rPr>
                    <w:t>收</w:t>
                  </w:r>
                  <w:r>
                    <w:rPr>
                      <w:rFonts w:hint="default" w:ascii="Times New Roman" w:hAnsi="Times New Roman" w:eastAsia="仿宋" w:cs="Times New Roman"/>
                      <w:b w:val="0"/>
                      <w:bCs/>
                      <w:color w:val="auto"/>
                      <w:sz w:val="21"/>
                      <w:szCs w:val="21"/>
                      <w:highlight w:val="none"/>
                    </w:rPr>
                    <w:t>的一般工业固体废物与合同约定内容不相符的，应予退回，同时向属地生态环境部门报告。</w:t>
                  </w:r>
                </w:p>
              </w:tc>
              <w:tc>
                <w:tcPr>
                  <w:tcW w:w="1242" w:type="pct"/>
                  <w:tcBorders>
                    <w:tl2br w:val="nil"/>
                    <w:tr2bl w:val="nil"/>
                  </w:tcBorders>
                  <w:noWrap w:val="0"/>
                  <w:vAlign w:val="center"/>
                </w:tcPr>
                <w:p w14:paraId="6C5CD95A">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本项目</w:t>
                  </w:r>
                  <w:r>
                    <w:rPr>
                      <w:rFonts w:hint="default" w:ascii="Times New Roman" w:hAnsi="Times New Roman" w:eastAsia="仿宋" w:cs="Times New Roman"/>
                      <w:b w:val="0"/>
                      <w:bCs/>
                      <w:color w:val="auto"/>
                      <w:sz w:val="21"/>
                      <w:szCs w:val="21"/>
                      <w:highlight w:val="none"/>
                      <w:lang w:val="en-US" w:eastAsia="zh-CN"/>
                    </w:rPr>
                    <w:t>在运营期产生的一般固废</w:t>
                  </w:r>
                  <w:r>
                    <w:rPr>
                      <w:rFonts w:hint="default" w:ascii="Times New Roman" w:hAnsi="Times New Roman" w:eastAsia="仿宋" w:cs="Times New Roman"/>
                      <w:b w:val="0"/>
                      <w:bCs/>
                      <w:color w:val="auto"/>
                      <w:sz w:val="21"/>
                      <w:szCs w:val="21"/>
                      <w:highlight w:val="none"/>
                    </w:rPr>
                    <w:t>与一般工业固废处置单位签订书面合同，并在合同中约定污染防治要求，并跟踪最终利用处置去向。本项目产生的一般工业固废委托苏州市内的一般工业固废处置单位处置。</w:t>
                  </w:r>
                </w:p>
              </w:tc>
              <w:tc>
                <w:tcPr>
                  <w:tcW w:w="441" w:type="pct"/>
                  <w:tcBorders>
                    <w:tl2br w:val="nil"/>
                    <w:tr2bl w:val="nil"/>
                  </w:tcBorders>
                  <w:noWrap w:val="0"/>
                  <w:vAlign w:val="center"/>
                </w:tcPr>
                <w:p w14:paraId="487C1EF7">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相符</w:t>
                  </w:r>
                </w:p>
              </w:tc>
            </w:tr>
            <w:tr w14:paraId="05A23E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l2br w:val="nil"/>
                    <w:tr2bl w:val="nil"/>
                  </w:tcBorders>
                  <w:noWrap w:val="0"/>
                  <w:vAlign w:val="center"/>
                </w:tcPr>
                <w:p w14:paraId="59CB1ABF">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4</w:t>
                  </w:r>
                </w:p>
              </w:tc>
              <w:tc>
                <w:tcPr>
                  <w:tcW w:w="265" w:type="pct"/>
                  <w:tcBorders>
                    <w:tl2br w:val="nil"/>
                    <w:tr2bl w:val="nil"/>
                  </w:tcBorders>
                  <w:noWrap w:val="0"/>
                  <w:vAlign w:val="center"/>
                </w:tcPr>
                <w:p w14:paraId="69296632">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全面开展信息申报</w:t>
                  </w:r>
                </w:p>
              </w:tc>
              <w:tc>
                <w:tcPr>
                  <w:tcW w:w="2774" w:type="pct"/>
                  <w:tcBorders>
                    <w:tl2br w:val="nil"/>
                    <w:tr2bl w:val="nil"/>
                  </w:tcBorders>
                  <w:noWrap w:val="0"/>
                  <w:vAlign w:val="center"/>
                </w:tcPr>
                <w:p w14:paraId="310A47A8">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排污许可中涉及一般工业固体废物的单位均应进入固废系统申报，污染源</w:t>
                  </w:r>
                  <w:r>
                    <w:rPr>
                      <w:rFonts w:hint="eastAsia" w:eastAsia="仿宋" w:cs="Times New Roman"/>
                      <w:b w:val="0"/>
                      <w:bCs/>
                      <w:color w:val="auto"/>
                      <w:sz w:val="21"/>
                      <w:szCs w:val="21"/>
                      <w:highlight w:val="none"/>
                      <w:lang w:eastAsia="zh-CN"/>
                    </w:rPr>
                    <w:t>“</w:t>
                  </w:r>
                  <w:r>
                    <w:rPr>
                      <w:rFonts w:hint="default" w:ascii="Times New Roman" w:hAnsi="Times New Roman" w:eastAsia="仿宋" w:cs="Times New Roman"/>
                      <w:b w:val="0"/>
                      <w:bCs/>
                      <w:color w:val="auto"/>
                      <w:sz w:val="21"/>
                      <w:szCs w:val="21"/>
                      <w:highlight w:val="none"/>
                    </w:rPr>
                    <w:t>一企一档</w:t>
                  </w:r>
                  <w:r>
                    <w:rPr>
                      <w:rFonts w:hint="eastAsia" w:eastAsia="仿宋" w:cs="Times New Roman"/>
                      <w:b w:val="0"/>
                      <w:bCs/>
                      <w:color w:val="auto"/>
                      <w:sz w:val="21"/>
                      <w:szCs w:val="21"/>
                      <w:highlight w:val="none"/>
                      <w:lang w:eastAsia="zh-CN"/>
                    </w:rPr>
                    <w:t>”</w:t>
                  </w:r>
                  <w:r>
                    <w:rPr>
                      <w:rFonts w:hint="default" w:ascii="Times New Roman" w:hAnsi="Times New Roman" w:eastAsia="仿宋" w:cs="Times New Roman"/>
                      <w:b w:val="0"/>
                      <w:bCs/>
                      <w:color w:val="auto"/>
                      <w:sz w:val="21"/>
                      <w:szCs w:val="21"/>
                      <w:highlight w:val="none"/>
                    </w:rPr>
                    <w:t>管理系统（企业</w:t>
                  </w:r>
                  <w:r>
                    <w:rPr>
                      <w:rFonts w:hint="eastAsia" w:eastAsia="仿宋" w:cs="Times New Roman"/>
                      <w:b w:val="0"/>
                      <w:bCs/>
                      <w:color w:val="auto"/>
                      <w:sz w:val="21"/>
                      <w:szCs w:val="21"/>
                      <w:highlight w:val="none"/>
                      <w:lang w:eastAsia="zh-CN"/>
                    </w:rPr>
                    <w:t>“</w:t>
                  </w:r>
                  <w:r>
                    <w:rPr>
                      <w:rFonts w:hint="default" w:ascii="Times New Roman" w:hAnsi="Times New Roman" w:eastAsia="仿宋" w:cs="Times New Roman"/>
                      <w:b w:val="0"/>
                      <w:bCs/>
                      <w:color w:val="auto"/>
                      <w:sz w:val="21"/>
                      <w:szCs w:val="21"/>
                      <w:highlight w:val="none"/>
                    </w:rPr>
                    <w:t>环保脸谱</w:t>
                  </w:r>
                  <w:r>
                    <w:rPr>
                      <w:rFonts w:hint="eastAsia" w:eastAsia="仿宋" w:cs="Times New Roman"/>
                      <w:b w:val="0"/>
                      <w:bCs/>
                      <w:color w:val="auto"/>
                      <w:sz w:val="21"/>
                      <w:szCs w:val="21"/>
                      <w:highlight w:val="none"/>
                      <w:lang w:eastAsia="zh-CN"/>
                    </w:rPr>
                    <w:t>”</w:t>
                  </w:r>
                  <w:r>
                    <w:rPr>
                      <w:rFonts w:hint="default" w:ascii="Times New Roman" w:hAnsi="Times New Roman" w:eastAsia="仿宋" w:cs="Times New Roman"/>
                      <w:b w:val="0"/>
                      <w:bCs/>
                      <w:color w:val="auto"/>
                      <w:sz w:val="21"/>
                      <w:szCs w:val="21"/>
                      <w:highlight w:val="none"/>
                    </w:rPr>
                    <w:t>）自动向相关单位及其属地生态环境部门推送提醒申报信息。无排污许可证或排污许可证未涉及固体废物，但实际涉及一般工业固体废物的，也可通过固废系统进行申报。固废系统内单位分为产生单位和收集贮存利用处置单位。产生固体废物（次生固体废物除外）的单位属于产生单位，如还涉及收集、贮存、利用、处置活动的，可在业务下同时选择产生固体废物和收集、贮存、利用、处置固体废物。收集贮存利用处置单位不涉及固体废物产生（次生固体废物除外）。一般工业固体废物产生单位根据年产废量大于100吨（含100吨）、小于100吨且大于10吨（含10吨）、小于10吨分别按月度、季度和年度申报，涉及一般工业污泥产生的单位按月度申报。一般工业固体废物收集贮存利用处置单位按月度申报，涉及一般污泥收集贮存利用处置的单位按日申报。原通过江苏省危险废物动态管理系统申报的一般污泥产生和利用处置单位，要按固废系统要求继续申报，补充完善基本信息和一般污泥代码。对未按要求申报的，固废系统自动限制电子转运联单功能。</w:t>
                  </w:r>
                </w:p>
              </w:tc>
              <w:tc>
                <w:tcPr>
                  <w:tcW w:w="1242" w:type="pct"/>
                  <w:tcBorders>
                    <w:tl2br w:val="nil"/>
                    <w:tr2bl w:val="nil"/>
                  </w:tcBorders>
                  <w:noWrap w:val="0"/>
                  <w:vAlign w:val="center"/>
                </w:tcPr>
                <w:p w14:paraId="64F238D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rPr>
                    <w:t>本项目建成后，产生的一般工业固体废物通过固</w:t>
                  </w:r>
                  <w:r>
                    <w:rPr>
                      <w:rFonts w:hint="default" w:ascii="Times New Roman" w:hAnsi="Times New Roman" w:eastAsia="仿宋" w:cs="Times New Roman"/>
                      <w:b w:val="0"/>
                      <w:bCs/>
                      <w:color w:val="auto"/>
                      <w:sz w:val="21"/>
                      <w:szCs w:val="21"/>
                      <w:highlight w:val="none"/>
                      <w:lang w:val="en-US" w:eastAsia="zh-CN"/>
                    </w:rPr>
                    <w:t>废系统进行申报。</w:t>
                  </w:r>
                </w:p>
              </w:tc>
              <w:tc>
                <w:tcPr>
                  <w:tcW w:w="441" w:type="pct"/>
                  <w:tcBorders>
                    <w:tl2br w:val="nil"/>
                    <w:tr2bl w:val="nil"/>
                  </w:tcBorders>
                  <w:noWrap w:val="0"/>
                  <w:vAlign w:val="center"/>
                </w:tcPr>
                <w:p w14:paraId="44533C06">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仿宋" w:cs="Times New Roman"/>
                      <w:b w:val="0"/>
                      <w:bCs/>
                      <w:color w:val="auto"/>
                      <w:sz w:val="21"/>
                      <w:szCs w:val="21"/>
                      <w:highlight w:val="none"/>
                      <w:vertAlign w:val="baseline"/>
                      <w:lang w:val="en-US" w:eastAsia="zh-CN"/>
                    </w:rPr>
                  </w:pPr>
                  <w:r>
                    <w:rPr>
                      <w:rFonts w:hint="default" w:ascii="Times New Roman" w:hAnsi="Times New Roman" w:eastAsia="仿宋" w:cs="Times New Roman"/>
                      <w:b w:val="0"/>
                      <w:bCs/>
                      <w:color w:val="auto"/>
                      <w:sz w:val="21"/>
                      <w:szCs w:val="21"/>
                      <w:highlight w:val="none"/>
                      <w:vertAlign w:val="baseline"/>
                      <w:lang w:val="en-US" w:eastAsia="zh-CN"/>
                    </w:rPr>
                    <w:t>相符</w:t>
                  </w:r>
                </w:p>
              </w:tc>
            </w:tr>
          </w:tbl>
          <w:p w14:paraId="21A2029A">
            <w:pPr>
              <w:adjustRightInd w:val="0"/>
              <w:snapToGrid w:val="0"/>
              <w:spacing w:line="360" w:lineRule="auto"/>
              <w:ind w:firstLine="482" w:firstLineChars="200"/>
              <w:rPr>
                <w:rFonts w:hint="eastAsia" w:eastAsia="宋体"/>
                <w:b/>
                <w:bCs/>
                <w:color w:val="auto"/>
                <w:sz w:val="24"/>
                <w:szCs w:val="24"/>
                <w:highlight w:val="none"/>
                <w:lang w:val="en-US" w:eastAsia="zh-CN"/>
              </w:rPr>
            </w:pPr>
            <w:r>
              <w:rPr>
                <w:b/>
                <w:bCs/>
                <w:color w:val="auto"/>
                <w:sz w:val="24"/>
                <w:szCs w:val="24"/>
                <w:highlight w:val="none"/>
              </w:rPr>
              <w:t>2）危险废物</w:t>
            </w:r>
            <w:r>
              <w:rPr>
                <w:rFonts w:hint="eastAsia"/>
                <w:b/>
                <w:bCs/>
                <w:color w:val="auto"/>
                <w:sz w:val="24"/>
                <w:szCs w:val="24"/>
                <w:highlight w:val="none"/>
                <w:lang w:val="en-US" w:eastAsia="zh-CN"/>
              </w:rPr>
              <w:t>贮存场所</w:t>
            </w:r>
          </w:p>
          <w:p w14:paraId="48E8610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w:t>
            </w:r>
            <w:r>
              <w:rPr>
                <w:rFonts w:hint="eastAsia" w:cs="Times New Roman"/>
                <w:bCs/>
                <w:color w:val="auto"/>
                <w:sz w:val="24"/>
                <w:szCs w:val="24"/>
                <w:highlight w:val="none"/>
                <w:lang w:val="en-US" w:eastAsia="zh-CN"/>
              </w:rPr>
              <w:t>设置100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cs="Times New Roman"/>
                <w:bCs/>
                <w:color w:val="auto"/>
                <w:sz w:val="24"/>
                <w:szCs w:val="24"/>
                <w:highlight w:val="none"/>
                <w:vertAlign w:val="baseline"/>
                <w:lang w:val="en-US" w:eastAsia="zh-CN"/>
              </w:rPr>
              <w:t>的</w:t>
            </w:r>
            <w:r>
              <w:rPr>
                <w:rFonts w:hint="default" w:ascii="Times New Roman" w:hAnsi="Times New Roman" w:eastAsia="宋体" w:cs="Times New Roman"/>
                <w:bCs/>
                <w:color w:val="auto"/>
                <w:sz w:val="24"/>
                <w:szCs w:val="24"/>
                <w:highlight w:val="none"/>
              </w:rPr>
              <w:t>危废</w:t>
            </w:r>
            <w:r>
              <w:rPr>
                <w:rFonts w:hint="eastAsia" w:cs="Times New Roman"/>
                <w:bCs/>
                <w:color w:val="auto"/>
                <w:sz w:val="24"/>
                <w:szCs w:val="24"/>
                <w:highlight w:val="none"/>
                <w:lang w:eastAsia="zh-CN"/>
              </w:rPr>
              <w:t>仓库</w:t>
            </w:r>
            <w:r>
              <w:rPr>
                <w:rFonts w:hint="default" w:ascii="Times New Roman" w:hAnsi="Times New Roman" w:eastAsia="宋体" w:cs="Times New Roman"/>
                <w:bCs/>
                <w:color w:val="auto"/>
                <w:sz w:val="24"/>
                <w:szCs w:val="24"/>
                <w:highlight w:val="none"/>
              </w:rPr>
              <w:t>，</w:t>
            </w:r>
            <w:r>
              <w:rPr>
                <w:rFonts w:hint="eastAsia" w:ascii="Times New Roman" w:hAnsi="Times New Roman" w:cs="Times New Roman"/>
                <w:color w:val="auto"/>
                <w:sz w:val="24"/>
                <w:szCs w:val="24"/>
                <w:highlight w:val="none"/>
                <w:lang w:val="en-US" w:eastAsia="zh-CN"/>
              </w:rPr>
              <w:t>危废仓库位于</w:t>
            </w:r>
            <w:r>
              <w:rPr>
                <w:rFonts w:hint="eastAsia" w:cs="Times New Roman"/>
                <w:color w:val="auto"/>
                <w:sz w:val="24"/>
                <w:szCs w:val="24"/>
                <w:highlight w:val="none"/>
                <w:lang w:val="en-US" w:eastAsia="zh-CN"/>
              </w:rPr>
              <w:t>厂房北面</w:t>
            </w:r>
            <w:r>
              <w:rPr>
                <w:rFonts w:hint="eastAsia" w:ascii="Times New Roman" w:hAnsi="Times New Roman" w:cs="Times New Roman"/>
                <w:color w:val="auto"/>
                <w:sz w:val="24"/>
                <w:szCs w:val="24"/>
                <w:highlight w:val="none"/>
                <w:lang w:val="en-US" w:eastAsia="zh-CN"/>
              </w:rPr>
              <w:t>。危废管理过程严格</w:t>
            </w:r>
            <w:r>
              <w:rPr>
                <w:rFonts w:hint="default" w:ascii="Times New Roman" w:hAnsi="Times New Roman" w:eastAsia="宋体" w:cs="Times New Roman"/>
                <w:color w:val="auto"/>
                <w:sz w:val="24"/>
                <w:szCs w:val="24"/>
                <w:highlight w:val="none"/>
                <w:lang w:val="en-US" w:eastAsia="zh-CN"/>
              </w:rPr>
              <w:t>按照《危险废物贮存污染控制标准》（GB</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18597-2023）、</w:t>
            </w:r>
            <w:r>
              <w:rPr>
                <w:rFonts w:hint="default" w:ascii="Times New Roman" w:hAnsi="Times New Roman" w:eastAsia="宋体" w:cs="Times New Roman"/>
                <w:color w:val="auto"/>
                <w:sz w:val="24"/>
                <w:szCs w:val="24"/>
                <w:highlight w:val="none"/>
              </w:rPr>
              <w:t>《省生态环境厅关于</w:t>
            </w:r>
            <w:r>
              <w:rPr>
                <w:rFonts w:hint="eastAsia" w:ascii="Times New Roman" w:hAnsi="Times New Roman" w:cs="Times New Roman"/>
                <w:color w:val="auto"/>
                <w:sz w:val="24"/>
                <w:szCs w:val="24"/>
                <w:highlight w:val="none"/>
                <w:lang w:val="en-US" w:eastAsia="zh-CN"/>
              </w:rPr>
              <w:t>印发〈</w:t>
            </w:r>
            <w:r>
              <w:rPr>
                <w:rFonts w:ascii="宋体" w:hAnsi="宋体" w:eastAsia="宋体" w:cs="宋体"/>
                <w:color w:val="auto"/>
                <w:sz w:val="24"/>
                <w:szCs w:val="24"/>
                <w:highlight w:val="none"/>
              </w:rPr>
              <w:t>江苏省固体废物全过程环境监管工作意见</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》（苏环办</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highlight w:val="none"/>
              </w:rPr>
              <w:t>《关于印发〈加强工业固体废物全过程环境监管的实施意见〉的通知》（苏环办〔2024〕71号）</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szCs w:val="24"/>
                <w:highlight w:val="none"/>
                <w:lang w:eastAsia="zh-CN"/>
              </w:rPr>
              <w:t>《江苏省危险废物集中收集体系建设工作方案（试行）</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苏环办</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2021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290号</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highlight w:val="none"/>
              </w:rPr>
              <w:t>《危险废物收集 贮存 运输技术规范》（HJ 2025-2012</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lang w:eastAsia="zh-CN"/>
              </w:rPr>
              <w:t>等相关</w:t>
            </w:r>
            <w:r>
              <w:rPr>
                <w:rFonts w:hint="eastAsia" w:ascii="Times New Roman" w:hAnsi="Times New Roman" w:cs="Times New Roman"/>
                <w:color w:val="auto"/>
                <w:sz w:val="24"/>
                <w:szCs w:val="24"/>
                <w:highlight w:val="none"/>
                <w:lang w:val="en-US" w:eastAsia="zh-CN"/>
              </w:rPr>
              <w:t>文件的</w:t>
            </w:r>
            <w:r>
              <w:rPr>
                <w:rFonts w:hint="default" w:ascii="Times New Roman" w:hAnsi="Times New Roman" w:eastAsia="宋体" w:cs="Times New Roman"/>
                <w:color w:val="auto"/>
                <w:sz w:val="24"/>
                <w:szCs w:val="24"/>
                <w:highlight w:val="none"/>
                <w:lang w:eastAsia="zh-CN"/>
              </w:rPr>
              <w:t>要求进行</w:t>
            </w:r>
            <w:r>
              <w:rPr>
                <w:rFonts w:hint="default" w:ascii="Times New Roman" w:hAnsi="Times New Roman" w:eastAsia="宋体" w:cs="Times New Roman"/>
                <w:color w:val="auto"/>
                <w:sz w:val="24"/>
                <w:szCs w:val="24"/>
                <w:highlight w:val="none"/>
              </w:rPr>
              <w:t>规范</w:t>
            </w:r>
            <w:r>
              <w:rPr>
                <w:rFonts w:hint="default" w:ascii="Times New Roman" w:hAnsi="Times New Roman" w:eastAsia="宋体" w:cs="Times New Roman"/>
                <w:color w:val="auto"/>
                <w:sz w:val="24"/>
                <w:szCs w:val="24"/>
                <w:highlight w:val="none"/>
                <w:lang w:eastAsia="zh-CN"/>
              </w:rPr>
              <w:t>化</w:t>
            </w:r>
            <w:r>
              <w:rPr>
                <w:rFonts w:hint="default" w:ascii="Times New Roman" w:hAnsi="Times New Roman" w:eastAsia="宋体" w:cs="Times New Roman"/>
                <w:color w:val="auto"/>
                <w:sz w:val="24"/>
                <w:szCs w:val="24"/>
                <w:highlight w:val="none"/>
              </w:rPr>
              <w:t>建设</w:t>
            </w:r>
            <w:r>
              <w:rPr>
                <w:rFonts w:hint="eastAsia" w:ascii="Times New Roman" w:hAnsi="Times New Roman" w:eastAsia="宋体" w:cs="Times New Roman"/>
                <w:color w:val="auto"/>
                <w:sz w:val="24"/>
                <w:szCs w:val="24"/>
                <w:highlight w:val="none"/>
                <w:lang w:val="en-US" w:eastAsia="zh-CN"/>
              </w:rPr>
              <w:t>和管理</w:t>
            </w:r>
            <w:r>
              <w:rPr>
                <w:rFonts w:hint="default" w:ascii="Times New Roman" w:hAnsi="Times New Roman" w:eastAsia="宋体" w:cs="Times New Roman"/>
                <w:color w:val="auto"/>
                <w:sz w:val="24"/>
                <w:szCs w:val="24"/>
                <w:highlight w:val="none"/>
              </w:rPr>
              <w:t>。</w:t>
            </w:r>
          </w:p>
          <w:p w14:paraId="3D6BB1AF">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危险废物贮存场所（设施）情况表</w:t>
            </w:r>
          </w:p>
          <w:tbl>
            <w:tblPr>
              <w:tblStyle w:val="20"/>
              <w:tblW w:w="499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773"/>
              <w:gridCol w:w="1244"/>
              <w:gridCol w:w="776"/>
              <w:gridCol w:w="1196"/>
              <w:gridCol w:w="541"/>
              <w:gridCol w:w="763"/>
              <w:gridCol w:w="1689"/>
              <w:gridCol w:w="921"/>
              <w:gridCol w:w="926"/>
            </w:tblGrid>
            <w:tr w14:paraId="44A7FED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67E3F47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416" w:type="pct"/>
                  <w:tcBorders>
                    <w:tl2br w:val="nil"/>
                    <w:tr2bl w:val="nil"/>
                  </w:tcBorders>
                  <w:noWrap w:val="0"/>
                  <w:vAlign w:val="center"/>
                </w:tcPr>
                <w:p w14:paraId="02E52D3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贮存场所名称</w:t>
                  </w:r>
                </w:p>
              </w:tc>
              <w:tc>
                <w:tcPr>
                  <w:tcW w:w="669" w:type="pct"/>
                  <w:tcBorders>
                    <w:tl2br w:val="nil"/>
                    <w:tr2bl w:val="nil"/>
                  </w:tcBorders>
                  <w:noWrap w:val="0"/>
                  <w:vAlign w:val="center"/>
                </w:tcPr>
                <w:p w14:paraId="04FC49E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危险废物名称</w:t>
                  </w:r>
                </w:p>
              </w:tc>
              <w:tc>
                <w:tcPr>
                  <w:tcW w:w="417" w:type="pct"/>
                  <w:tcBorders>
                    <w:tl2br w:val="nil"/>
                    <w:tr2bl w:val="nil"/>
                  </w:tcBorders>
                  <w:noWrap w:val="0"/>
                  <w:vAlign w:val="center"/>
                </w:tcPr>
                <w:p w14:paraId="11B6732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危险废物类别</w:t>
                  </w:r>
                </w:p>
              </w:tc>
              <w:tc>
                <w:tcPr>
                  <w:tcW w:w="643" w:type="pct"/>
                  <w:tcBorders>
                    <w:tl2br w:val="nil"/>
                    <w:tr2bl w:val="nil"/>
                  </w:tcBorders>
                  <w:noWrap w:val="0"/>
                  <w:vAlign w:val="center"/>
                </w:tcPr>
                <w:p w14:paraId="0297C16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危险废物代码</w:t>
                  </w:r>
                </w:p>
              </w:tc>
              <w:tc>
                <w:tcPr>
                  <w:tcW w:w="291" w:type="pct"/>
                  <w:tcBorders>
                    <w:tl2br w:val="nil"/>
                    <w:tr2bl w:val="nil"/>
                  </w:tcBorders>
                  <w:noWrap w:val="0"/>
                  <w:vAlign w:val="center"/>
                </w:tcPr>
                <w:p w14:paraId="141EA870">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位置</w:t>
                  </w:r>
                </w:p>
              </w:tc>
              <w:tc>
                <w:tcPr>
                  <w:tcW w:w="410" w:type="pct"/>
                  <w:tcBorders>
                    <w:tl2br w:val="nil"/>
                    <w:tr2bl w:val="nil"/>
                  </w:tcBorders>
                  <w:noWrap w:val="0"/>
                  <w:vAlign w:val="center"/>
                </w:tcPr>
                <w:p w14:paraId="54D1224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占地面积</w:t>
                  </w:r>
                </w:p>
              </w:tc>
              <w:tc>
                <w:tcPr>
                  <w:tcW w:w="908" w:type="pct"/>
                  <w:tcBorders>
                    <w:tl2br w:val="nil"/>
                    <w:tr2bl w:val="nil"/>
                  </w:tcBorders>
                  <w:noWrap w:val="0"/>
                  <w:vAlign w:val="center"/>
                </w:tcPr>
                <w:p w14:paraId="3470E15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贮存方式</w:t>
                  </w:r>
                </w:p>
              </w:tc>
              <w:tc>
                <w:tcPr>
                  <w:tcW w:w="495" w:type="pct"/>
                  <w:tcBorders>
                    <w:tl2br w:val="nil"/>
                    <w:tr2bl w:val="nil"/>
                  </w:tcBorders>
                  <w:noWrap w:val="0"/>
                  <w:vAlign w:val="center"/>
                </w:tcPr>
                <w:p w14:paraId="23B301B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贮存能力</w:t>
                  </w:r>
                </w:p>
              </w:tc>
              <w:tc>
                <w:tcPr>
                  <w:tcW w:w="498" w:type="pct"/>
                  <w:tcBorders>
                    <w:tl2br w:val="nil"/>
                    <w:tr2bl w:val="nil"/>
                  </w:tcBorders>
                  <w:noWrap w:val="0"/>
                  <w:vAlign w:val="center"/>
                </w:tcPr>
                <w:p w14:paraId="7292473C">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贮存周期</w:t>
                  </w:r>
                </w:p>
              </w:tc>
            </w:tr>
            <w:tr w14:paraId="2D0F68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6F5F5BE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416" w:type="pct"/>
                  <w:vMerge w:val="restart"/>
                  <w:tcBorders>
                    <w:tl2br w:val="nil"/>
                    <w:tr2bl w:val="nil"/>
                  </w:tcBorders>
                  <w:noWrap w:val="0"/>
                  <w:vAlign w:val="center"/>
                </w:tcPr>
                <w:p w14:paraId="2CAF749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rPr>
                    <w:t>危废仓库</w:t>
                  </w:r>
                </w:p>
              </w:tc>
              <w:tc>
                <w:tcPr>
                  <w:tcW w:w="669" w:type="pct"/>
                  <w:tcBorders>
                    <w:tl2br w:val="nil"/>
                    <w:tr2bl w:val="nil"/>
                  </w:tcBorders>
                  <w:shd w:val="clear" w:color="auto" w:fill="auto"/>
                  <w:noWrap w:val="0"/>
                  <w:vAlign w:val="center"/>
                </w:tcPr>
                <w:p w14:paraId="10E7BD9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脱脂废液</w:t>
                  </w:r>
                </w:p>
              </w:tc>
              <w:tc>
                <w:tcPr>
                  <w:tcW w:w="417" w:type="pct"/>
                  <w:tcBorders>
                    <w:tl2br w:val="nil"/>
                    <w:tr2bl w:val="nil"/>
                  </w:tcBorders>
                  <w:shd w:val="clear" w:color="auto" w:fill="auto"/>
                  <w:noWrap w:val="0"/>
                  <w:vAlign w:val="center"/>
                </w:tcPr>
                <w:p w14:paraId="5BBD684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1596C4CE">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291" w:type="pct"/>
                  <w:vMerge w:val="restart"/>
                  <w:tcBorders>
                    <w:tl2br w:val="nil"/>
                    <w:tr2bl w:val="nil"/>
                  </w:tcBorders>
                  <w:noWrap w:val="0"/>
                  <w:vAlign w:val="center"/>
                </w:tcPr>
                <w:p w14:paraId="317F4E8E">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厂房北侧</w:t>
                  </w:r>
                </w:p>
              </w:tc>
              <w:tc>
                <w:tcPr>
                  <w:tcW w:w="410" w:type="pct"/>
                  <w:vMerge w:val="restart"/>
                  <w:tcBorders>
                    <w:tl2br w:val="nil"/>
                    <w:tr2bl w:val="nil"/>
                  </w:tcBorders>
                  <w:noWrap w:val="0"/>
                  <w:vAlign w:val="center"/>
                </w:tcPr>
                <w:p w14:paraId="1F56C85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eastAsia" w:eastAsia="仿宋" w:cs="Times New Roman"/>
                      <w:color w:val="auto"/>
                      <w:kern w:val="0"/>
                      <w:sz w:val="21"/>
                      <w:szCs w:val="21"/>
                      <w:highlight w:val="none"/>
                      <w:lang w:val="en-US" w:eastAsia="zh-CN"/>
                    </w:rPr>
                    <w:t>100</w:t>
                  </w:r>
                  <w:r>
                    <w:rPr>
                      <w:rFonts w:hint="default" w:ascii="Times New Roman" w:hAnsi="Times New Roman" w:eastAsia="仿宋" w:cs="Times New Roman"/>
                      <w:color w:val="auto"/>
                      <w:kern w:val="0"/>
                      <w:sz w:val="21"/>
                      <w:szCs w:val="21"/>
                      <w:highlight w:val="none"/>
                    </w:rPr>
                    <w:t>m</w:t>
                  </w:r>
                  <w:r>
                    <w:rPr>
                      <w:rFonts w:hint="default" w:ascii="Times New Roman" w:hAnsi="Times New Roman" w:eastAsia="仿宋" w:cs="Times New Roman"/>
                      <w:color w:val="auto"/>
                      <w:kern w:val="0"/>
                      <w:sz w:val="21"/>
                      <w:szCs w:val="21"/>
                      <w:highlight w:val="none"/>
                      <w:vertAlign w:val="superscript"/>
                    </w:rPr>
                    <w:t>2</w:t>
                  </w:r>
                </w:p>
              </w:tc>
              <w:tc>
                <w:tcPr>
                  <w:tcW w:w="908" w:type="pct"/>
                  <w:tcBorders>
                    <w:tl2br w:val="nil"/>
                    <w:tr2bl w:val="nil"/>
                  </w:tcBorders>
                  <w:noWrap w:val="0"/>
                  <w:vAlign w:val="center"/>
                </w:tcPr>
                <w:p w14:paraId="7EAE238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restart"/>
                  <w:tcBorders>
                    <w:tl2br w:val="nil"/>
                    <w:tr2bl w:val="nil"/>
                  </w:tcBorders>
                  <w:noWrap w:val="0"/>
                  <w:vAlign w:val="center"/>
                </w:tcPr>
                <w:p w14:paraId="7B96B35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120</w:t>
                  </w:r>
                  <w:r>
                    <w:rPr>
                      <w:rFonts w:hint="default" w:ascii="Times New Roman" w:hAnsi="Times New Roman" w:eastAsia="仿宋" w:cs="Times New Roman"/>
                      <w:color w:val="auto"/>
                      <w:kern w:val="0"/>
                      <w:sz w:val="21"/>
                      <w:szCs w:val="21"/>
                      <w:highlight w:val="none"/>
                      <w:lang w:val="en-US" w:eastAsia="zh-CN"/>
                    </w:rPr>
                    <w:t>t</w:t>
                  </w:r>
                </w:p>
              </w:tc>
              <w:tc>
                <w:tcPr>
                  <w:tcW w:w="498" w:type="pct"/>
                  <w:tcBorders>
                    <w:tl2br w:val="nil"/>
                    <w:tr2bl w:val="nil"/>
                  </w:tcBorders>
                  <w:noWrap w:val="0"/>
                  <w:vAlign w:val="center"/>
                </w:tcPr>
                <w:p w14:paraId="733DC506">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1B18553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7BC19F5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w:t>
                  </w:r>
                </w:p>
              </w:tc>
              <w:tc>
                <w:tcPr>
                  <w:tcW w:w="416" w:type="pct"/>
                  <w:vMerge w:val="continue"/>
                  <w:tcBorders>
                    <w:tl2br w:val="nil"/>
                    <w:tr2bl w:val="nil"/>
                  </w:tcBorders>
                  <w:noWrap w:val="0"/>
                  <w:vAlign w:val="center"/>
                </w:tcPr>
                <w:p w14:paraId="4E335761">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45ED37D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酸洗废液</w:t>
                  </w:r>
                </w:p>
              </w:tc>
              <w:tc>
                <w:tcPr>
                  <w:tcW w:w="417" w:type="pct"/>
                  <w:tcBorders>
                    <w:tl2br w:val="nil"/>
                    <w:tr2bl w:val="nil"/>
                  </w:tcBorders>
                  <w:shd w:val="clear" w:color="auto" w:fill="auto"/>
                  <w:noWrap w:val="0"/>
                  <w:vAlign w:val="center"/>
                </w:tcPr>
                <w:p w14:paraId="3CFB964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06DB2594">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291" w:type="pct"/>
                  <w:vMerge w:val="continue"/>
                  <w:tcBorders>
                    <w:tl2br w:val="nil"/>
                    <w:tr2bl w:val="nil"/>
                  </w:tcBorders>
                  <w:noWrap w:val="0"/>
                  <w:vAlign w:val="center"/>
                </w:tcPr>
                <w:p w14:paraId="2079609F">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1EA1FFE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0146CA2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20D9293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6BDC464A">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58C502A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2BF74A60">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3</w:t>
                  </w:r>
                </w:p>
              </w:tc>
              <w:tc>
                <w:tcPr>
                  <w:tcW w:w="416" w:type="pct"/>
                  <w:vMerge w:val="continue"/>
                  <w:tcBorders>
                    <w:tl2br w:val="nil"/>
                    <w:tr2bl w:val="nil"/>
                  </w:tcBorders>
                  <w:noWrap w:val="0"/>
                  <w:vAlign w:val="center"/>
                </w:tcPr>
                <w:p w14:paraId="5AD88E9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7E93BCF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中和废液</w:t>
                  </w:r>
                </w:p>
              </w:tc>
              <w:tc>
                <w:tcPr>
                  <w:tcW w:w="417" w:type="pct"/>
                  <w:tcBorders>
                    <w:tl2br w:val="nil"/>
                    <w:tr2bl w:val="nil"/>
                  </w:tcBorders>
                  <w:shd w:val="clear" w:color="auto" w:fill="auto"/>
                  <w:noWrap w:val="0"/>
                  <w:vAlign w:val="center"/>
                </w:tcPr>
                <w:p w14:paraId="1871BDF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181AC182">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291" w:type="pct"/>
                  <w:vMerge w:val="continue"/>
                  <w:tcBorders>
                    <w:tl2br w:val="nil"/>
                    <w:tr2bl w:val="nil"/>
                  </w:tcBorders>
                  <w:noWrap w:val="0"/>
                  <w:vAlign w:val="center"/>
                </w:tcPr>
                <w:p w14:paraId="3F5061CA">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3E62BE1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567AD57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342F5243">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091BB7BF">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6A56F2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2815BCA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4</w:t>
                  </w:r>
                </w:p>
              </w:tc>
              <w:tc>
                <w:tcPr>
                  <w:tcW w:w="416" w:type="pct"/>
                  <w:vMerge w:val="continue"/>
                  <w:tcBorders>
                    <w:tl2br w:val="nil"/>
                    <w:tr2bl w:val="nil"/>
                  </w:tcBorders>
                  <w:noWrap w:val="0"/>
                  <w:vAlign w:val="center"/>
                </w:tcPr>
                <w:p w14:paraId="090473A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38C5CCC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硅烷废液</w:t>
                  </w:r>
                </w:p>
              </w:tc>
              <w:tc>
                <w:tcPr>
                  <w:tcW w:w="417" w:type="pct"/>
                  <w:tcBorders>
                    <w:tl2br w:val="nil"/>
                    <w:tr2bl w:val="nil"/>
                  </w:tcBorders>
                  <w:shd w:val="clear" w:color="auto" w:fill="auto"/>
                  <w:noWrap w:val="0"/>
                  <w:vAlign w:val="center"/>
                </w:tcPr>
                <w:p w14:paraId="2FD36DB5">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7BE8889D">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291" w:type="pct"/>
                  <w:vMerge w:val="continue"/>
                  <w:tcBorders>
                    <w:tl2br w:val="nil"/>
                    <w:tr2bl w:val="nil"/>
                  </w:tcBorders>
                  <w:noWrap w:val="0"/>
                  <w:vAlign w:val="center"/>
                </w:tcPr>
                <w:p w14:paraId="6085B818">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0BC8D0A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4146830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43AB44B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052AA2D6">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2C7C11A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2EB27F7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5</w:t>
                  </w:r>
                </w:p>
              </w:tc>
              <w:tc>
                <w:tcPr>
                  <w:tcW w:w="416" w:type="pct"/>
                  <w:vMerge w:val="continue"/>
                  <w:tcBorders>
                    <w:tl2br w:val="nil"/>
                    <w:tr2bl w:val="nil"/>
                  </w:tcBorders>
                  <w:noWrap w:val="0"/>
                  <w:vAlign w:val="center"/>
                </w:tcPr>
                <w:p w14:paraId="13EC7D3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6A70E7F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废超滤膜</w:t>
                  </w:r>
                </w:p>
              </w:tc>
              <w:tc>
                <w:tcPr>
                  <w:tcW w:w="417" w:type="pct"/>
                  <w:tcBorders>
                    <w:tl2br w:val="nil"/>
                    <w:tr2bl w:val="nil"/>
                  </w:tcBorders>
                  <w:shd w:val="clear" w:color="auto" w:fill="auto"/>
                  <w:noWrap w:val="0"/>
                  <w:vAlign w:val="center"/>
                </w:tcPr>
                <w:p w14:paraId="168743B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1ACD885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0649BFC5">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5BBA206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1FEB3D6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5E7D174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20BCE648">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12个月</w:t>
                  </w:r>
                </w:p>
              </w:tc>
            </w:tr>
            <w:tr w14:paraId="3E73EDC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46F349A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6</w:t>
                  </w:r>
                </w:p>
              </w:tc>
              <w:tc>
                <w:tcPr>
                  <w:tcW w:w="416" w:type="pct"/>
                  <w:vMerge w:val="continue"/>
                  <w:tcBorders>
                    <w:tl2br w:val="nil"/>
                    <w:tr2bl w:val="nil"/>
                  </w:tcBorders>
                  <w:noWrap w:val="0"/>
                  <w:vAlign w:val="center"/>
                </w:tcPr>
                <w:p w14:paraId="720095E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778D62C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槽渣</w:t>
                  </w:r>
                </w:p>
              </w:tc>
              <w:tc>
                <w:tcPr>
                  <w:tcW w:w="417" w:type="pct"/>
                  <w:tcBorders>
                    <w:tl2br w:val="nil"/>
                    <w:tr2bl w:val="nil"/>
                  </w:tcBorders>
                  <w:shd w:val="clear" w:color="auto" w:fill="auto"/>
                  <w:noWrap w:val="0"/>
                  <w:vAlign w:val="center"/>
                </w:tcPr>
                <w:p w14:paraId="75D8A82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12</w:t>
                  </w:r>
                </w:p>
              </w:tc>
              <w:tc>
                <w:tcPr>
                  <w:tcW w:w="643" w:type="pct"/>
                  <w:tcBorders>
                    <w:tl2br w:val="nil"/>
                    <w:tr2bl w:val="nil"/>
                  </w:tcBorders>
                  <w:shd w:val="clear" w:color="auto" w:fill="auto"/>
                  <w:noWrap w:val="0"/>
                  <w:vAlign w:val="center"/>
                </w:tcPr>
                <w:p w14:paraId="5C89803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w:t>
                  </w:r>
                  <w:r>
                    <w:rPr>
                      <w:rFonts w:hint="eastAsia" w:eastAsia="仿宋" w:cs="Times New Roman"/>
                      <w:color w:val="auto"/>
                      <w:sz w:val="21"/>
                      <w:szCs w:val="21"/>
                      <w:highlight w:val="none"/>
                      <w:lang w:val="en-US" w:eastAsia="zh-CN"/>
                    </w:rPr>
                    <w:t>252</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12</w:t>
                  </w:r>
                </w:p>
              </w:tc>
              <w:tc>
                <w:tcPr>
                  <w:tcW w:w="291" w:type="pct"/>
                  <w:vMerge w:val="continue"/>
                  <w:tcBorders>
                    <w:tl2br w:val="nil"/>
                    <w:tr2bl w:val="nil"/>
                  </w:tcBorders>
                  <w:noWrap w:val="0"/>
                  <w:vAlign w:val="center"/>
                </w:tcPr>
                <w:p w14:paraId="2F88CDD3">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032592A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7E2D119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1A204B4C">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4A366B5E">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12个月</w:t>
                  </w:r>
                </w:p>
              </w:tc>
            </w:tr>
            <w:tr w14:paraId="00CDB9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0D6283F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7</w:t>
                  </w:r>
                </w:p>
              </w:tc>
              <w:tc>
                <w:tcPr>
                  <w:tcW w:w="416" w:type="pct"/>
                  <w:vMerge w:val="continue"/>
                  <w:tcBorders>
                    <w:tl2br w:val="nil"/>
                    <w:tr2bl w:val="nil"/>
                  </w:tcBorders>
                  <w:noWrap w:val="0"/>
                  <w:vAlign w:val="center"/>
                </w:tcPr>
                <w:p w14:paraId="21EB584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318D3E62">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表调废液</w:t>
                  </w:r>
                </w:p>
              </w:tc>
              <w:tc>
                <w:tcPr>
                  <w:tcW w:w="417" w:type="pct"/>
                  <w:tcBorders>
                    <w:tl2br w:val="nil"/>
                    <w:tr2bl w:val="nil"/>
                  </w:tcBorders>
                  <w:shd w:val="clear" w:color="auto" w:fill="auto"/>
                  <w:noWrap w:val="0"/>
                  <w:vAlign w:val="center"/>
                </w:tcPr>
                <w:p w14:paraId="0A4B3AB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1691656B">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336-064-17</w:t>
                  </w:r>
                </w:p>
              </w:tc>
              <w:tc>
                <w:tcPr>
                  <w:tcW w:w="291" w:type="pct"/>
                  <w:vMerge w:val="continue"/>
                  <w:tcBorders>
                    <w:tl2br w:val="nil"/>
                    <w:tr2bl w:val="nil"/>
                  </w:tcBorders>
                  <w:noWrap w:val="0"/>
                  <w:vAlign w:val="center"/>
                </w:tcPr>
                <w:p w14:paraId="7DAEF0D5">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505705F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74E02EF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14311A9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6726D1FD">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2C6B6E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02EEEB6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8</w:t>
                  </w:r>
                </w:p>
              </w:tc>
              <w:tc>
                <w:tcPr>
                  <w:tcW w:w="416" w:type="pct"/>
                  <w:vMerge w:val="continue"/>
                  <w:tcBorders>
                    <w:tl2br w:val="nil"/>
                    <w:tr2bl w:val="nil"/>
                  </w:tcBorders>
                  <w:noWrap w:val="0"/>
                  <w:vAlign w:val="center"/>
                </w:tcPr>
                <w:p w14:paraId="309162A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3A80504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废包装容器</w:t>
                  </w:r>
                </w:p>
              </w:tc>
              <w:tc>
                <w:tcPr>
                  <w:tcW w:w="417" w:type="pct"/>
                  <w:tcBorders>
                    <w:tl2br w:val="nil"/>
                    <w:tr2bl w:val="nil"/>
                  </w:tcBorders>
                  <w:shd w:val="clear" w:color="auto" w:fill="auto"/>
                  <w:noWrap w:val="0"/>
                  <w:vAlign w:val="center"/>
                </w:tcPr>
                <w:p w14:paraId="60D6138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424AD8E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53BAD2E0">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6C5C1CB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663C863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38FC7ED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22738A85">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74B9E72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0A96522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9</w:t>
                  </w:r>
                </w:p>
              </w:tc>
              <w:tc>
                <w:tcPr>
                  <w:tcW w:w="416" w:type="pct"/>
                  <w:vMerge w:val="continue"/>
                  <w:tcBorders>
                    <w:tl2br w:val="nil"/>
                    <w:tr2bl w:val="nil"/>
                  </w:tcBorders>
                  <w:noWrap w:val="0"/>
                  <w:vAlign w:val="center"/>
                </w:tcPr>
                <w:p w14:paraId="7AF3189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49D9B65E">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润滑油</w:t>
                  </w:r>
                </w:p>
              </w:tc>
              <w:tc>
                <w:tcPr>
                  <w:tcW w:w="417" w:type="pct"/>
                  <w:tcBorders>
                    <w:tl2br w:val="nil"/>
                    <w:tr2bl w:val="nil"/>
                  </w:tcBorders>
                  <w:shd w:val="clear" w:color="auto" w:fill="auto"/>
                  <w:noWrap w:val="0"/>
                  <w:vAlign w:val="center"/>
                </w:tcPr>
                <w:p w14:paraId="4858AD7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HW08</w:t>
                  </w:r>
                </w:p>
              </w:tc>
              <w:tc>
                <w:tcPr>
                  <w:tcW w:w="643" w:type="pct"/>
                  <w:tcBorders>
                    <w:tl2br w:val="nil"/>
                    <w:tr2bl w:val="nil"/>
                  </w:tcBorders>
                  <w:shd w:val="clear" w:color="auto" w:fill="auto"/>
                  <w:noWrap w:val="0"/>
                  <w:vAlign w:val="center"/>
                </w:tcPr>
                <w:p w14:paraId="4DFF2A1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900-2</w:t>
                  </w:r>
                  <w:r>
                    <w:rPr>
                      <w:rFonts w:hint="eastAsia" w:eastAsia="仿宋" w:cs="Times New Roman"/>
                      <w:color w:val="auto"/>
                      <w:sz w:val="21"/>
                      <w:szCs w:val="21"/>
                      <w:highlight w:val="none"/>
                      <w:lang w:val="en-US" w:eastAsia="zh-CN"/>
                    </w:rPr>
                    <w:t>17</w:t>
                  </w:r>
                  <w:r>
                    <w:rPr>
                      <w:rFonts w:hint="default" w:ascii="Times New Roman" w:hAnsi="Times New Roman" w:eastAsia="仿宋" w:cs="Times New Roman"/>
                      <w:color w:val="auto"/>
                      <w:sz w:val="21"/>
                      <w:szCs w:val="21"/>
                      <w:highlight w:val="none"/>
                      <w:lang w:val="en-US" w:eastAsia="zh-CN"/>
                    </w:rPr>
                    <w:t>-08</w:t>
                  </w:r>
                </w:p>
              </w:tc>
              <w:tc>
                <w:tcPr>
                  <w:tcW w:w="291" w:type="pct"/>
                  <w:vMerge w:val="continue"/>
                  <w:tcBorders>
                    <w:tl2br w:val="nil"/>
                    <w:tr2bl w:val="nil"/>
                  </w:tcBorders>
                  <w:noWrap w:val="0"/>
                  <w:vAlign w:val="center"/>
                </w:tcPr>
                <w:p w14:paraId="0680157F">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750CA36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049B846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10F5FCD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2F39A764">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7BD6F96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50ABC57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10</w:t>
                  </w:r>
                </w:p>
              </w:tc>
              <w:tc>
                <w:tcPr>
                  <w:tcW w:w="416" w:type="pct"/>
                  <w:vMerge w:val="continue"/>
                  <w:tcBorders>
                    <w:tl2br w:val="nil"/>
                    <w:tr2bl w:val="nil"/>
                  </w:tcBorders>
                  <w:noWrap w:val="0"/>
                  <w:vAlign w:val="center"/>
                </w:tcPr>
                <w:p w14:paraId="7917438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5538F5A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含油抹布</w:t>
                  </w:r>
                </w:p>
              </w:tc>
              <w:tc>
                <w:tcPr>
                  <w:tcW w:w="417" w:type="pct"/>
                  <w:tcBorders>
                    <w:tl2br w:val="nil"/>
                    <w:tr2bl w:val="nil"/>
                  </w:tcBorders>
                  <w:shd w:val="clear" w:color="auto" w:fill="auto"/>
                  <w:noWrap w:val="0"/>
                  <w:vAlign w:val="center"/>
                </w:tcPr>
                <w:p w14:paraId="4FA00769">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4E69FE5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27278615">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7D75C4E1">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648877E0">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3812372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1756A046">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306F83D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779D5B8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11</w:t>
                  </w:r>
                </w:p>
              </w:tc>
              <w:tc>
                <w:tcPr>
                  <w:tcW w:w="416" w:type="pct"/>
                  <w:vMerge w:val="continue"/>
                  <w:tcBorders>
                    <w:tl2br w:val="nil"/>
                    <w:tr2bl w:val="nil"/>
                  </w:tcBorders>
                  <w:noWrap w:val="0"/>
                  <w:vAlign w:val="center"/>
                </w:tcPr>
                <w:p w14:paraId="0A4749B3">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08AAB56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废油桶</w:t>
                  </w:r>
                </w:p>
              </w:tc>
              <w:tc>
                <w:tcPr>
                  <w:tcW w:w="417" w:type="pct"/>
                  <w:tcBorders>
                    <w:tl2br w:val="nil"/>
                    <w:tr2bl w:val="nil"/>
                  </w:tcBorders>
                  <w:shd w:val="clear" w:color="auto" w:fill="auto"/>
                  <w:noWrap w:val="0"/>
                  <w:vAlign w:val="center"/>
                </w:tcPr>
                <w:p w14:paraId="43578AB9">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HW08</w:t>
                  </w:r>
                </w:p>
              </w:tc>
              <w:tc>
                <w:tcPr>
                  <w:tcW w:w="643" w:type="pct"/>
                  <w:tcBorders>
                    <w:tl2br w:val="nil"/>
                    <w:tr2bl w:val="nil"/>
                  </w:tcBorders>
                  <w:shd w:val="clear" w:color="auto" w:fill="auto"/>
                  <w:noWrap w:val="0"/>
                  <w:vAlign w:val="center"/>
                </w:tcPr>
                <w:p w14:paraId="52B6B1C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900-249-08</w:t>
                  </w:r>
                </w:p>
              </w:tc>
              <w:tc>
                <w:tcPr>
                  <w:tcW w:w="291" w:type="pct"/>
                  <w:vMerge w:val="continue"/>
                  <w:tcBorders>
                    <w:tl2br w:val="nil"/>
                    <w:tr2bl w:val="nil"/>
                  </w:tcBorders>
                  <w:noWrap w:val="0"/>
                  <w:vAlign w:val="center"/>
                </w:tcPr>
                <w:p w14:paraId="2E36F8C5">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4D96578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2A2FFDA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648F8CC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11C3AAD9">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63455C7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299AE798">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w:t>
                  </w:r>
                </w:p>
              </w:tc>
              <w:tc>
                <w:tcPr>
                  <w:tcW w:w="416" w:type="pct"/>
                  <w:vMerge w:val="continue"/>
                  <w:tcBorders>
                    <w:tl2br w:val="nil"/>
                    <w:tr2bl w:val="nil"/>
                  </w:tcBorders>
                  <w:noWrap w:val="0"/>
                  <w:vAlign w:val="center"/>
                </w:tcPr>
                <w:p w14:paraId="29E2533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0829D86D">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废活性炭</w:t>
                  </w:r>
                </w:p>
              </w:tc>
              <w:tc>
                <w:tcPr>
                  <w:tcW w:w="417" w:type="pct"/>
                  <w:tcBorders>
                    <w:tl2br w:val="nil"/>
                    <w:tr2bl w:val="nil"/>
                  </w:tcBorders>
                  <w:shd w:val="clear" w:color="auto" w:fill="auto"/>
                  <w:noWrap w:val="0"/>
                  <w:vAlign w:val="center"/>
                </w:tcPr>
                <w:p w14:paraId="3D903E6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5A5436D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w:t>
                  </w:r>
                  <w:r>
                    <w:rPr>
                      <w:rFonts w:hint="eastAsia" w:eastAsia="仿宋" w:cs="Times New Roman"/>
                      <w:color w:val="auto"/>
                      <w:sz w:val="21"/>
                      <w:szCs w:val="21"/>
                      <w:highlight w:val="none"/>
                      <w:lang w:val="en-US" w:eastAsia="zh-CN"/>
                    </w:rPr>
                    <w:t>39</w:t>
                  </w:r>
                  <w:r>
                    <w:rPr>
                      <w:rFonts w:hint="default" w:ascii="Times New Roman" w:hAnsi="Times New Roman" w:eastAsia="仿宋" w:cs="Times New Roman"/>
                      <w:color w:val="auto"/>
                      <w:sz w:val="21"/>
                      <w:szCs w:val="21"/>
                      <w:highlight w:val="none"/>
                      <w:lang w:val="en-US" w:eastAsia="zh-CN"/>
                    </w:rPr>
                    <w:t>-49</w:t>
                  </w:r>
                </w:p>
              </w:tc>
              <w:tc>
                <w:tcPr>
                  <w:tcW w:w="291" w:type="pct"/>
                  <w:vMerge w:val="continue"/>
                  <w:tcBorders>
                    <w:tl2br w:val="nil"/>
                    <w:tr2bl w:val="nil"/>
                  </w:tcBorders>
                  <w:noWrap w:val="0"/>
                  <w:vAlign w:val="center"/>
                </w:tcPr>
                <w:p w14:paraId="217CE2FC">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53283FB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102AFF4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3D30280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117E5381">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50天</w:t>
                  </w:r>
                </w:p>
              </w:tc>
            </w:tr>
            <w:tr w14:paraId="0FEB7CE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172566B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13</w:t>
                  </w:r>
                </w:p>
              </w:tc>
              <w:tc>
                <w:tcPr>
                  <w:tcW w:w="416" w:type="pct"/>
                  <w:vMerge w:val="continue"/>
                  <w:tcBorders>
                    <w:tl2br w:val="nil"/>
                    <w:tr2bl w:val="nil"/>
                  </w:tcBorders>
                  <w:noWrap w:val="0"/>
                  <w:vAlign w:val="center"/>
                </w:tcPr>
                <w:p w14:paraId="63BD2BC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15F86423">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喷淋废液</w:t>
                  </w:r>
                </w:p>
              </w:tc>
              <w:tc>
                <w:tcPr>
                  <w:tcW w:w="417" w:type="pct"/>
                  <w:tcBorders>
                    <w:tl2br w:val="nil"/>
                    <w:tr2bl w:val="nil"/>
                  </w:tcBorders>
                  <w:shd w:val="clear" w:color="auto" w:fill="auto"/>
                  <w:noWrap w:val="0"/>
                  <w:vAlign w:val="center"/>
                </w:tcPr>
                <w:p w14:paraId="56148D5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5EE6F96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48FF03E7">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4586124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234CCA3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桶装</w:t>
                  </w:r>
                  <w:r>
                    <w:rPr>
                      <w:rFonts w:hint="default" w:ascii="Times New Roman" w:hAnsi="Times New Roman" w:eastAsia="仿宋" w:cs="Times New Roman"/>
                      <w:color w:val="auto"/>
                      <w:kern w:val="0"/>
                      <w:sz w:val="21"/>
                      <w:szCs w:val="21"/>
                      <w:highlight w:val="none"/>
                    </w:rPr>
                    <w:t>加盖密闭、下置防渗漏托盘</w:t>
                  </w:r>
                </w:p>
              </w:tc>
              <w:tc>
                <w:tcPr>
                  <w:tcW w:w="495" w:type="pct"/>
                  <w:vMerge w:val="continue"/>
                  <w:tcBorders>
                    <w:tl2br w:val="nil"/>
                    <w:tr2bl w:val="nil"/>
                  </w:tcBorders>
                  <w:noWrap w:val="0"/>
                  <w:vAlign w:val="center"/>
                </w:tcPr>
                <w:p w14:paraId="6549E249">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5DDBF14B">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12个月</w:t>
                  </w:r>
                </w:p>
              </w:tc>
            </w:tr>
            <w:tr w14:paraId="6EB968E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648742F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14</w:t>
                  </w:r>
                </w:p>
              </w:tc>
              <w:tc>
                <w:tcPr>
                  <w:tcW w:w="416" w:type="pct"/>
                  <w:vMerge w:val="continue"/>
                  <w:tcBorders>
                    <w:tl2br w:val="nil"/>
                    <w:tr2bl w:val="nil"/>
                  </w:tcBorders>
                  <w:noWrap w:val="0"/>
                  <w:vAlign w:val="center"/>
                </w:tcPr>
                <w:p w14:paraId="7828F59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73FC1801">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废过滤棉</w:t>
                  </w:r>
                </w:p>
              </w:tc>
              <w:tc>
                <w:tcPr>
                  <w:tcW w:w="417" w:type="pct"/>
                  <w:tcBorders>
                    <w:tl2br w:val="nil"/>
                    <w:tr2bl w:val="nil"/>
                  </w:tcBorders>
                  <w:shd w:val="clear" w:color="auto" w:fill="auto"/>
                  <w:noWrap w:val="0"/>
                  <w:vAlign w:val="center"/>
                </w:tcPr>
                <w:p w14:paraId="15D513A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01AE332B">
                  <w:pPr>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4F2D73E1">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15DB809A">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0B42E3C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6DF5079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3E26E9B3">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6AD78E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26DEBC7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15</w:t>
                  </w:r>
                </w:p>
              </w:tc>
              <w:tc>
                <w:tcPr>
                  <w:tcW w:w="416" w:type="pct"/>
                  <w:vMerge w:val="continue"/>
                  <w:tcBorders>
                    <w:tl2br w:val="nil"/>
                    <w:tr2bl w:val="nil"/>
                  </w:tcBorders>
                  <w:noWrap w:val="0"/>
                  <w:vAlign w:val="center"/>
                </w:tcPr>
                <w:p w14:paraId="7B6CE75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08D9B332">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废RO膜</w:t>
                  </w:r>
                </w:p>
              </w:tc>
              <w:tc>
                <w:tcPr>
                  <w:tcW w:w="417" w:type="pct"/>
                  <w:tcBorders>
                    <w:tl2br w:val="nil"/>
                    <w:tr2bl w:val="nil"/>
                  </w:tcBorders>
                  <w:shd w:val="clear" w:color="auto" w:fill="auto"/>
                  <w:noWrap w:val="0"/>
                  <w:vAlign w:val="center"/>
                </w:tcPr>
                <w:p w14:paraId="3A67F98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HW49</w:t>
                  </w:r>
                </w:p>
              </w:tc>
              <w:tc>
                <w:tcPr>
                  <w:tcW w:w="643" w:type="pct"/>
                  <w:tcBorders>
                    <w:tl2br w:val="nil"/>
                    <w:tr2bl w:val="nil"/>
                  </w:tcBorders>
                  <w:shd w:val="clear" w:color="auto" w:fill="auto"/>
                  <w:noWrap w:val="0"/>
                  <w:vAlign w:val="center"/>
                </w:tcPr>
                <w:p w14:paraId="2EF879B6">
                  <w:pPr>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900-041-49</w:t>
                  </w:r>
                </w:p>
              </w:tc>
              <w:tc>
                <w:tcPr>
                  <w:tcW w:w="291" w:type="pct"/>
                  <w:vMerge w:val="continue"/>
                  <w:tcBorders>
                    <w:tl2br w:val="nil"/>
                    <w:tr2bl w:val="nil"/>
                  </w:tcBorders>
                  <w:noWrap w:val="0"/>
                  <w:vAlign w:val="center"/>
                </w:tcPr>
                <w:p w14:paraId="67FA2599">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41D60445">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4D36D894">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7EEACD9B">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030D2011">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r w14:paraId="097D842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3AB067DF">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16</w:t>
                  </w:r>
                </w:p>
              </w:tc>
              <w:tc>
                <w:tcPr>
                  <w:tcW w:w="416" w:type="pct"/>
                  <w:vMerge w:val="continue"/>
                  <w:tcBorders>
                    <w:tl2br w:val="nil"/>
                    <w:tr2bl w:val="nil"/>
                  </w:tcBorders>
                  <w:noWrap w:val="0"/>
                  <w:vAlign w:val="center"/>
                </w:tcPr>
                <w:p w14:paraId="77000371">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479DB2D1">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污泥</w:t>
                  </w:r>
                </w:p>
              </w:tc>
              <w:tc>
                <w:tcPr>
                  <w:tcW w:w="417" w:type="pct"/>
                  <w:tcBorders>
                    <w:tl2br w:val="nil"/>
                    <w:tr2bl w:val="nil"/>
                  </w:tcBorders>
                  <w:shd w:val="clear" w:color="auto" w:fill="auto"/>
                  <w:noWrap w:val="0"/>
                  <w:vAlign w:val="center"/>
                </w:tcPr>
                <w:p w14:paraId="5E5E7F1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HW</w:t>
                  </w:r>
                  <w:r>
                    <w:rPr>
                      <w:rFonts w:hint="eastAsia" w:eastAsia="仿宋" w:cs="Times New Roman"/>
                      <w:color w:val="auto"/>
                      <w:sz w:val="21"/>
                      <w:szCs w:val="21"/>
                      <w:highlight w:val="none"/>
                      <w:lang w:val="en-US" w:eastAsia="zh-CN"/>
                    </w:rPr>
                    <w:t>17</w:t>
                  </w:r>
                </w:p>
              </w:tc>
              <w:tc>
                <w:tcPr>
                  <w:tcW w:w="643" w:type="pct"/>
                  <w:tcBorders>
                    <w:tl2br w:val="nil"/>
                    <w:tr2bl w:val="nil"/>
                  </w:tcBorders>
                  <w:shd w:val="clear" w:color="auto" w:fill="auto"/>
                  <w:noWrap w:val="0"/>
                  <w:vAlign w:val="center"/>
                </w:tcPr>
                <w:p w14:paraId="6D0D9D0F">
                  <w:pPr>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sz w:val="21"/>
                      <w:szCs w:val="21"/>
                      <w:highlight w:val="none"/>
                      <w:lang w:val="en-US" w:eastAsia="zh-CN"/>
                    </w:rPr>
                    <w:t>336-064-14</w:t>
                  </w:r>
                </w:p>
              </w:tc>
              <w:tc>
                <w:tcPr>
                  <w:tcW w:w="291" w:type="pct"/>
                  <w:vMerge w:val="continue"/>
                  <w:tcBorders>
                    <w:tl2br w:val="nil"/>
                    <w:tr2bl w:val="nil"/>
                  </w:tcBorders>
                  <w:noWrap w:val="0"/>
                  <w:vAlign w:val="center"/>
                </w:tcPr>
                <w:p w14:paraId="27777B7C">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50CD831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4CB49F5D">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30CFB040">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3DC322D1">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3个月</w:t>
                  </w:r>
                </w:p>
              </w:tc>
            </w:tr>
            <w:tr w14:paraId="2B369F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tcBorders>
                    <w:tl2br w:val="nil"/>
                    <w:tr2bl w:val="nil"/>
                  </w:tcBorders>
                  <w:noWrap w:val="0"/>
                  <w:vAlign w:val="center"/>
                </w:tcPr>
                <w:p w14:paraId="0D212352">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17</w:t>
                  </w:r>
                </w:p>
              </w:tc>
              <w:tc>
                <w:tcPr>
                  <w:tcW w:w="416" w:type="pct"/>
                  <w:vMerge w:val="continue"/>
                  <w:tcBorders>
                    <w:tl2br w:val="nil"/>
                    <w:tr2bl w:val="nil"/>
                  </w:tcBorders>
                  <w:noWrap w:val="0"/>
                  <w:vAlign w:val="center"/>
                </w:tcPr>
                <w:p w14:paraId="3DC3DAAC">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rPr>
                  </w:pPr>
                </w:p>
              </w:tc>
              <w:tc>
                <w:tcPr>
                  <w:tcW w:w="669" w:type="pct"/>
                  <w:tcBorders>
                    <w:tl2br w:val="nil"/>
                    <w:tr2bl w:val="nil"/>
                  </w:tcBorders>
                  <w:shd w:val="clear" w:color="auto" w:fill="auto"/>
                  <w:noWrap w:val="0"/>
                  <w:vAlign w:val="center"/>
                </w:tcPr>
                <w:p w14:paraId="04DFE16B">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挂具废渣</w:t>
                  </w:r>
                </w:p>
              </w:tc>
              <w:tc>
                <w:tcPr>
                  <w:tcW w:w="417" w:type="pct"/>
                  <w:tcBorders>
                    <w:tl2br w:val="nil"/>
                    <w:tr2bl w:val="nil"/>
                  </w:tcBorders>
                  <w:shd w:val="clear" w:color="auto" w:fill="auto"/>
                  <w:noWrap w:val="0"/>
                  <w:vAlign w:val="center"/>
                </w:tcPr>
                <w:p w14:paraId="122079B6">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HW12</w:t>
                  </w:r>
                </w:p>
              </w:tc>
              <w:tc>
                <w:tcPr>
                  <w:tcW w:w="643" w:type="pct"/>
                  <w:tcBorders>
                    <w:tl2br w:val="nil"/>
                    <w:tr2bl w:val="nil"/>
                  </w:tcBorders>
                  <w:shd w:val="clear" w:color="auto" w:fill="auto"/>
                  <w:noWrap w:val="0"/>
                  <w:vAlign w:val="center"/>
                </w:tcPr>
                <w:p w14:paraId="0B91C25C">
                  <w:pPr>
                    <w:jc w:val="center"/>
                    <w:rPr>
                      <w:rFonts w:hint="eastAsia"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900-</w:t>
                  </w:r>
                  <w:r>
                    <w:rPr>
                      <w:rFonts w:hint="eastAsia" w:eastAsia="仿宋" w:cs="Times New Roman"/>
                      <w:color w:val="auto"/>
                      <w:sz w:val="21"/>
                      <w:szCs w:val="21"/>
                      <w:highlight w:val="none"/>
                      <w:lang w:val="en-US" w:eastAsia="zh-CN"/>
                    </w:rPr>
                    <w:t>252</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12</w:t>
                  </w:r>
                </w:p>
              </w:tc>
              <w:tc>
                <w:tcPr>
                  <w:tcW w:w="291" w:type="pct"/>
                  <w:vMerge w:val="continue"/>
                  <w:tcBorders>
                    <w:tl2br w:val="nil"/>
                    <w:tr2bl w:val="nil"/>
                  </w:tcBorders>
                  <w:noWrap w:val="0"/>
                  <w:vAlign w:val="center"/>
                </w:tcPr>
                <w:p w14:paraId="32D558EF">
                  <w:pPr>
                    <w:keepNext w:val="0"/>
                    <w:keepLines w:val="0"/>
                    <w:pageBreakBefore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kern w:val="0"/>
                      <w:sz w:val="21"/>
                      <w:szCs w:val="21"/>
                      <w:highlight w:val="none"/>
                    </w:rPr>
                  </w:pPr>
                </w:p>
              </w:tc>
              <w:tc>
                <w:tcPr>
                  <w:tcW w:w="410" w:type="pct"/>
                  <w:vMerge w:val="continue"/>
                  <w:tcBorders>
                    <w:tl2br w:val="nil"/>
                    <w:tr2bl w:val="nil"/>
                  </w:tcBorders>
                  <w:noWrap w:val="0"/>
                  <w:vAlign w:val="center"/>
                </w:tcPr>
                <w:p w14:paraId="73FFF2A7">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908" w:type="pct"/>
                  <w:tcBorders>
                    <w:tl2br w:val="nil"/>
                    <w:tr2bl w:val="nil"/>
                  </w:tcBorders>
                  <w:noWrap w:val="0"/>
                  <w:vAlign w:val="center"/>
                </w:tcPr>
                <w:p w14:paraId="5A62931E">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袋装</w:t>
                  </w:r>
                  <w:r>
                    <w:rPr>
                      <w:rFonts w:hint="default" w:ascii="Times New Roman" w:hAnsi="Times New Roman" w:eastAsia="仿宋" w:cs="Times New Roman"/>
                      <w:color w:val="auto"/>
                      <w:kern w:val="0"/>
                      <w:sz w:val="21"/>
                      <w:szCs w:val="21"/>
                      <w:highlight w:val="none"/>
                    </w:rPr>
                    <w:t>密闭、下置防渗漏托盘</w:t>
                  </w:r>
                </w:p>
              </w:tc>
              <w:tc>
                <w:tcPr>
                  <w:tcW w:w="495" w:type="pct"/>
                  <w:vMerge w:val="continue"/>
                  <w:tcBorders>
                    <w:tl2br w:val="nil"/>
                    <w:tr2bl w:val="nil"/>
                  </w:tcBorders>
                  <w:noWrap w:val="0"/>
                  <w:vAlign w:val="center"/>
                </w:tcPr>
                <w:p w14:paraId="172628D6">
                  <w:pPr>
                    <w:keepNext w:val="0"/>
                    <w:keepLines w:val="0"/>
                    <w:pageBreakBefore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lang w:val="en-US" w:eastAsia="zh-CN"/>
                    </w:rPr>
                  </w:pPr>
                </w:p>
              </w:tc>
              <w:tc>
                <w:tcPr>
                  <w:tcW w:w="498" w:type="pct"/>
                  <w:tcBorders>
                    <w:tl2br w:val="nil"/>
                    <w:tr2bl w:val="nil"/>
                  </w:tcBorders>
                  <w:noWrap w:val="0"/>
                  <w:vAlign w:val="center"/>
                </w:tcPr>
                <w:p w14:paraId="59397BAA">
                  <w:pPr>
                    <w:topLinePunct/>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6个月</w:t>
                  </w:r>
                </w:p>
              </w:tc>
            </w:tr>
          </w:tbl>
          <w:p w14:paraId="09080F35">
            <w:pPr>
              <w:pStyle w:val="4"/>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val="0"/>
                <w:color w:val="auto"/>
                <w:sz w:val="24"/>
                <w:szCs w:val="24"/>
                <w:highlight w:val="none"/>
              </w:rPr>
              <w:t>危废仓库容量合理性分析：本项目实施后全厂危险废物产生量</w:t>
            </w:r>
            <w:r>
              <w:rPr>
                <w:rFonts w:hint="eastAsia" w:cs="Times New Roman"/>
                <w:bCs w:val="0"/>
                <w:color w:val="auto"/>
                <w:sz w:val="24"/>
                <w:szCs w:val="24"/>
                <w:highlight w:val="none"/>
                <w:lang w:val="en-US" w:eastAsia="zh-CN"/>
              </w:rPr>
              <w:t>126.09905</w:t>
            </w:r>
            <w:r>
              <w:rPr>
                <w:rFonts w:hint="default" w:ascii="Times New Roman" w:hAnsi="Times New Roman" w:eastAsia="宋体" w:cs="Times New Roman"/>
                <w:bCs w:val="0"/>
                <w:color w:val="auto"/>
                <w:sz w:val="24"/>
                <w:szCs w:val="24"/>
                <w:highlight w:val="none"/>
              </w:rPr>
              <w:t>t/a。</w:t>
            </w:r>
          </w:p>
          <w:p w14:paraId="4060774E">
            <w:pPr>
              <w:pStyle w:val="4"/>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sz w:val="24"/>
                <w:szCs w:val="24"/>
                <w:highlight w:val="none"/>
                <w:lang w:val="en-US"/>
              </w:rPr>
            </w:pPr>
            <w:r>
              <w:rPr>
                <w:rFonts w:hint="eastAsia"/>
                <w:color w:val="auto"/>
                <w:szCs w:val="24"/>
                <w:highlight w:val="none"/>
                <w:lang w:eastAsia="zh-CN"/>
              </w:rPr>
              <w:t>（</w:t>
            </w:r>
            <w:r>
              <w:rPr>
                <w:rFonts w:hint="eastAsia"/>
                <w:color w:val="auto"/>
                <w:szCs w:val="24"/>
                <w:highlight w:val="none"/>
                <w:lang w:val="en-US" w:eastAsia="zh-CN"/>
              </w:rPr>
              <w:t>1</w:t>
            </w:r>
            <w:r>
              <w:rPr>
                <w:rFonts w:hint="eastAsia"/>
                <w:color w:val="auto"/>
                <w:szCs w:val="24"/>
                <w:highlight w:val="none"/>
                <w:lang w:eastAsia="zh-CN"/>
              </w:rPr>
              <w:t>）</w:t>
            </w:r>
            <w:r>
              <w:rPr>
                <w:rFonts w:hint="eastAsia"/>
                <w:color w:val="auto"/>
                <w:szCs w:val="24"/>
                <w:highlight w:val="none"/>
                <w:lang w:val="en-US" w:eastAsia="zh-CN"/>
              </w:rPr>
              <w:t>脱脂废液</w:t>
            </w:r>
            <w:r>
              <w:rPr>
                <w:rFonts w:hint="default"/>
                <w:color w:val="auto"/>
                <w:szCs w:val="24"/>
                <w:highlight w:val="none"/>
              </w:rPr>
              <w:t>产生量</w:t>
            </w:r>
            <w:r>
              <w:rPr>
                <w:rFonts w:hint="eastAsia"/>
                <w:color w:val="auto"/>
                <w:szCs w:val="24"/>
                <w:highlight w:val="none"/>
                <w:lang w:val="en-US" w:eastAsia="zh-CN"/>
              </w:rPr>
              <w:t>21</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2个月转运一次，</w:t>
            </w:r>
            <w:r>
              <w:rPr>
                <w:rFonts w:hint="default"/>
                <w:color w:val="auto"/>
                <w:szCs w:val="24"/>
                <w:highlight w:val="none"/>
              </w:rPr>
              <w:t>需要存储空间</w:t>
            </w:r>
            <w:r>
              <w:rPr>
                <w:rFonts w:hint="eastAsia"/>
                <w:color w:val="auto"/>
                <w:szCs w:val="24"/>
                <w:highlight w:val="none"/>
                <w:lang w:val="en-US" w:eastAsia="zh-CN"/>
              </w:rPr>
              <w:t>6</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2</w:t>
            </w:r>
            <w:r>
              <w:rPr>
                <w:rFonts w:hint="eastAsia"/>
                <w:color w:val="auto"/>
                <w:szCs w:val="24"/>
                <w:highlight w:val="none"/>
                <w:lang w:eastAsia="zh-CN"/>
              </w:rPr>
              <w:t>）</w:t>
            </w:r>
            <w:r>
              <w:rPr>
                <w:rFonts w:hint="eastAsia"/>
                <w:color w:val="auto"/>
                <w:szCs w:val="24"/>
                <w:highlight w:val="none"/>
                <w:lang w:val="en-US" w:eastAsia="zh-CN"/>
              </w:rPr>
              <w:t>酸洗废液</w:t>
            </w:r>
            <w:r>
              <w:rPr>
                <w:rFonts w:hint="default"/>
                <w:color w:val="auto"/>
                <w:szCs w:val="24"/>
                <w:highlight w:val="none"/>
              </w:rPr>
              <w:t>产生量</w:t>
            </w:r>
            <w:r>
              <w:rPr>
                <w:rFonts w:hint="eastAsia"/>
                <w:color w:val="auto"/>
                <w:szCs w:val="24"/>
                <w:highlight w:val="none"/>
                <w:lang w:val="en-US" w:eastAsia="zh-CN"/>
              </w:rPr>
              <w:t>21</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2个月转运一次，</w:t>
            </w:r>
            <w:r>
              <w:rPr>
                <w:rFonts w:hint="default"/>
                <w:color w:val="auto"/>
                <w:szCs w:val="24"/>
                <w:highlight w:val="none"/>
              </w:rPr>
              <w:t>需要存储空间</w:t>
            </w:r>
            <w:r>
              <w:rPr>
                <w:rFonts w:hint="eastAsia"/>
                <w:color w:val="auto"/>
                <w:szCs w:val="24"/>
                <w:highlight w:val="none"/>
                <w:lang w:val="en-US" w:eastAsia="zh-CN"/>
              </w:rPr>
              <w:t>6</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3</w:t>
            </w:r>
            <w:r>
              <w:rPr>
                <w:rFonts w:hint="eastAsia"/>
                <w:color w:val="auto"/>
                <w:szCs w:val="24"/>
                <w:highlight w:val="none"/>
                <w:lang w:eastAsia="zh-CN"/>
              </w:rPr>
              <w:t>）</w:t>
            </w:r>
            <w:r>
              <w:rPr>
                <w:rFonts w:hint="eastAsia"/>
                <w:color w:val="auto"/>
                <w:szCs w:val="24"/>
                <w:highlight w:val="none"/>
                <w:lang w:val="en-US" w:eastAsia="zh-CN"/>
              </w:rPr>
              <w:t>中和废液</w:t>
            </w:r>
            <w:r>
              <w:rPr>
                <w:rFonts w:hint="default"/>
                <w:color w:val="auto"/>
                <w:szCs w:val="24"/>
                <w:highlight w:val="none"/>
              </w:rPr>
              <w:t>产生量</w:t>
            </w:r>
            <w:r>
              <w:rPr>
                <w:rFonts w:hint="eastAsia"/>
                <w:color w:val="auto"/>
                <w:szCs w:val="24"/>
                <w:highlight w:val="none"/>
                <w:lang w:val="en-US" w:eastAsia="zh-CN"/>
              </w:rPr>
              <w:t>8.24</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3个月转运一次，</w:t>
            </w:r>
            <w:r>
              <w:rPr>
                <w:rFonts w:hint="default"/>
                <w:color w:val="auto"/>
                <w:szCs w:val="24"/>
                <w:highlight w:val="none"/>
              </w:rPr>
              <w:t>需要存储空间</w:t>
            </w:r>
            <w:r>
              <w:rPr>
                <w:rFonts w:hint="eastAsia"/>
                <w:color w:val="auto"/>
                <w:szCs w:val="24"/>
                <w:highlight w:val="none"/>
                <w:lang w:val="en-US" w:eastAsia="zh-CN"/>
              </w:rPr>
              <w:t>3</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4</w:t>
            </w:r>
            <w:r>
              <w:rPr>
                <w:rFonts w:hint="eastAsia"/>
                <w:color w:val="auto"/>
                <w:szCs w:val="24"/>
                <w:highlight w:val="none"/>
                <w:lang w:eastAsia="zh-CN"/>
              </w:rPr>
              <w:t>）</w:t>
            </w:r>
            <w:r>
              <w:rPr>
                <w:rFonts w:hint="eastAsia"/>
                <w:color w:val="auto"/>
                <w:szCs w:val="24"/>
                <w:highlight w:val="none"/>
                <w:lang w:val="en-US" w:eastAsia="zh-CN"/>
              </w:rPr>
              <w:t>硅烷废液</w:t>
            </w:r>
            <w:r>
              <w:rPr>
                <w:rFonts w:hint="default"/>
                <w:color w:val="auto"/>
                <w:szCs w:val="24"/>
                <w:highlight w:val="none"/>
              </w:rPr>
              <w:t>产生量</w:t>
            </w:r>
            <w:r>
              <w:rPr>
                <w:rFonts w:hint="eastAsia"/>
                <w:color w:val="auto"/>
                <w:szCs w:val="24"/>
                <w:highlight w:val="none"/>
                <w:lang w:val="en-US" w:eastAsia="zh-CN"/>
              </w:rPr>
              <w:t>14</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3个月转运一次，</w:t>
            </w:r>
            <w:r>
              <w:rPr>
                <w:rFonts w:hint="default"/>
                <w:color w:val="auto"/>
                <w:szCs w:val="24"/>
                <w:highlight w:val="none"/>
              </w:rPr>
              <w:t>需要存储空间</w:t>
            </w:r>
            <w:r>
              <w:rPr>
                <w:rFonts w:hint="eastAsia"/>
                <w:color w:val="auto"/>
                <w:szCs w:val="24"/>
                <w:highlight w:val="none"/>
                <w:lang w:val="en-US" w:eastAsia="zh-CN"/>
              </w:rPr>
              <w:t>4</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5</w:t>
            </w:r>
            <w:r>
              <w:rPr>
                <w:rFonts w:hint="eastAsia"/>
                <w:color w:val="auto"/>
                <w:szCs w:val="24"/>
                <w:highlight w:val="none"/>
                <w:lang w:eastAsia="zh-CN"/>
              </w:rPr>
              <w:t>）</w:t>
            </w:r>
            <w:r>
              <w:rPr>
                <w:rFonts w:hint="eastAsia"/>
                <w:color w:val="auto"/>
                <w:szCs w:val="24"/>
                <w:highlight w:val="none"/>
                <w:lang w:val="en-US" w:eastAsia="zh-CN"/>
              </w:rPr>
              <w:t>废超滤膜</w:t>
            </w:r>
            <w:r>
              <w:rPr>
                <w:rFonts w:hint="default"/>
                <w:color w:val="auto"/>
                <w:szCs w:val="24"/>
                <w:highlight w:val="none"/>
              </w:rPr>
              <w:t>产生量</w:t>
            </w:r>
            <w:r>
              <w:rPr>
                <w:rFonts w:hint="eastAsia"/>
                <w:color w:val="auto"/>
                <w:szCs w:val="24"/>
                <w:highlight w:val="none"/>
                <w:lang w:val="en-US" w:eastAsia="zh-CN"/>
              </w:rPr>
              <w:t>0.00</w:t>
            </w:r>
            <w:r>
              <w:rPr>
                <w:rFonts w:hint="default"/>
                <w:color w:val="auto"/>
                <w:szCs w:val="24"/>
                <w:highlight w:val="none"/>
              </w:rPr>
              <w:t>5t/a，采用密封袋装，下置防渗漏托盘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0.05</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6</w:t>
            </w:r>
            <w:r>
              <w:rPr>
                <w:rFonts w:hint="eastAsia"/>
                <w:color w:val="auto"/>
                <w:szCs w:val="24"/>
                <w:highlight w:val="none"/>
                <w:lang w:eastAsia="zh-CN"/>
              </w:rPr>
              <w:t>）</w:t>
            </w:r>
            <w:r>
              <w:rPr>
                <w:rFonts w:hint="eastAsia"/>
                <w:color w:val="auto"/>
                <w:szCs w:val="24"/>
                <w:highlight w:val="none"/>
                <w:lang w:val="en-US" w:eastAsia="zh-CN"/>
              </w:rPr>
              <w:t>槽渣</w:t>
            </w:r>
            <w:r>
              <w:rPr>
                <w:rFonts w:hint="default"/>
                <w:color w:val="auto"/>
                <w:szCs w:val="24"/>
                <w:highlight w:val="none"/>
              </w:rPr>
              <w:t>产生量</w:t>
            </w:r>
            <w:r>
              <w:rPr>
                <w:rFonts w:hint="eastAsia"/>
                <w:color w:val="auto"/>
                <w:szCs w:val="24"/>
                <w:highlight w:val="none"/>
                <w:lang w:val="en-US" w:eastAsia="zh-CN"/>
              </w:rPr>
              <w:t>0.11138</w:t>
            </w:r>
            <w:r>
              <w:rPr>
                <w:rFonts w:hint="default"/>
                <w:color w:val="auto"/>
                <w:szCs w:val="24"/>
                <w:highlight w:val="none"/>
              </w:rPr>
              <w:t>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0.2</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7</w:t>
            </w:r>
            <w:r>
              <w:rPr>
                <w:rFonts w:hint="eastAsia"/>
                <w:color w:val="auto"/>
                <w:szCs w:val="24"/>
                <w:highlight w:val="none"/>
                <w:lang w:eastAsia="zh-CN"/>
              </w:rPr>
              <w:t>）</w:t>
            </w:r>
            <w:r>
              <w:rPr>
                <w:rFonts w:hint="eastAsia"/>
                <w:color w:val="auto"/>
                <w:szCs w:val="24"/>
                <w:highlight w:val="none"/>
                <w:lang w:val="en-US" w:eastAsia="zh-CN"/>
              </w:rPr>
              <w:t>表调废液</w:t>
            </w:r>
            <w:r>
              <w:rPr>
                <w:rFonts w:hint="default"/>
                <w:color w:val="auto"/>
                <w:szCs w:val="24"/>
                <w:highlight w:val="none"/>
              </w:rPr>
              <w:t>产生量</w:t>
            </w:r>
            <w:r>
              <w:rPr>
                <w:rFonts w:hint="eastAsia"/>
                <w:color w:val="auto"/>
                <w:szCs w:val="24"/>
                <w:highlight w:val="none"/>
                <w:lang w:val="en-US" w:eastAsia="zh-CN"/>
              </w:rPr>
              <w:t>5.76</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3个月转运一次，</w:t>
            </w:r>
            <w:r>
              <w:rPr>
                <w:rFonts w:hint="default"/>
                <w:color w:val="auto"/>
                <w:szCs w:val="24"/>
                <w:highlight w:val="none"/>
              </w:rPr>
              <w:t>需要存储空间</w:t>
            </w:r>
            <w:r>
              <w:rPr>
                <w:rFonts w:hint="eastAsia"/>
                <w:color w:val="auto"/>
                <w:szCs w:val="24"/>
                <w:highlight w:val="none"/>
                <w:lang w:val="en-US" w:eastAsia="zh-CN"/>
              </w:rPr>
              <w:t>2</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8</w:t>
            </w:r>
            <w:r>
              <w:rPr>
                <w:rFonts w:hint="eastAsia"/>
                <w:color w:val="auto"/>
                <w:szCs w:val="24"/>
                <w:highlight w:val="none"/>
                <w:lang w:eastAsia="zh-CN"/>
              </w:rPr>
              <w:t>）</w:t>
            </w:r>
            <w:r>
              <w:rPr>
                <w:rFonts w:hint="eastAsia"/>
                <w:color w:val="auto"/>
                <w:szCs w:val="24"/>
                <w:highlight w:val="none"/>
                <w:lang w:val="en-US" w:eastAsia="zh-CN"/>
              </w:rPr>
              <w:t>废包装容器</w:t>
            </w:r>
            <w:r>
              <w:rPr>
                <w:rFonts w:hint="default"/>
                <w:color w:val="auto"/>
                <w:szCs w:val="24"/>
                <w:highlight w:val="none"/>
              </w:rPr>
              <w:t>产生量</w:t>
            </w:r>
            <w:r>
              <w:rPr>
                <w:rFonts w:hint="eastAsia"/>
                <w:color w:val="auto"/>
                <w:szCs w:val="24"/>
                <w:highlight w:val="none"/>
                <w:lang w:val="en-US" w:eastAsia="zh-CN"/>
              </w:rPr>
              <w:t>3.22</w:t>
            </w:r>
            <w:r>
              <w:rPr>
                <w:rFonts w:hint="default"/>
                <w:color w:val="auto"/>
                <w:szCs w:val="24"/>
                <w:highlight w:val="none"/>
              </w:rPr>
              <w:t>t/a，</w:t>
            </w:r>
            <w:r>
              <w:rPr>
                <w:rFonts w:hint="eastAsia"/>
                <w:color w:val="auto"/>
                <w:szCs w:val="24"/>
                <w:highlight w:val="none"/>
                <w:lang w:val="en-US" w:eastAsia="zh-CN"/>
              </w:rPr>
              <w:t>采用</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6个月转运一次，</w:t>
            </w:r>
            <w:r>
              <w:rPr>
                <w:rFonts w:hint="default"/>
                <w:color w:val="auto"/>
                <w:szCs w:val="24"/>
                <w:highlight w:val="none"/>
              </w:rPr>
              <w:t>需要存储空间</w:t>
            </w:r>
            <w:r>
              <w:rPr>
                <w:rFonts w:hint="eastAsia"/>
                <w:color w:val="auto"/>
                <w:szCs w:val="24"/>
                <w:highlight w:val="none"/>
                <w:lang w:val="en-US" w:eastAsia="zh-CN"/>
              </w:rPr>
              <w:t>2</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9</w:t>
            </w:r>
            <w:r>
              <w:rPr>
                <w:rFonts w:hint="eastAsia"/>
                <w:color w:val="auto"/>
                <w:szCs w:val="24"/>
                <w:highlight w:val="none"/>
                <w:lang w:eastAsia="zh-CN"/>
              </w:rPr>
              <w:t>）</w:t>
            </w:r>
            <w:r>
              <w:rPr>
                <w:rFonts w:hint="eastAsia"/>
                <w:color w:val="auto"/>
                <w:szCs w:val="24"/>
                <w:highlight w:val="none"/>
                <w:lang w:val="en-US" w:eastAsia="zh-CN"/>
              </w:rPr>
              <w:t>废润滑油</w:t>
            </w:r>
            <w:r>
              <w:rPr>
                <w:rFonts w:hint="default"/>
                <w:color w:val="auto"/>
                <w:szCs w:val="24"/>
                <w:highlight w:val="none"/>
              </w:rPr>
              <w:t>产生量</w:t>
            </w:r>
            <w:r>
              <w:rPr>
                <w:rFonts w:hint="eastAsia"/>
                <w:color w:val="auto"/>
                <w:szCs w:val="24"/>
                <w:highlight w:val="none"/>
                <w:lang w:val="en-US" w:eastAsia="zh-CN"/>
              </w:rPr>
              <w:t>0.01</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6个月转运一次，</w:t>
            </w:r>
            <w:r>
              <w:rPr>
                <w:rFonts w:hint="default"/>
                <w:color w:val="auto"/>
                <w:szCs w:val="24"/>
                <w:highlight w:val="none"/>
              </w:rPr>
              <w:t>需要存储空间</w:t>
            </w:r>
            <w:r>
              <w:rPr>
                <w:rFonts w:hint="eastAsia"/>
                <w:color w:val="auto"/>
                <w:szCs w:val="24"/>
                <w:highlight w:val="none"/>
                <w:lang w:val="en-US" w:eastAsia="zh-CN"/>
              </w:rPr>
              <w:t>0.01</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10</w:t>
            </w:r>
            <w:r>
              <w:rPr>
                <w:rFonts w:hint="eastAsia"/>
                <w:color w:val="auto"/>
                <w:szCs w:val="24"/>
                <w:highlight w:val="none"/>
                <w:lang w:eastAsia="zh-CN"/>
              </w:rPr>
              <w:t>）</w:t>
            </w:r>
            <w:r>
              <w:rPr>
                <w:rFonts w:hint="eastAsia"/>
                <w:color w:val="auto"/>
                <w:szCs w:val="24"/>
                <w:highlight w:val="none"/>
                <w:lang w:val="en-US" w:eastAsia="zh-CN"/>
              </w:rPr>
              <w:t>含油抹布</w:t>
            </w:r>
            <w:r>
              <w:rPr>
                <w:rFonts w:hint="default"/>
                <w:color w:val="auto"/>
                <w:szCs w:val="24"/>
                <w:highlight w:val="none"/>
              </w:rPr>
              <w:t>产生量</w:t>
            </w:r>
            <w:r>
              <w:rPr>
                <w:rFonts w:hint="eastAsia"/>
                <w:color w:val="auto"/>
                <w:szCs w:val="24"/>
                <w:highlight w:val="none"/>
                <w:lang w:val="en-US" w:eastAsia="zh-CN"/>
              </w:rPr>
              <w:t>0.02</w:t>
            </w:r>
            <w:r>
              <w:rPr>
                <w:rFonts w:hint="default"/>
                <w:color w:val="auto"/>
                <w:szCs w:val="24"/>
                <w:highlight w:val="none"/>
              </w:rPr>
              <w:t>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0.01</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11</w:t>
            </w:r>
            <w:r>
              <w:rPr>
                <w:rFonts w:hint="eastAsia"/>
                <w:color w:val="auto"/>
                <w:szCs w:val="24"/>
                <w:highlight w:val="none"/>
                <w:lang w:eastAsia="zh-CN"/>
              </w:rPr>
              <w:t>）</w:t>
            </w:r>
            <w:r>
              <w:rPr>
                <w:rFonts w:hint="eastAsia"/>
                <w:color w:val="auto"/>
                <w:szCs w:val="24"/>
                <w:highlight w:val="none"/>
                <w:lang w:val="en-US" w:eastAsia="zh-CN"/>
              </w:rPr>
              <w:t>废油桶</w:t>
            </w:r>
            <w:r>
              <w:rPr>
                <w:rFonts w:hint="default"/>
                <w:color w:val="auto"/>
                <w:szCs w:val="24"/>
                <w:highlight w:val="none"/>
              </w:rPr>
              <w:t>产生量</w:t>
            </w:r>
            <w:r>
              <w:rPr>
                <w:rFonts w:hint="eastAsia"/>
                <w:color w:val="auto"/>
                <w:szCs w:val="24"/>
                <w:highlight w:val="none"/>
                <w:lang w:val="en-US" w:eastAsia="zh-CN"/>
              </w:rPr>
              <w:t>0.1</w:t>
            </w:r>
            <w:r>
              <w:rPr>
                <w:rFonts w:hint="default"/>
                <w:color w:val="auto"/>
                <w:szCs w:val="24"/>
                <w:highlight w:val="none"/>
              </w:rPr>
              <w:t>t/a，</w:t>
            </w:r>
            <w:r>
              <w:rPr>
                <w:rFonts w:hint="eastAsia"/>
                <w:color w:val="auto"/>
                <w:szCs w:val="24"/>
                <w:highlight w:val="none"/>
                <w:lang w:val="en-US" w:eastAsia="zh-CN"/>
              </w:rPr>
              <w:t>采用</w:t>
            </w:r>
            <w:r>
              <w:rPr>
                <w:rFonts w:hint="default"/>
                <w:color w:val="auto"/>
                <w:szCs w:val="24"/>
                <w:highlight w:val="none"/>
              </w:rPr>
              <w:t>加盖密闭，下置防渗漏托盘</w:t>
            </w:r>
            <w:r>
              <w:rPr>
                <w:rFonts w:hint="eastAsia"/>
                <w:color w:val="auto"/>
                <w:szCs w:val="24"/>
                <w:highlight w:val="none"/>
                <w:lang w:eastAsia="zh-CN"/>
              </w:rPr>
              <w:t>，</w:t>
            </w:r>
            <w:r>
              <w:rPr>
                <w:rFonts w:hint="eastAsia"/>
                <w:color w:val="auto"/>
                <w:szCs w:val="24"/>
                <w:highlight w:val="none"/>
                <w:lang w:val="en-US" w:eastAsia="zh-CN"/>
              </w:rPr>
              <w:t>6个月转运一次，</w:t>
            </w:r>
            <w:r>
              <w:rPr>
                <w:rFonts w:hint="default"/>
                <w:color w:val="auto"/>
                <w:szCs w:val="24"/>
                <w:highlight w:val="none"/>
              </w:rPr>
              <w:t>需要存储空间</w:t>
            </w:r>
            <w:r>
              <w:rPr>
                <w:rFonts w:hint="eastAsia"/>
                <w:color w:val="auto"/>
                <w:szCs w:val="24"/>
                <w:highlight w:val="none"/>
                <w:lang w:val="en-US" w:eastAsia="zh-CN"/>
              </w:rPr>
              <w:t>4</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12</w:t>
            </w:r>
            <w:r>
              <w:rPr>
                <w:rFonts w:hint="eastAsia"/>
                <w:color w:val="auto"/>
                <w:szCs w:val="24"/>
                <w:highlight w:val="none"/>
                <w:lang w:eastAsia="zh-CN"/>
              </w:rPr>
              <w:t>）</w:t>
            </w:r>
            <w:r>
              <w:rPr>
                <w:rFonts w:hint="eastAsia"/>
                <w:color w:val="auto"/>
                <w:szCs w:val="24"/>
                <w:highlight w:val="none"/>
                <w:lang w:val="en-US" w:eastAsia="zh-CN"/>
              </w:rPr>
              <w:t>废活性炭</w:t>
            </w:r>
            <w:r>
              <w:rPr>
                <w:rFonts w:hint="default"/>
                <w:color w:val="auto"/>
                <w:szCs w:val="24"/>
                <w:highlight w:val="none"/>
              </w:rPr>
              <w:t>产生量</w:t>
            </w:r>
            <w:r>
              <w:rPr>
                <w:rFonts w:hint="eastAsia"/>
                <w:color w:val="auto"/>
                <w:szCs w:val="24"/>
                <w:highlight w:val="none"/>
                <w:lang w:val="en-US" w:eastAsia="zh-CN"/>
              </w:rPr>
              <w:t>13.2237</w:t>
            </w:r>
            <w:r>
              <w:rPr>
                <w:rFonts w:hint="default"/>
                <w:color w:val="auto"/>
                <w:szCs w:val="24"/>
                <w:highlight w:val="none"/>
              </w:rPr>
              <w:t>t/a，采用密封袋装，下置防渗漏托盘</w:t>
            </w:r>
            <w:r>
              <w:rPr>
                <w:rFonts w:hint="eastAsia"/>
                <w:color w:val="auto"/>
                <w:szCs w:val="24"/>
                <w:highlight w:val="none"/>
                <w:lang w:eastAsia="zh-CN"/>
              </w:rPr>
              <w:t>，</w:t>
            </w:r>
            <w:r>
              <w:rPr>
                <w:rFonts w:hint="eastAsia"/>
                <w:color w:val="auto"/>
                <w:szCs w:val="24"/>
                <w:highlight w:val="none"/>
                <w:lang w:val="en-US" w:eastAsia="zh-CN"/>
              </w:rPr>
              <w:t>50天转运一次，</w:t>
            </w:r>
            <w:r>
              <w:rPr>
                <w:rFonts w:hint="default"/>
                <w:color w:val="auto"/>
                <w:szCs w:val="24"/>
                <w:highlight w:val="none"/>
              </w:rPr>
              <w:t>需要存储空间</w:t>
            </w:r>
            <w:r>
              <w:rPr>
                <w:rFonts w:hint="eastAsia"/>
                <w:color w:val="auto"/>
                <w:szCs w:val="24"/>
                <w:highlight w:val="none"/>
                <w:lang w:val="en-US" w:eastAsia="zh-CN"/>
              </w:rPr>
              <w:t>4</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13</w:t>
            </w:r>
            <w:r>
              <w:rPr>
                <w:rFonts w:hint="eastAsia"/>
                <w:color w:val="auto"/>
                <w:szCs w:val="24"/>
                <w:highlight w:val="none"/>
                <w:lang w:eastAsia="zh-CN"/>
              </w:rPr>
              <w:t>）</w:t>
            </w:r>
            <w:r>
              <w:rPr>
                <w:rFonts w:hint="eastAsia"/>
                <w:color w:val="auto"/>
                <w:szCs w:val="24"/>
                <w:highlight w:val="none"/>
                <w:lang w:val="en-US" w:eastAsia="zh-CN"/>
              </w:rPr>
              <w:t>喷淋废液</w:t>
            </w:r>
            <w:r>
              <w:rPr>
                <w:rFonts w:hint="default"/>
                <w:color w:val="auto"/>
                <w:szCs w:val="24"/>
                <w:highlight w:val="none"/>
              </w:rPr>
              <w:t>产生量</w:t>
            </w:r>
            <w:r>
              <w:rPr>
                <w:rFonts w:hint="eastAsia"/>
                <w:color w:val="auto"/>
                <w:szCs w:val="24"/>
                <w:highlight w:val="none"/>
                <w:lang w:val="en-US" w:eastAsia="zh-CN"/>
              </w:rPr>
              <w:t>1</w:t>
            </w:r>
            <w:r>
              <w:rPr>
                <w:rFonts w:hint="default"/>
                <w:color w:val="auto"/>
                <w:szCs w:val="24"/>
                <w:highlight w:val="none"/>
              </w:rPr>
              <w:t>t/a，</w:t>
            </w:r>
            <w:r>
              <w:rPr>
                <w:rFonts w:hint="eastAsia"/>
                <w:color w:val="auto"/>
                <w:szCs w:val="24"/>
                <w:highlight w:val="none"/>
                <w:lang w:val="en-US" w:eastAsia="zh-CN"/>
              </w:rPr>
              <w:t>采用桶装</w:t>
            </w:r>
            <w:r>
              <w:rPr>
                <w:rFonts w:hint="default"/>
                <w:color w:val="auto"/>
                <w:szCs w:val="24"/>
                <w:highlight w:val="none"/>
              </w:rPr>
              <w:t>加盖密闭，下置防渗漏托盘</w:t>
            </w:r>
            <w:r>
              <w:rPr>
                <w:rFonts w:hint="eastAsia"/>
                <w:color w:val="auto"/>
                <w:szCs w:val="24"/>
                <w:highlight w:val="none"/>
                <w:lang w:val="en-US" w:eastAsia="zh-CN"/>
              </w:rPr>
              <w:t>，</w:t>
            </w:r>
            <w:r>
              <w:rPr>
                <w:rFonts w:hint="default"/>
                <w:color w:val="auto"/>
                <w:szCs w:val="24"/>
                <w:highlight w:val="none"/>
              </w:rPr>
              <w:t>需要存储空间</w:t>
            </w:r>
            <w:r>
              <w:rPr>
                <w:rFonts w:hint="eastAsia"/>
                <w:color w:val="auto"/>
                <w:szCs w:val="24"/>
                <w:highlight w:val="none"/>
                <w:lang w:val="en-US" w:eastAsia="zh-CN"/>
              </w:rPr>
              <w:t>2</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14</w:t>
            </w:r>
            <w:r>
              <w:rPr>
                <w:rFonts w:hint="eastAsia"/>
                <w:color w:val="auto"/>
                <w:szCs w:val="24"/>
                <w:highlight w:val="none"/>
                <w:lang w:eastAsia="zh-CN"/>
              </w:rPr>
              <w:t>）</w:t>
            </w:r>
            <w:r>
              <w:rPr>
                <w:rFonts w:hint="eastAsia"/>
                <w:color w:val="auto"/>
                <w:szCs w:val="24"/>
                <w:highlight w:val="none"/>
                <w:lang w:val="en-US" w:eastAsia="zh-CN"/>
              </w:rPr>
              <w:t>废过滤棉</w:t>
            </w:r>
            <w:r>
              <w:rPr>
                <w:rFonts w:hint="default"/>
                <w:color w:val="auto"/>
                <w:szCs w:val="24"/>
                <w:highlight w:val="none"/>
              </w:rPr>
              <w:t>产生量</w:t>
            </w:r>
            <w:r>
              <w:rPr>
                <w:rFonts w:hint="eastAsia"/>
                <w:color w:val="auto"/>
                <w:szCs w:val="24"/>
                <w:highlight w:val="none"/>
                <w:lang w:val="en-US" w:eastAsia="zh-CN"/>
              </w:rPr>
              <w:t>0.01</w:t>
            </w:r>
            <w:r>
              <w:rPr>
                <w:rFonts w:hint="default"/>
                <w:color w:val="auto"/>
                <w:szCs w:val="24"/>
                <w:highlight w:val="none"/>
              </w:rPr>
              <w:t>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0.01</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15</w:t>
            </w:r>
            <w:r>
              <w:rPr>
                <w:rFonts w:hint="eastAsia"/>
                <w:color w:val="auto"/>
                <w:szCs w:val="24"/>
                <w:highlight w:val="none"/>
                <w:lang w:eastAsia="zh-CN"/>
              </w:rPr>
              <w:t>）</w:t>
            </w:r>
            <w:r>
              <w:rPr>
                <w:rFonts w:hint="eastAsia"/>
                <w:color w:val="auto"/>
                <w:szCs w:val="24"/>
                <w:highlight w:val="none"/>
                <w:lang w:val="en-US" w:eastAsia="zh-CN"/>
              </w:rPr>
              <w:t>废RO膜</w:t>
            </w:r>
            <w:r>
              <w:rPr>
                <w:rFonts w:hint="default"/>
                <w:color w:val="auto"/>
                <w:szCs w:val="24"/>
                <w:highlight w:val="none"/>
              </w:rPr>
              <w:t>产生量</w:t>
            </w:r>
            <w:r>
              <w:rPr>
                <w:rFonts w:hint="eastAsia"/>
                <w:color w:val="auto"/>
                <w:szCs w:val="24"/>
                <w:highlight w:val="none"/>
                <w:lang w:val="en-US" w:eastAsia="zh-CN"/>
              </w:rPr>
              <w:t>0.0</w:t>
            </w:r>
            <w:r>
              <w:rPr>
                <w:rFonts w:hint="default"/>
                <w:color w:val="auto"/>
                <w:szCs w:val="24"/>
                <w:highlight w:val="none"/>
              </w:rPr>
              <w:t>5t/a，采用密封袋装，下置防渗漏托盘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0.1</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16</w:t>
            </w:r>
            <w:r>
              <w:rPr>
                <w:rFonts w:hint="eastAsia"/>
                <w:color w:val="auto"/>
                <w:szCs w:val="24"/>
                <w:highlight w:val="none"/>
                <w:lang w:eastAsia="zh-CN"/>
              </w:rPr>
              <w:t>）</w:t>
            </w:r>
            <w:r>
              <w:rPr>
                <w:rFonts w:hint="eastAsia"/>
                <w:color w:val="auto"/>
                <w:szCs w:val="24"/>
                <w:highlight w:val="none"/>
                <w:lang w:val="en-US" w:eastAsia="zh-CN"/>
              </w:rPr>
              <w:t>污泥</w:t>
            </w:r>
            <w:r>
              <w:rPr>
                <w:rFonts w:hint="default"/>
                <w:color w:val="auto"/>
                <w:szCs w:val="24"/>
                <w:highlight w:val="none"/>
              </w:rPr>
              <w:t>产生量</w:t>
            </w:r>
            <w:r>
              <w:rPr>
                <w:rFonts w:hint="eastAsia"/>
                <w:color w:val="auto"/>
                <w:szCs w:val="24"/>
                <w:highlight w:val="none"/>
                <w:lang w:val="en-US" w:eastAsia="zh-CN"/>
              </w:rPr>
              <w:t>38.25</w:t>
            </w:r>
            <w:r>
              <w:rPr>
                <w:rFonts w:hint="default"/>
                <w:color w:val="auto"/>
                <w:szCs w:val="24"/>
                <w:highlight w:val="none"/>
              </w:rPr>
              <w:t>t/a，采用密封袋装，下置防渗漏托盘</w:t>
            </w:r>
            <w:r>
              <w:rPr>
                <w:rFonts w:hint="eastAsia"/>
                <w:color w:val="auto"/>
                <w:szCs w:val="24"/>
                <w:highlight w:val="none"/>
                <w:lang w:eastAsia="zh-CN"/>
              </w:rPr>
              <w:t>，</w:t>
            </w:r>
            <w:r>
              <w:rPr>
                <w:rFonts w:hint="eastAsia"/>
                <w:color w:val="auto"/>
                <w:szCs w:val="24"/>
                <w:highlight w:val="none"/>
                <w:lang w:val="en-US" w:eastAsia="zh-CN"/>
              </w:rPr>
              <w:t>2个月转运一次，</w:t>
            </w:r>
            <w:r>
              <w:rPr>
                <w:rFonts w:hint="default"/>
                <w:color w:val="auto"/>
                <w:szCs w:val="24"/>
                <w:highlight w:val="none"/>
              </w:rPr>
              <w:t>需要存储空间</w:t>
            </w:r>
            <w:r>
              <w:rPr>
                <w:rFonts w:hint="eastAsia"/>
                <w:color w:val="auto"/>
                <w:szCs w:val="24"/>
                <w:highlight w:val="none"/>
                <w:lang w:val="en-US" w:eastAsia="zh-CN"/>
              </w:rPr>
              <w:t>10</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w:t>
            </w:r>
            <w:r>
              <w:rPr>
                <w:rFonts w:hint="eastAsia"/>
                <w:color w:val="auto"/>
                <w:szCs w:val="24"/>
                <w:highlight w:val="none"/>
                <w:lang w:eastAsia="zh-CN"/>
              </w:rPr>
              <w:t>（</w:t>
            </w:r>
            <w:r>
              <w:rPr>
                <w:rFonts w:hint="eastAsia"/>
                <w:color w:val="auto"/>
                <w:szCs w:val="24"/>
                <w:highlight w:val="none"/>
                <w:lang w:val="en-US" w:eastAsia="zh-CN"/>
              </w:rPr>
              <w:t>17</w:t>
            </w:r>
            <w:r>
              <w:rPr>
                <w:rFonts w:hint="eastAsia"/>
                <w:color w:val="auto"/>
                <w:szCs w:val="24"/>
                <w:highlight w:val="none"/>
                <w:lang w:eastAsia="zh-CN"/>
              </w:rPr>
              <w:t>）</w:t>
            </w:r>
            <w:r>
              <w:rPr>
                <w:rFonts w:hint="eastAsia"/>
                <w:color w:val="auto"/>
                <w:szCs w:val="24"/>
                <w:highlight w:val="none"/>
                <w:lang w:val="en-US" w:eastAsia="zh-CN"/>
              </w:rPr>
              <w:t>挂具废渣</w:t>
            </w:r>
            <w:r>
              <w:rPr>
                <w:rFonts w:hint="default"/>
                <w:color w:val="auto"/>
                <w:szCs w:val="24"/>
                <w:highlight w:val="none"/>
              </w:rPr>
              <w:t>产生量</w:t>
            </w:r>
            <w:r>
              <w:rPr>
                <w:rFonts w:hint="eastAsia"/>
                <w:color w:val="auto"/>
                <w:szCs w:val="24"/>
                <w:highlight w:val="none"/>
                <w:lang w:val="en-US" w:eastAsia="zh-CN"/>
              </w:rPr>
              <w:t>0.20576</w:t>
            </w:r>
            <w:r>
              <w:rPr>
                <w:rFonts w:hint="default"/>
                <w:color w:val="auto"/>
                <w:szCs w:val="24"/>
                <w:highlight w:val="none"/>
              </w:rPr>
              <w:t>t/a，采用密封袋装，下置防渗漏托盘</w:t>
            </w:r>
            <w:r>
              <w:rPr>
                <w:rFonts w:hint="eastAsia"/>
                <w:color w:val="auto"/>
                <w:szCs w:val="24"/>
                <w:highlight w:val="none"/>
                <w:lang w:eastAsia="zh-CN"/>
              </w:rPr>
              <w:t>，</w:t>
            </w:r>
            <w:r>
              <w:rPr>
                <w:rFonts w:hint="default"/>
                <w:color w:val="auto"/>
                <w:szCs w:val="24"/>
                <w:highlight w:val="none"/>
              </w:rPr>
              <w:t>需要存储空间</w:t>
            </w:r>
            <w:r>
              <w:rPr>
                <w:rFonts w:hint="eastAsia"/>
                <w:color w:val="auto"/>
                <w:szCs w:val="24"/>
                <w:highlight w:val="none"/>
                <w:lang w:val="en-US" w:eastAsia="zh-CN"/>
              </w:rPr>
              <w:t>0.5</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；考虑过道及危废存储之间隔断设置需要约</w:t>
            </w:r>
            <w:r>
              <w:rPr>
                <w:rFonts w:hint="eastAsia"/>
                <w:color w:val="auto"/>
                <w:szCs w:val="24"/>
                <w:highlight w:val="none"/>
                <w:lang w:val="en-US" w:eastAsia="zh-CN"/>
              </w:rPr>
              <w:t>10</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空间。本项目设置</w:t>
            </w:r>
            <w:r>
              <w:rPr>
                <w:rFonts w:hint="eastAsia"/>
                <w:color w:val="auto"/>
                <w:szCs w:val="24"/>
                <w:highlight w:val="none"/>
                <w:lang w:eastAsia="zh-CN"/>
              </w:rPr>
              <w:t>1</w:t>
            </w:r>
            <w:r>
              <w:rPr>
                <w:rFonts w:hint="eastAsia"/>
                <w:color w:val="auto"/>
                <w:szCs w:val="24"/>
                <w:highlight w:val="none"/>
                <w:lang w:val="en-US" w:eastAsia="zh-CN"/>
              </w:rPr>
              <w:t>00</w:t>
            </w:r>
            <w:r>
              <w:rPr>
                <w:rFonts w:hint="default"/>
                <w:color w:val="auto"/>
                <w:szCs w:val="24"/>
                <w:highlight w:val="none"/>
              </w:rPr>
              <w:t>m</w:t>
            </w:r>
            <w:r>
              <w:rPr>
                <w:rFonts w:hint="default"/>
                <w:color w:val="auto"/>
                <w:szCs w:val="24"/>
                <w:highlight w:val="none"/>
                <w:vertAlign w:val="superscript"/>
              </w:rPr>
              <w:t>2</w:t>
            </w:r>
            <w:r>
              <w:rPr>
                <w:rFonts w:hint="default"/>
                <w:color w:val="auto"/>
                <w:szCs w:val="24"/>
                <w:highlight w:val="none"/>
              </w:rPr>
              <w:t>的危废仓库，危废仓库贮存能力可以满足本项目使用需求。</w:t>
            </w:r>
          </w:p>
          <w:p w14:paraId="4D6C8E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各危废暂存设施将严格按照《危险废物贮存污染控制标准》（GB 18597-2023）、《建设项目危险废物环境影响评价指南》中的要求建设和维护使用。废液区设在建筑物内、危废仓库加盖建筑；危废暂存场地应采取相应的防腐防渗透措施，如地面进行环氧树脂地坪防腐，同时设置防渗透管沟，废液区设置围堰并与事故应急池连通等。通过采取上述措施后，危险废物贮存过程中对周边大气、地表水、地下水、土壤及环境敏感保护目标的影响在可控制范围内。</w:t>
            </w:r>
          </w:p>
          <w:p w14:paraId="55A2EF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本项目危废暂存间的设置按照《危险废物贮存污染控制标准》（GB</w:t>
            </w:r>
            <w:r>
              <w:rPr>
                <w:rFonts w:hint="eastAsia"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18597-2023）的具体要求如下：</w:t>
            </w:r>
          </w:p>
          <w:p w14:paraId="554678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a.贮存设施根据危险废物的形态、物理化学性质、包装形式和污染物迁移途径，采取必要的防风、防晒、防雨、防漏、防渗、防腐以及其他环境污染防治措施，不应露天堆放危险废物。</w:t>
            </w:r>
          </w:p>
          <w:p w14:paraId="4FEB48C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b.贮存设施应根据危险废物的类别、数量、形态、物理化学性质和污染防治等要求设置必要的贮存分区，避免不相容的危险废物接触、混合。</w:t>
            </w:r>
          </w:p>
          <w:p w14:paraId="54BF49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c.贮存设施或贮存分区内地面、墙面裙脚、堵截泄漏的围堰、接触危险废物的隔板和墙体等应采用坚固的材料建造，表面无裂缝。</w:t>
            </w:r>
          </w:p>
          <w:p w14:paraId="63755C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cm/s），或至少2mm厚高密度聚乙烯膜等人工防渗材料（渗透系数不大于10</w:t>
            </w:r>
            <w:r>
              <w:rPr>
                <w:rFonts w:hint="default" w:ascii="Times New Roman" w:hAnsi="Times New Roman" w:eastAsia="宋体" w:cs="Times New Roman"/>
                <w:color w:val="auto"/>
                <w:kern w:val="0"/>
                <w:sz w:val="24"/>
                <w:szCs w:val="24"/>
                <w:highlight w:val="none"/>
                <w:vertAlign w:val="superscript"/>
              </w:rPr>
              <w:t>-10</w:t>
            </w:r>
            <w:r>
              <w:rPr>
                <w:rFonts w:hint="default" w:ascii="Times New Roman" w:hAnsi="Times New Roman" w:eastAsia="宋体" w:cs="Times New Roman"/>
                <w:color w:val="auto"/>
                <w:kern w:val="0"/>
                <w:sz w:val="24"/>
                <w:szCs w:val="24"/>
                <w:highlight w:val="none"/>
              </w:rPr>
              <w:t>cm/s），或其他防渗性能等效的材料。</w:t>
            </w:r>
          </w:p>
          <w:p w14:paraId="6386D16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e.同一贮存设施宜采用相同的防渗、防腐工艺（包括防渗、防腐结构或材料），防渗、防腐材料应覆盖所有可能与废物及其渗滤液、渗漏液等接触的构筑物表面；采用不同防渗、防腐工艺应分别建设贮存分区。</w:t>
            </w:r>
          </w:p>
          <w:p w14:paraId="4BEC3C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f.贮存设施应采取技术和管理措施防止无关人员进入。</w:t>
            </w:r>
          </w:p>
          <w:p w14:paraId="444E3B5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g.贮存库内不同贮存分区之间应采取隔离措施。隔离措施可根据危险废物特性采用过道、隔板或隔墙等方式。在贮存库内或通过贮存分区贮存液态危险废物的，应具有液体泄漏堵截设施，堵截设施最小容积不应低于对应贮存区域最大液态废物容器容积或液态废物总储存量1/10（二者取较大者）；用于贮存可能产生渗滤液的危险废物的贮存库或贮存分区应设计渗滤液收集设施，收集设施容积应满足渗滤液的收集要求。</w:t>
            </w:r>
          </w:p>
          <w:p w14:paraId="322B95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h.贮存易产生粉尘、VOCs、酸雾、有毒有害大气污染物和刺激性气味气体的危险废物贮存库，应设置气体收集装置和气体净化设施；气体净化设施的排气筒高度应符合GB16297要求。</w:t>
            </w:r>
          </w:p>
          <w:p w14:paraId="7E224B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本项目产生的危险废物严格按照《江苏省固体废物全过程环境监管工作意见》</w:t>
            </w:r>
            <w:r>
              <w:rPr>
                <w:rFonts w:hint="default" w:ascii="Times New Roman" w:hAnsi="Times New Roman" w:eastAsia="宋体" w:cs="Times New Roman"/>
                <w:color w:val="auto"/>
                <w:kern w:val="0"/>
                <w:sz w:val="24"/>
                <w:szCs w:val="24"/>
                <w:highlight w:val="none"/>
                <w:lang w:eastAsia="zh-CN"/>
              </w:rPr>
              <w:t>（苏环办〔2024〕16号）</w:t>
            </w:r>
            <w:r>
              <w:rPr>
                <w:rFonts w:hint="default" w:ascii="Times New Roman" w:hAnsi="Times New Roman" w:eastAsia="宋体" w:cs="Times New Roman"/>
                <w:color w:val="auto"/>
                <w:kern w:val="0"/>
                <w:sz w:val="24"/>
                <w:szCs w:val="24"/>
                <w:highlight w:val="none"/>
              </w:rPr>
              <w:t>要求规范管理，对周围环境产生</w:t>
            </w:r>
            <w:r>
              <w:rPr>
                <w:rFonts w:hint="default" w:ascii="Times New Roman" w:hAnsi="Times New Roman" w:eastAsia="宋体" w:cs="Times New Roman"/>
                <w:color w:val="auto"/>
                <w:kern w:val="0"/>
                <w:sz w:val="24"/>
                <w:szCs w:val="24"/>
                <w:highlight w:val="none"/>
                <w:lang w:val="en-US" w:eastAsia="zh-CN"/>
              </w:rPr>
              <w:t>的</w:t>
            </w:r>
            <w:r>
              <w:rPr>
                <w:rFonts w:hint="default" w:ascii="Times New Roman" w:hAnsi="Times New Roman" w:eastAsia="宋体" w:cs="Times New Roman"/>
                <w:color w:val="auto"/>
                <w:kern w:val="0"/>
                <w:sz w:val="24"/>
                <w:szCs w:val="24"/>
                <w:highlight w:val="none"/>
              </w:rPr>
              <w:t>影响</w:t>
            </w:r>
            <w:r>
              <w:rPr>
                <w:rFonts w:hint="default" w:ascii="Times New Roman" w:hAnsi="Times New Roman" w:eastAsia="宋体" w:cs="Times New Roman"/>
                <w:color w:val="auto"/>
                <w:kern w:val="0"/>
                <w:sz w:val="24"/>
                <w:szCs w:val="24"/>
                <w:highlight w:val="none"/>
                <w:lang w:val="en-US" w:eastAsia="zh-CN"/>
              </w:rPr>
              <w:t>较小</w:t>
            </w:r>
            <w:r>
              <w:rPr>
                <w:rFonts w:hint="default" w:ascii="Times New Roman" w:hAnsi="Times New Roman" w:eastAsia="宋体" w:cs="Times New Roman"/>
                <w:color w:val="auto"/>
                <w:kern w:val="0"/>
                <w:sz w:val="24"/>
                <w:szCs w:val="24"/>
                <w:highlight w:val="none"/>
              </w:rPr>
              <w:t>。</w:t>
            </w:r>
          </w:p>
          <w:p w14:paraId="4341D08A">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项目与苏环办〔2024〕16号相符性分析</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5165"/>
              <w:gridCol w:w="2808"/>
              <w:gridCol w:w="818"/>
            </w:tblGrid>
            <w:tr w14:paraId="1E0E8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27" w:type="dxa"/>
                  <w:tcBorders>
                    <w:tl2br w:val="nil"/>
                    <w:tr2bl w:val="nil"/>
                  </w:tcBorders>
                  <w:noWrap w:val="0"/>
                  <w:vAlign w:val="center"/>
                </w:tcPr>
                <w:p w14:paraId="2F941A63">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序号</w:t>
                  </w:r>
                </w:p>
              </w:tc>
              <w:tc>
                <w:tcPr>
                  <w:tcW w:w="4395" w:type="dxa"/>
                  <w:tcBorders>
                    <w:tl2br w:val="nil"/>
                    <w:tr2bl w:val="nil"/>
                  </w:tcBorders>
                  <w:noWrap w:val="0"/>
                  <w:vAlign w:val="center"/>
                </w:tcPr>
                <w:p w14:paraId="5D998C0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环境监管要求</w:t>
                  </w:r>
                </w:p>
              </w:tc>
              <w:tc>
                <w:tcPr>
                  <w:tcW w:w="2389" w:type="dxa"/>
                  <w:tcBorders>
                    <w:tl2br w:val="nil"/>
                    <w:tr2bl w:val="nil"/>
                  </w:tcBorders>
                  <w:noWrap w:val="0"/>
                  <w:vAlign w:val="center"/>
                </w:tcPr>
                <w:p w14:paraId="0F61BD57">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项目情况</w:t>
                  </w:r>
                </w:p>
              </w:tc>
              <w:tc>
                <w:tcPr>
                  <w:tcW w:w="696" w:type="dxa"/>
                  <w:tcBorders>
                    <w:tl2br w:val="nil"/>
                    <w:tr2bl w:val="nil"/>
                  </w:tcBorders>
                  <w:noWrap w:val="0"/>
                  <w:vAlign w:val="center"/>
                </w:tcPr>
                <w:p w14:paraId="3BEFB65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b/>
                      <w:bCs/>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相符性</w:t>
                  </w:r>
                </w:p>
              </w:tc>
            </w:tr>
            <w:tr w14:paraId="17EB9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3A2BC956">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1</w:t>
                  </w:r>
                </w:p>
              </w:tc>
              <w:tc>
                <w:tcPr>
                  <w:tcW w:w="4395" w:type="dxa"/>
                  <w:tcBorders>
                    <w:tl2br w:val="nil"/>
                    <w:tr2bl w:val="nil"/>
                  </w:tcBorders>
                  <w:noWrap w:val="0"/>
                  <w:vAlign w:val="center"/>
                </w:tcPr>
                <w:p w14:paraId="7316AD3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落实排污许可制度。</w:t>
                  </w:r>
                  <w:r>
                    <w:rPr>
                      <w:rFonts w:hint="default" w:ascii="Times New Roman" w:hAnsi="Times New Roman" w:eastAsia="仿宋" w:cs="Times New Roman"/>
                      <w:color w:val="auto"/>
                      <w:sz w:val="21"/>
                      <w:szCs w:val="21"/>
                      <w:highlight w:val="none"/>
                      <w:vertAlign w:val="baseline"/>
                      <w:lang w:val="en-US" w:eastAsia="zh-CN"/>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2389" w:type="dxa"/>
                  <w:tcBorders>
                    <w:tl2br w:val="nil"/>
                    <w:tr2bl w:val="nil"/>
                  </w:tcBorders>
                  <w:noWrap w:val="0"/>
                  <w:vAlign w:val="center"/>
                </w:tcPr>
                <w:p w14:paraId="499BF830">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本项目建成后按照排污许可管理系统中全面、准确申报工业固体废物产生种类，以及贮存设施和利用处置等相关情况。营运过程中如有变动，将及时采取重新报批环评、纳入环境保护竣工验收等手续，并及时变更排污许可。</w:t>
                  </w:r>
                </w:p>
              </w:tc>
              <w:tc>
                <w:tcPr>
                  <w:tcW w:w="696" w:type="dxa"/>
                  <w:tcBorders>
                    <w:tl2br w:val="nil"/>
                    <w:tr2bl w:val="nil"/>
                  </w:tcBorders>
                  <w:noWrap w:val="0"/>
                  <w:vAlign w:val="center"/>
                </w:tcPr>
                <w:p w14:paraId="2AB9618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相符</w:t>
                  </w:r>
                </w:p>
              </w:tc>
            </w:tr>
            <w:tr w14:paraId="4FC88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5CE002F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2</w:t>
                  </w:r>
                </w:p>
              </w:tc>
              <w:tc>
                <w:tcPr>
                  <w:tcW w:w="4395" w:type="dxa"/>
                  <w:tcBorders>
                    <w:tl2br w:val="nil"/>
                    <w:tr2bl w:val="nil"/>
                  </w:tcBorders>
                  <w:noWrap w:val="0"/>
                  <w:vAlign w:val="center"/>
                </w:tcPr>
                <w:p w14:paraId="01F2F29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规范贮存管理要求。</w:t>
                  </w:r>
                  <w:r>
                    <w:rPr>
                      <w:rFonts w:hint="default" w:ascii="Times New Roman" w:hAnsi="Times New Roman" w:eastAsia="仿宋" w:cs="Times New Roman"/>
                      <w:color w:val="auto"/>
                      <w:sz w:val="21"/>
                      <w:szCs w:val="21"/>
                      <w:highlight w:val="none"/>
                      <w:vertAlign w:val="baseline"/>
                      <w:lang w:val="en-US" w:eastAsia="zh-CN"/>
                    </w:rPr>
                    <w:t>根据《危险废物贮存污染控制标准》（GB</w:t>
                  </w:r>
                  <w:r>
                    <w:rPr>
                      <w:rFonts w:hint="eastAsia" w:ascii="Times New Roman" w:hAnsi="Times New Roman" w:eastAsia="仿宋" w:cs="Times New Roman"/>
                      <w:color w:val="auto"/>
                      <w:sz w:val="21"/>
                      <w:szCs w:val="21"/>
                      <w:highlight w:val="none"/>
                      <w:vertAlign w:val="baseline"/>
                      <w:lang w:val="en-US" w:eastAsia="zh-CN"/>
                    </w:rPr>
                    <w:t xml:space="preserve"> </w:t>
                  </w:r>
                  <w:r>
                    <w:rPr>
                      <w:rFonts w:hint="default" w:ascii="Times New Roman" w:hAnsi="Times New Roman" w:eastAsia="仿宋" w:cs="Times New Roman"/>
                      <w:color w:val="auto"/>
                      <w:sz w:val="21"/>
                      <w:szCs w:val="21"/>
                      <w:highlight w:val="none"/>
                      <w:vertAlign w:val="baseline"/>
                      <w:lang w:val="en-US" w:eastAsia="zh-CN"/>
                    </w:rPr>
                    <w:t>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Ⅱ级、Ⅲ级危险废物贮存时间分别不得超过30天、60天、90天，最大贮存量不得超过1吨。</w:t>
                  </w:r>
                </w:p>
              </w:tc>
              <w:tc>
                <w:tcPr>
                  <w:tcW w:w="2389" w:type="dxa"/>
                  <w:tcBorders>
                    <w:tl2br w:val="nil"/>
                    <w:tr2bl w:val="nil"/>
                  </w:tcBorders>
                  <w:noWrap w:val="0"/>
                  <w:vAlign w:val="center"/>
                </w:tcPr>
                <w:p w14:paraId="6CA70C09">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本项目</w:t>
                  </w:r>
                  <w:r>
                    <w:rPr>
                      <w:rFonts w:hint="eastAsia" w:eastAsia="仿宋" w:cs="Times New Roman"/>
                      <w:color w:val="auto"/>
                      <w:sz w:val="21"/>
                      <w:szCs w:val="21"/>
                      <w:highlight w:val="none"/>
                      <w:vertAlign w:val="baseline"/>
                      <w:lang w:val="en-US" w:eastAsia="zh-CN"/>
                    </w:rPr>
                    <w:t>租赁</w:t>
                  </w:r>
                  <w:r>
                    <w:rPr>
                      <w:rFonts w:hint="default" w:ascii="Times New Roman" w:hAnsi="Times New Roman" w:eastAsia="仿宋" w:cs="Times New Roman"/>
                      <w:color w:val="auto"/>
                      <w:sz w:val="21"/>
                      <w:szCs w:val="21"/>
                      <w:highlight w:val="none"/>
                      <w:vertAlign w:val="baseline"/>
                      <w:lang w:val="en-US" w:eastAsia="zh-CN"/>
                    </w:rPr>
                    <w:t>一座</w:t>
                  </w:r>
                  <w:r>
                    <w:rPr>
                      <w:rFonts w:hint="eastAsia" w:eastAsia="仿宋" w:cs="Times New Roman"/>
                      <w:color w:val="auto"/>
                      <w:sz w:val="21"/>
                      <w:szCs w:val="21"/>
                      <w:highlight w:val="none"/>
                      <w:vertAlign w:val="baseline"/>
                      <w:lang w:val="en-US" w:eastAsia="zh-CN"/>
                    </w:rPr>
                    <w:t>100</w:t>
                  </w:r>
                  <w:r>
                    <w:rPr>
                      <w:rFonts w:hint="default" w:ascii="Times New Roman" w:hAnsi="Times New Roman" w:eastAsia="仿宋" w:cs="Times New Roman"/>
                      <w:color w:val="auto"/>
                      <w:sz w:val="21"/>
                      <w:szCs w:val="21"/>
                      <w:highlight w:val="none"/>
                      <w:vertAlign w:val="baseline"/>
                      <w:lang w:val="en-US" w:eastAsia="zh-CN"/>
                    </w:rPr>
                    <w:t>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vertAlign w:val="baseline"/>
                      <w:lang w:val="en-US" w:eastAsia="zh-CN"/>
                    </w:rPr>
                    <w:t>危废暂存间，用于贮存营运期内产生的危险废物，满足《危险废物贮存污染控制标准》（GB</w:t>
                  </w:r>
                  <w:r>
                    <w:rPr>
                      <w:rFonts w:hint="eastAsia" w:ascii="Times New Roman" w:hAnsi="Times New Roman" w:eastAsia="仿宋" w:cs="Times New Roman"/>
                      <w:color w:val="auto"/>
                      <w:sz w:val="21"/>
                      <w:szCs w:val="21"/>
                      <w:highlight w:val="none"/>
                      <w:vertAlign w:val="baseline"/>
                      <w:lang w:val="en-US" w:eastAsia="zh-CN"/>
                    </w:rPr>
                    <w:t xml:space="preserve"> </w:t>
                  </w:r>
                  <w:r>
                    <w:rPr>
                      <w:rFonts w:hint="default" w:ascii="Times New Roman" w:hAnsi="Times New Roman" w:eastAsia="仿宋" w:cs="Times New Roman"/>
                      <w:color w:val="auto"/>
                      <w:sz w:val="21"/>
                      <w:szCs w:val="21"/>
                      <w:highlight w:val="none"/>
                      <w:vertAlign w:val="baseline"/>
                      <w:lang w:val="en-US" w:eastAsia="zh-CN"/>
                    </w:rPr>
                    <w:t>18597—2023）标准要求。</w:t>
                  </w:r>
                </w:p>
              </w:tc>
              <w:tc>
                <w:tcPr>
                  <w:tcW w:w="696" w:type="dxa"/>
                  <w:tcBorders>
                    <w:tl2br w:val="nil"/>
                    <w:tr2bl w:val="nil"/>
                  </w:tcBorders>
                  <w:noWrap w:val="0"/>
                  <w:vAlign w:val="center"/>
                </w:tcPr>
                <w:p w14:paraId="234AD2C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相符</w:t>
                  </w:r>
                </w:p>
              </w:tc>
            </w:tr>
            <w:tr w14:paraId="1B5D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166D1CB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w:t>
                  </w:r>
                </w:p>
              </w:tc>
              <w:tc>
                <w:tcPr>
                  <w:tcW w:w="4395" w:type="dxa"/>
                  <w:tcBorders>
                    <w:tl2br w:val="nil"/>
                    <w:tr2bl w:val="nil"/>
                  </w:tcBorders>
                  <w:noWrap w:val="0"/>
                  <w:vAlign w:val="center"/>
                </w:tcPr>
                <w:p w14:paraId="733E4F6C">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落实信息公开制度。</w:t>
                  </w:r>
                  <w:r>
                    <w:rPr>
                      <w:rFonts w:hint="default" w:ascii="Times New Roman" w:hAnsi="Times New Roman" w:eastAsia="仿宋" w:cs="Times New Roman"/>
                      <w:color w:val="auto"/>
                      <w:sz w:val="21"/>
                      <w:szCs w:val="21"/>
                      <w:highlight w:val="none"/>
                      <w:vertAlign w:val="baseline"/>
                      <w:lang w:val="en-US" w:eastAsia="zh-CN"/>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2389" w:type="dxa"/>
                  <w:tcBorders>
                    <w:tl2br w:val="nil"/>
                    <w:tr2bl w:val="nil"/>
                  </w:tcBorders>
                  <w:noWrap w:val="0"/>
                  <w:vAlign w:val="center"/>
                </w:tcPr>
                <w:p w14:paraId="13C9EF6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本项目建成后在出入口、设施内部、危险废物运输车辆通道等关键位置设置视频监控并与中控室联网，通过设立公开栏、标志牌等方式，主动公开项目危险废物产生和利用处置等有关信息。</w:t>
                  </w:r>
                </w:p>
              </w:tc>
              <w:tc>
                <w:tcPr>
                  <w:tcW w:w="696" w:type="dxa"/>
                  <w:tcBorders>
                    <w:tl2br w:val="nil"/>
                    <w:tr2bl w:val="nil"/>
                  </w:tcBorders>
                  <w:noWrap w:val="0"/>
                  <w:vAlign w:val="center"/>
                </w:tcPr>
                <w:p w14:paraId="5CC4910D">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相符</w:t>
                  </w:r>
                </w:p>
              </w:tc>
            </w:tr>
            <w:tr w14:paraId="2810E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16D8E29B">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4</w:t>
                  </w:r>
                </w:p>
              </w:tc>
              <w:tc>
                <w:tcPr>
                  <w:tcW w:w="4395" w:type="dxa"/>
                  <w:tcBorders>
                    <w:tl2br w:val="nil"/>
                    <w:tr2bl w:val="nil"/>
                  </w:tcBorders>
                  <w:noWrap w:val="0"/>
                  <w:vAlign w:val="center"/>
                </w:tcPr>
                <w:p w14:paraId="75E90F50">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b/>
                      <w:bCs/>
                      <w:color w:val="auto"/>
                      <w:sz w:val="21"/>
                      <w:szCs w:val="21"/>
                      <w:highlight w:val="none"/>
                      <w:vertAlign w:val="baseline"/>
                      <w:lang w:val="en-US" w:eastAsia="zh-CN"/>
                    </w:rPr>
                    <w:t>规范一般工业固废管理。</w:t>
                  </w:r>
                  <w:r>
                    <w:rPr>
                      <w:rFonts w:hint="default" w:ascii="Times New Roman" w:hAnsi="Times New Roman" w:eastAsia="仿宋" w:cs="Times New Roman"/>
                      <w:color w:val="auto"/>
                      <w:sz w:val="21"/>
                      <w:szCs w:val="21"/>
                      <w:highlight w:val="none"/>
                      <w:vertAlign w:val="baseline"/>
                      <w:lang w:val="en-US" w:eastAsia="zh-CN"/>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tc>
              <w:tc>
                <w:tcPr>
                  <w:tcW w:w="2389" w:type="dxa"/>
                  <w:tcBorders>
                    <w:tl2br w:val="nil"/>
                    <w:tr2bl w:val="nil"/>
                  </w:tcBorders>
                  <w:noWrap w:val="0"/>
                  <w:vAlign w:val="center"/>
                </w:tcPr>
                <w:p w14:paraId="4443EA7B">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本项目产生的一般固废将按照《一般工业固体废物管理台账制定指南（试行）》（生态环境部2021年第82号公告）指南要求，建立一般工业固废台账。</w:t>
                  </w:r>
                </w:p>
              </w:tc>
              <w:tc>
                <w:tcPr>
                  <w:tcW w:w="696" w:type="dxa"/>
                  <w:tcBorders>
                    <w:tl2br w:val="nil"/>
                    <w:tr2bl w:val="nil"/>
                  </w:tcBorders>
                  <w:noWrap w:val="0"/>
                  <w:vAlign w:val="center"/>
                </w:tcPr>
                <w:p w14:paraId="7058D9F9">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相符</w:t>
                  </w:r>
                </w:p>
              </w:tc>
            </w:tr>
          </w:tbl>
          <w:p w14:paraId="2569D517">
            <w:pPr>
              <w:keepNext w:val="0"/>
              <w:keepLines w:val="0"/>
              <w:pageBreakBefore w:val="0"/>
              <w:suppressLineNumbers w:val="0"/>
              <w:kinsoku/>
              <w:wordWrap/>
              <w:overflowPunct/>
              <w:bidi w:val="0"/>
              <w:spacing w:before="0" w:beforeAutospacing="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本项目产生的危险废物严格按照《关于印发</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加强工业固体废物全过程环境监管的实施意见</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的通知》（苏环办〔2024〕71号）要求规范管理，对周围环境产生</w:t>
            </w:r>
            <w:r>
              <w:rPr>
                <w:rFonts w:hint="default" w:ascii="Times New Roman" w:hAnsi="Times New Roman" w:eastAsia="宋体" w:cs="Times New Roman"/>
                <w:color w:val="auto"/>
                <w:kern w:val="0"/>
                <w:sz w:val="24"/>
                <w:szCs w:val="24"/>
                <w:highlight w:val="none"/>
                <w:lang w:val="en-US" w:eastAsia="zh-CN"/>
              </w:rPr>
              <w:t>的</w:t>
            </w:r>
            <w:r>
              <w:rPr>
                <w:rFonts w:hint="default" w:ascii="Times New Roman" w:hAnsi="Times New Roman" w:eastAsia="宋体" w:cs="Times New Roman"/>
                <w:color w:val="auto"/>
                <w:kern w:val="0"/>
                <w:sz w:val="24"/>
                <w:szCs w:val="24"/>
                <w:highlight w:val="none"/>
              </w:rPr>
              <w:t>影响</w:t>
            </w:r>
            <w:r>
              <w:rPr>
                <w:rFonts w:hint="default" w:ascii="Times New Roman" w:hAnsi="Times New Roman" w:eastAsia="宋体" w:cs="Times New Roman"/>
                <w:color w:val="auto"/>
                <w:kern w:val="0"/>
                <w:sz w:val="24"/>
                <w:szCs w:val="24"/>
                <w:highlight w:val="none"/>
                <w:lang w:val="en-US" w:eastAsia="zh-CN"/>
              </w:rPr>
              <w:t>较小</w:t>
            </w:r>
            <w:r>
              <w:rPr>
                <w:rFonts w:hint="default" w:ascii="Times New Roman" w:hAnsi="Times New Roman" w:eastAsia="宋体" w:cs="Times New Roman"/>
                <w:color w:val="auto"/>
                <w:kern w:val="0"/>
                <w:sz w:val="24"/>
                <w:szCs w:val="24"/>
                <w:highlight w:val="none"/>
              </w:rPr>
              <w:t>。</w:t>
            </w:r>
          </w:p>
          <w:p w14:paraId="4774A57C">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与（苏环办〔2024〕71号）文相符性分析</w:t>
            </w:r>
          </w:p>
          <w:tbl>
            <w:tblPr>
              <w:tblStyle w:val="21"/>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5299"/>
              <w:gridCol w:w="2526"/>
              <w:gridCol w:w="862"/>
            </w:tblGrid>
            <w:tr w14:paraId="23F13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2C5D6CFF">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序号</w:t>
                  </w:r>
                </w:p>
              </w:tc>
              <w:tc>
                <w:tcPr>
                  <w:tcW w:w="2851" w:type="pct"/>
                  <w:tcBorders>
                    <w:tl2br w:val="nil"/>
                    <w:tr2bl w:val="nil"/>
                  </w:tcBorders>
                  <w:vAlign w:val="center"/>
                </w:tcPr>
                <w:p w14:paraId="4DF50E2E">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文件规定要求</w:t>
                  </w:r>
                </w:p>
              </w:tc>
              <w:tc>
                <w:tcPr>
                  <w:tcW w:w="1359" w:type="pct"/>
                  <w:tcBorders>
                    <w:tl2br w:val="nil"/>
                    <w:tr2bl w:val="nil"/>
                  </w:tcBorders>
                  <w:vAlign w:val="center"/>
                </w:tcPr>
                <w:p w14:paraId="785BF51F">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本项目情况</w:t>
                  </w:r>
                </w:p>
              </w:tc>
              <w:tc>
                <w:tcPr>
                  <w:tcW w:w="464" w:type="pct"/>
                  <w:tcBorders>
                    <w:tl2br w:val="nil"/>
                    <w:tr2bl w:val="nil"/>
                  </w:tcBorders>
                  <w:vAlign w:val="center"/>
                </w:tcPr>
                <w:p w14:paraId="4170CA25">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相符性</w:t>
                  </w:r>
                </w:p>
              </w:tc>
            </w:tr>
            <w:tr w14:paraId="4A903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1AF0CD79">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1</w:t>
                  </w:r>
                </w:p>
              </w:tc>
              <w:tc>
                <w:tcPr>
                  <w:tcW w:w="2851" w:type="pct"/>
                  <w:tcBorders>
                    <w:tl2br w:val="nil"/>
                    <w:tr2bl w:val="nil"/>
                  </w:tcBorders>
                  <w:vAlign w:val="center"/>
                </w:tcPr>
                <w:p w14:paraId="537F914B">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eastAsia="zh-CN"/>
                    </w:rPr>
                  </w:pPr>
                  <w:r>
                    <w:rPr>
                      <w:rFonts w:hint="default" w:ascii="Times New Roman" w:hAnsi="Times New Roman" w:eastAsia="仿宋" w:cs="Times New Roman"/>
                      <w:color w:val="auto"/>
                      <w:kern w:val="0"/>
                      <w:sz w:val="21"/>
                      <w:szCs w:val="21"/>
                      <w:highlight w:val="none"/>
                    </w:rPr>
                    <w:t>建设项目环评要将产生固体废物种类、数量、来源和属性，论述贮存、转移和利用处置方式合规性、合理性纳入评价范围，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固体废物鉴别标准通则》（GB</w:t>
                  </w:r>
                  <w:r>
                    <w:rPr>
                      <w:rFonts w:hint="default" w:ascii="Times New Roman" w:hAnsi="Times New Roman" w:eastAsia="仿宋" w:cs="Times New Roman"/>
                      <w:color w:val="auto"/>
                      <w:kern w:val="0"/>
                      <w:sz w:val="21"/>
                      <w:szCs w:val="21"/>
                      <w:highlight w:val="none"/>
                      <w:lang w:val="en-US" w:eastAsia="zh-CN"/>
                    </w:rPr>
                    <w:t xml:space="preserve"> </w:t>
                  </w:r>
                  <w:r>
                    <w:rPr>
                      <w:rFonts w:hint="default" w:ascii="Times New Roman" w:hAnsi="Times New Roman" w:eastAsia="仿宋" w:cs="Times New Roman"/>
                      <w:color w:val="auto"/>
                      <w:kern w:val="0"/>
                      <w:sz w:val="21"/>
                      <w:szCs w:val="21"/>
                      <w:highlight w:val="none"/>
                    </w:rPr>
                    <w:t>34330-2017）和《固体废物再生利用污染防治技术导则》（HJ</w:t>
                  </w:r>
                  <w:r>
                    <w:rPr>
                      <w:rFonts w:hint="default" w:ascii="Times New Roman" w:hAnsi="Times New Roman" w:eastAsia="仿宋" w:cs="Times New Roman"/>
                      <w:color w:val="auto"/>
                      <w:kern w:val="0"/>
                      <w:sz w:val="21"/>
                      <w:szCs w:val="21"/>
                      <w:highlight w:val="none"/>
                      <w:lang w:val="en-US" w:eastAsia="zh-CN"/>
                    </w:rPr>
                    <w:t xml:space="preserve"> </w:t>
                  </w:r>
                  <w:r>
                    <w:rPr>
                      <w:rFonts w:hint="default" w:ascii="Times New Roman" w:hAnsi="Times New Roman" w:eastAsia="仿宋" w:cs="Times New Roman"/>
                      <w:color w:val="auto"/>
                      <w:kern w:val="0"/>
                      <w:sz w:val="21"/>
                      <w:szCs w:val="21"/>
                      <w:highlight w:val="none"/>
                    </w:rPr>
                    <w:t>1091-2020）等标准的产物认定为</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再生产品</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，不得出现</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中间产物</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再生产物</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等不规范表述，严禁以</w:t>
                  </w:r>
                  <w:r>
                    <w:rPr>
                      <w:rFonts w:hint="eastAsia"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副产</w:t>
                  </w:r>
                  <w:r>
                    <w:rPr>
                      <w:rFonts w:hint="default" w:ascii="Times New Roman" w:hAnsi="Times New Roman" w:eastAsia="仿宋" w:cs="Times New Roman"/>
                      <w:color w:val="auto"/>
                      <w:sz w:val="21"/>
                      <w:szCs w:val="21"/>
                      <w:highlight w:val="none"/>
                    </w:rPr>
                    <w:t>品</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名义逃避监管。不能排除危险特性的固体废物，须在环评文件中明确鉴别要求，鉴别前按危险废物管理，鉴别后根据结论按一般固废或危险废物管理。落实省厅危险废物经营单位项目环评审批要点与危险废物经营许可审查要求衔接的相关要求</w:t>
                  </w:r>
                  <w:r>
                    <w:rPr>
                      <w:rFonts w:hint="default" w:ascii="Times New Roman" w:hAnsi="Times New Roman" w:eastAsia="仿宋" w:cs="Times New Roman"/>
                      <w:color w:val="auto"/>
                      <w:sz w:val="21"/>
                      <w:szCs w:val="21"/>
                      <w:highlight w:val="none"/>
                      <w:lang w:eastAsia="zh-CN"/>
                    </w:rPr>
                    <w:t>。</w:t>
                  </w:r>
                </w:p>
              </w:tc>
              <w:tc>
                <w:tcPr>
                  <w:tcW w:w="1359" w:type="pct"/>
                  <w:tcBorders>
                    <w:tl2br w:val="nil"/>
                    <w:tr2bl w:val="nil"/>
                  </w:tcBorders>
                  <w:vAlign w:val="center"/>
                </w:tcPr>
                <w:p w14:paraId="50E4E4D7">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eastAsia="zh-CN"/>
                    </w:rPr>
                  </w:pPr>
                  <w:r>
                    <w:rPr>
                      <w:rFonts w:hint="default" w:ascii="Times New Roman" w:hAnsi="Times New Roman" w:eastAsia="仿宋" w:cs="Times New Roman"/>
                      <w:color w:val="auto"/>
                      <w:sz w:val="21"/>
                      <w:szCs w:val="21"/>
                      <w:highlight w:val="none"/>
                    </w:rPr>
                    <w:t>本次项目对固体废物的产生种类、数量、来源和属性进行了详细叙述。且对贮存、转移和利用处置方式合规性、合理性进行了评价，提出了切实可行的污染防治对策</w:t>
                  </w:r>
                  <w:r>
                    <w:rPr>
                      <w:rFonts w:hint="default" w:ascii="Times New Roman" w:hAnsi="Times New Roman" w:eastAsia="仿宋" w:cs="Times New Roman"/>
                      <w:color w:val="auto"/>
                      <w:sz w:val="21"/>
                      <w:szCs w:val="21"/>
                      <w:highlight w:val="none"/>
                      <w:lang w:eastAsia="zh-CN"/>
                    </w:rPr>
                    <w:t>。</w:t>
                  </w:r>
                </w:p>
              </w:tc>
              <w:tc>
                <w:tcPr>
                  <w:tcW w:w="464" w:type="pct"/>
                  <w:tcBorders>
                    <w:tl2br w:val="nil"/>
                    <w:tr2bl w:val="nil"/>
                  </w:tcBorders>
                  <w:vAlign w:val="center"/>
                </w:tcPr>
                <w:p w14:paraId="3AF30BB9">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kern w:val="0"/>
                      <w:sz w:val="21"/>
                      <w:szCs w:val="21"/>
                      <w:highlight w:val="none"/>
                      <w:vertAlign w:val="baseline"/>
                      <w:lang w:val="en-US" w:eastAsia="zh-CN"/>
                    </w:rPr>
                    <w:t>相符</w:t>
                  </w:r>
                </w:p>
              </w:tc>
            </w:tr>
            <w:tr w14:paraId="687C3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560362FD">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2</w:t>
                  </w:r>
                </w:p>
              </w:tc>
              <w:tc>
                <w:tcPr>
                  <w:tcW w:w="2851" w:type="pct"/>
                  <w:tcBorders>
                    <w:tl2br w:val="nil"/>
                    <w:tr2bl w:val="nil"/>
                  </w:tcBorders>
                  <w:vAlign w:val="center"/>
                </w:tcPr>
                <w:p w14:paraId="48D3447D">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依法及时变更排污许可。</w:t>
                  </w:r>
                </w:p>
              </w:tc>
              <w:tc>
                <w:tcPr>
                  <w:tcW w:w="1359" w:type="pct"/>
                  <w:tcBorders>
                    <w:tl2br w:val="nil"/>
                    <w:tr2bl w:val="nil"/>
                  </w:tcBorders>
                  <w:vAlign w:val="center"/>
                </w:tcPr>
                <w:p w14:paraId="266DF8EB">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本项目建成后，企业</w:t>
                  </w:r>
                  <w:r>
                    <w:rPr>
                      <w:rFonts w:hint="eastAsia" w:eastAsia="仿宋" w:cs="Times New Roman"/>
                      <w:color w:val="auto"/>
                      <w:sz w:val="21"/>
                      <w:szCs w:val="21"/>
                      <w:highlight w:val="none"/>
                      <w:lang w:eastAsia="zh-CN"/>
                    </w:rPr>
                    <w:t>将</w:t>
                  </w:r>
                  <w:r>
                    <w:rPr>
                      <w:rFonts w:hint="default" w:ascii="Times New Roman" w:hAnsi="Times New Roman" w:eastAsia="仿宋" w:cs="Times New Roman"/>
                      <w:color w:val="auto"/>
                      <w:sz w:val="21"/>
                      <w:szCs w:val="21"/>
                      <w:highlight w:val="none"/>
                    </w:rPr>
                    <w:t>在排污许可管理系统中全面、准确申报工业固体废物产生种类，以及贮存设施和利用处置等相关情况，并对其真实性负责。严格按照环评中的危废贮存、处置方式来进行。</w:t>
                  </w:r>
                </w:p>
              </w:tc>
              <w:tc>
                <w:tcPr>
                  <w:tcW w:w="464" w:type="pct"/>
                  <w:tcBorders>
                    <w:tl2br w:val="nil"/>
                    <w:tr2bl w:val="nil"/>
                  </w:tcBorders>
                  <w:vAlign w:val="center"/>
                </w:tcPr>
                <w:p w14:paraId="7AAB723E">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kern w:val="0"/>
                      <w:sz w:val="21"/>
                      <w:szCs w:val="21"/>
                      <w:highlight w:val="none"/>
                      <w:vertAlign w:val="baseline"/>
                      <w:lang w:val="en-US" w:eastAsia="zh-CN"/>
                    </w:rPr>
                    <w:t>相符</w:t>
                  </w:r>
                </w:p>
              </w:tc>
            </w:tr>
            <w:tr w14:paraId="34E3A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755214F8">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3</w:t>
                  </w:r>
                </w:p>
              </w:tc>
              <w:tc>
                <w:tcPr>
                  <w:tcW w:w="2851" w:type="pct"/>
                  <w:tcBorders>
                    <w:tl2br w:val="nil"/>
                    <w:tr2bl w:val="nil"/>
                  </w:tcBorders>
                  <w:vAlign w:val="center"/>
                </w:tcPr>
                <w:p w14:paraId="0CF0B2BB">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根据《危险废物贮存污染控制标准》（GB 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Ⅱ级、Ⅲ级危险废物贮存时间分别不得超过30天、60天、90天，最大贮存量不得超过1吨。</w:t>
                  </w:r>
                </w:p>
              </w:tc>
              <w:tc>
                <w:tcPr>
                  <w:tcW w:w="1359" w:type="pct"/>
                  <w:tcBorders>
                    <w:tl2br w:val="nil"/>
                    <w:tr2bl w:val="nil"/>
                  </w:tcBorders>
                  <w:vAlign w:val="center"/>
                </w:tcPr>
                <w:p w14:paraId="58B1A679">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危险废物</w:t>
                  </w:r>
                  <w:r>
                    <w:rPr>
                      <w:rFonts w:hint="default" w:ascii="Times New Roman" w:hAnsi="Times New Roman" w:eastAsia="仿宋" w:cs="Times New Roman"/>
                      <w:color w:val="auto"/>
                      <w:sz w:val="21"/>
                      <w:szCs w:val="21"/>
                      <w:highlight w:val="none"/>
                    </w:rPr>
                    <w:t>为</w:t>
                  </w:r>
                  <w:r>
                    <w:rPr>
                      <w:rFonts w:hint="default" w:ascii="Times New Roman" w:hAnsi="Times New Roman" w:eastAsia="仿宋" w:cs="Times New Roman"/>
                      <w:color w:val="auto"/>
                      <w:sz w:val="21"/>
                      <w:szCs w:val="21"/>
                      <w:highlight w:val="none"/>
                      <w:lang w:val="en-US" w:eastAsia="zh-CN"/>
                    </w:rPr>
                    <w:t>脱脂废液、酸洗废液、中和废液、硅烷废液、废超滤膜、槽渣、表调废液、废包装容器、废润滑油、含油抹布、废油桶、废活性炭、喷淋废液、污泥。</w:t>
                  </w:r>
                </w:p>
              </w:tc>
              <w:tc>
                <w:tcPr>
                  <w:tcW w:w="464" w:type="pct"/>
                  <w:tcBorders>
                    <w:tl2br w:val="nil"/>
                    <w:tr2bl w:val="nil"/>
                  </w:tcBorders>
                  <w:vAlign w:val="center"/>
                </w:tcPr>
                <w:p w14:paraId="7EBEE9CE">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kern w:val="0"/>
                      <w:sz w:val="21"/>
                      <w:szCs w:val="21"/>
                      <w:highlight w:val="none"/>
                      <w:vertAlign w:val="baseline"/>
                      <w:lang w:val="en-US" w:eastAsia="zh-CN"/>
                    </w:rPr>
                    <w:t>相符</w:t>
                  </w:r>
                </w:p>
              </w:tc>
            </w:tr>
            <w:tr w14:paraId="5F9A8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64FF5312">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4</w:t>
                  </w:r>
                </w:p>
              </w:tc>
              <w:tc>
                <w:tcPr>
                  <w:tcW w:w="2851" w:type="pct"/>
                  <w:tcBorders>
                    <w:tl2br w:val="nil"/>
                    <w:tr2bl w:val="nil"/>
                  </w:tcBorders>
                  <w:vAlign w:val="center"/>
                </w:tcPr>
                <w:p w14:paraId="6983BFC4">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危险废物环境重点监管单位要在出入口、设施内部、危险废物运输车辆通道等关键位置设置视频监控并与中控室联网，通过设立公开栏、标志牌等方式，主动公开危险废物产生和利用处置等有关信息。</w:t>
                  </w:r>
                </w:p>
              </w:tc>
              <w:tc>
                <w:tcPr>
                  <w:tcW w:w="1359" w:type="pct"/>
                  <w:tcBorders>
                    <w:tl2br w:val="nil"/>
                    <w:tr2bl w:val="nil"/>
                  </w:tcBorders>
                  <w:vAlign w:val="center"/>
                </w:tcPr>
                <w:p w14:paraId="2D26CC17">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本次环评已对危废贮存库的建设提出设置监控系统的要求，主要在收集点出入口、内部、企业门口等关键位置安装视频监控设施，进行实时监控，并与中控室联网。</w:t>
                  </w:r>
                </w:p>
              </w:tc>
              <w:tc>
                <w:tcPr>
                  <w:tcW w:w="464" w:type="pct"/>
                  <w:tcBorders>
                    <w:tl2br w:val="nil"/>
                    <w:tr2bl w:val="nil"/>
                  </w:tcBorders>
                  <w:vAlign w:val="center"/>
                </w:tcPr>
                <w:p w14:paraId="371CD40F">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kern w:val="0"/>
                      <w:sz w:val="21"/>
                      <w:szCs w:val="21"/>
                      <w:highlight w:val="none"/>
                      <w:vertAlign w:val="baseline"/>
                      <w:lang w:val="en-US" w:eastAsia="zh-CN"/>
                    </w:rPr>
                    <w:t>相符</w:t>
                  </w:r>
                </w:p>
              </w:tc>
            </w:tr>
            <w:tr w14:paraId="130D9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3CF71A4E">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5</w:t>
                  </w:r>
                </w:p>
              </w:tc>
              <w:tc>
                <w:tcPr>
                  <w:tcW w:w="2851" w:type="pct"/>
                  <w:tcBorders>
                    <w:tl2br w:val="nil"/>
                    <w:tr2bl w:val="nil"/>
                  </w:tcBorders>
                  <w:vAlign w:val="center"/>
                </w:tcPr>
                <w:p w14:paraId="42E44F5C">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全面落实危险废物转移电子联单制度，实行全域扫描</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二维码</w:t>
                  </w:r>
                  <w:r>
                    <w:rPr>
                      <w:rFonts w:hint="eastAsia"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转移。危险废物产生单位须依法核实经营单位主体资格和技术能力，直接签订委托合同，并向经营单位提供相关危险废物产生工艺、具体成分，以及是否易燃易爆等信息，违法委托的，应当与造成环境污染和生态破坏的受托方承 担连带责任。</w:t>
                  </w:r>
                </w:p>
              </w:tc>
              <w:tc>
                <w:tcPr>
                  <w:tcW w:w="1359" w:type="pct"/>
                  <w:tcBorders>
                    <w:tl2br w:val="nil"/>
                    <w:tr2bl w:val="nil"/>
                  </w:tcBorders>
                  <w:vAlign w:val="center"/>
                </w:tcPr>
                <w:p w14:paraId="737B31FF">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本项目建成后将与合法危废经营单位签订委托合同，并向经营单位提供相关危险废物产生工艺、具体成分。</w:t>
                  </w:r>
                </w:p>
              </w:tc>
              <w:tc>
                <w:tcPr>
                  <w:tcW w:w="464" w:type="pct"/>
                  <w:tcBorders>
                    <w:tl2br w:val="nil"/>
                    <w:tr2bl w:val="nil"/>
                  </w:tcBorders>
                  <w:vAlign w:val="center"/>
                </w:tcPr>
                <w:p w14:paraId="3A060A40">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kern w:val="0"/>
                      <w:sz w:val="21"/>
                      <w:szCs w:val="21"/>
                      <w:highlight w:val="none"/>
                      <w:vertAlign w:val="baseline"/>
                      <w:lang w:val="en-US" w:eastAsia="zh-CN"/>
                    </w:rPr>
                    <w:t>相符</w:t>
                  </w:r>
                </w:p>
              </w:tc>
            </w:tr>
            <w:tr w14:paraId="487EA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4" w:type="pct"/>
                  <w:tcBorders>
                    <w:tl2br w:val="nil"/>
                    <w:tr2bl w:val="nil"/>
                  </w:tcBorders>
                  <w:vAlign w:val="center"/>
                </w:tcPr>
                <w:p w14:paraId="0F8CAB23">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6</w:t>
                  </w:r>
                </w:p>
              </w:tc>
              <w:tc>
                <w:tcPr>
                  <w:tcW w:w="2851" w:type="pct"/>
                  <w:tcBorders>
                    <w:tl2br w:val="nil"/>
                    <w:tr2bl w:val="nil"/>
                  </w:tcBorders>
                  <w:vAlign w:val="center"/>
                </w:tcPr>
                <w:p w14:paraId="715FB5BA">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企业需按照《一般工业固体废物管理台账制定指南（试行）》（生态环境部2021年第82号公告）要求，建立一般工业固废台账，污泥、矿渣等同时还需在江苏省固废管理信息系统申报，电子台账已有内容，不再另外制作纸质台账。</w:t>
                  </w:r>
                </w:p>
              </w:tc>
              <w:tc>
                <w:tcPr>
                  <w:tcW w:w="1359" w:type="pct"/>
                  <w:tcBorders>
                    <w:tl2br w:val="nil"/>
                    <w:tr2bl w:val="nil"/>
                  </w:tcBorders>
                  <w:vAlign w:val="center"/>
                </w:tcPr>
                <w:p w14:paraId="148822AE">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rPr>
                  </w:pPr>
                  <w:r>
                    <w:rPr>
                      <w:rFonts w:hint="default" w:ascii="Times New Roman" w:hAnsi="Times New Roman" w:eastAsia="仿宋" w:cs="Times New Roman"/>
                      <w:color w:val="auto"/>
                      <w:sz w:val="21"/>
                      <w:szCs w:val="21"/>
                      <w:highlight w:val="none"/>
                    </w:rPr>
                    <w:t>本项目建成后</w:t>
                  </w:r>
                  <w:r>
                    <w:rPr>
                      <w:rFonts w:hint="eastAsia" w:eastAsia="仿宋" w:cs="Times New Roman"/>
                      <w:color w:val="auto"/>
                      <w:sz w:val="21"/>
                      <w:szCs w:val="21"/>
                      <w:highlight w:val="none"/>
                      <w:lang w:eastAsia="zh-CN"/>
                    </w:rPr>
                    <w:t>将按</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一般工业固体废物管理台账制定指南（试行）》（生态环境部2021年第82号公告）要求，建立一般工业固废台账。本项目不产生污泥、矿渣。</w:t>
                  </w:r>
                </w:p>
              </w:tc>
              <w:tc>
                <w:tcPr>
                  <w:tcW w:w="464" w:type="pct"/>
                  <w:tcBorders>
                    <w:tl2br w:val="nil"/>
                    <w:tr2bl w:val="nil"/>
                  </w:tcBorders>
                  <w:vAlign w:val="center"/>
                </w:tcPr>
                <w:p w14:paraId="3ADF3A90">
                  <w:pPr>
                    <w:keepNext w:val="0"/>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right="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相符</w:t>
                  </w:r>
                </w:p>
              </w:tc>
            </w:tr>
          </w:tbl>
          <w:p w14:paraId="384099C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建设单位应按照《</w:t>
            </w:r>
            <w:r>
              <w:rPr>
                <w:rFonts w:hint="eastAsia" w:cs="Times New Roman"/>
                <w:color w:val="auto"/>
                <w:sz w:val="24"/>
                <w:szCs w:val="24"/>
                <w:highlight w:val="none"/>
                <w:lang w:eastAsia="zh-CN"/>
              </w:rPr>
              <w:t>环境保护图形标志 固体废物贮存（处置）场</w:t>
            </w:r>
            <w:r>
              <w:rPr>
                <w:rFonts w:hint="default" w:ascii="Times New Roman" w:hAnsi="Times New Roman" w:eastAsia="宋体" w:cs="Times New Roman"/>
                <w:color w:val="auto"/>
                <w:sz w:val="24"/>
                <w:szCs w:val="24"/>
                <w:highlight w:val="none"/>
              </w:rPr>
              <w:t>》（GB</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15562.2-1995）</w:t>
            </w:r>
            <w:r>
              <w:rPr>
                <w:rFonts w:hint="default" w:ascii="Times New Roman" w:hAnsi="Times New Roman" w:eastAsia="宋体" w:cs="Times New Roman"/>
                <w:color w:val="auto"/>
                <w:sz w:val="24"/>
                <w:szCs w:val="24"/>
                <w:highlight w:val="none"/>
                <w:lang w:val="en-US" w:eastAsia="zh-CN"/>
              </w:rPr>
              <w:t>及</w:t>
            </w:r>
            <w:r>
              <w:rPr>
                <w:rFonts w:hint="eastAsia" w:ascii="Times New Roman" w:hAnsi="Times New Roman" w:eastAsia="宋体" w:cs="Times New Roman"/>
                <w:color w:val="auto"/>
                <w:sz w:val="24"/>
                <w:szCs w:val="24"/>
                <w:highlight w:val="none"/>
                <w:lang w:val="en-US" w:eastAsia="zh-CN"/>
              </w:rPr>
              <w:t>修改单、</w:t>
            </w:r>
            <w:r>
              <w:rPr>
                <w:rFonts w:hint="default" w:ascii="Times New Roman" w:hAnsi="Times New Roman" w:eastAsia="宋体" w:cs="Times New Roman"/>
                <w:color w:val="auto"/>
                <w:sz w:val="24"/>
                <w:szCs w:val="24"/>
                <w:highlight w:val="none"/>
              </w:rPr>
              <w:t>《危险废物识别标志设置技术规范》（HJ</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1276-2022）设置固体废物仓库的环境保护图形标志，具体见下表：</w:t>
            </w:r>
          </w:p>
          <w:p w14:paraId="2159660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固废区环境保护图形标志</w:t>
            </w:r>
          </w:p>
          <w:tbl>
            <w:tblPr>
              <w:tblStyle w:val="20"/>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3"/>
              <w:gridCol w:w="1132"/>
              <w:gridCol w:w="1316"/>
              <w:gridCol w:w="1204"/>
              <w:gridCol w:w="870"/>
              <w:gridCol w:w="1907"/>
              <w:gridCol w:w="2281"/>
            </w:tblGrid>
            <w:tr w14:paraId="052C7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 w:type="pct"/>
                  <w:tcBorders>
                    <w:tl2br w:val="nil"/>
                    <w:tr2bl w:val="nil"/>
                  </w:tcBorders>
                  <w:vAlign w:val="center"/>
                </w:tcPr>
                <w:p w14:paraId="622DED43">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序号</w:t>
                  </w:r>
                </w:p>
              </w:tc>
              <w:tc>
                <w:tcPr>
                  <w:tcW w:w="609" w:type="pct"/>
                  <w:tcBorders>
                    <w:tl2br w:val="nil"/>
                    <w:tr2bl w:val="nil"/>
                  </w:tcBorders>
                  <w:vAlign w:val="center"/>
                </w:tcPr>
                <w:p w14:paraId="16F40832">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排放口名称</w:t>
                  </w:r>
                </w:p>
              </w:tc>
              <w:tc>
                <w:tcPr>
                  <w:tcW w:w="708" w:type="pct"/>
                  <w:tcBorders>
                    <w:tl2br w:val="nil"/>
                    <w:tr2bl w:val="nil"/>
                  </w:tcBorders>
                  <w:vAlign w:val="center"/>
                </w:tcPr>
                <w:p w14:paraId="2AEB2C60">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图形标志</w:t>
                  </w:r>
                </w:p>
              </w:tc>
              <w:tc>
                <w:tcPr>
                  <w:tcW w:w="648" w:type="pct"/>
                  <w:tcBorders>
                    <w:tl2br w:val="nil"/>
                    <w:tr2bl w:val="nil"/>
                  </w:tcBorders>
                  <w:vAlign w:val="center"/>
                </w:tcPr>
                <w:p w14:paraId="1B1219EC">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形状</w:t>
                  </w:r>
                </w:p>
              </w:tc>
              <w:tc>
                <w:tcPr>
                  <w:tcW w:w="468" w:type="pct"/>
                  <w:tcBorders>
                    <w:tl2br w:val="nil"/>
                    <w:tr2bl w:val="nil"/>
                  </w:tcBorders>
                  <w:vAlign w:val="center"/>
                </w:tcPr>
                <w:p w14:paraId="20792B4F">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背景颜色</w:t>
                  </w:r>
                </w:p>
              </w:tc>
              <w:tc>
                <w:tcPr>
                  <w:tcW w:w="1026" w:type="pct"/>
                  <w:tcBorders>
                    <w:tl2br w:val="nil"/>
                    <w:tr2bl w:val="nil"/>
                  </w:tcBorders>
                  <w:vAlign w:val="center"/>
                </w:tcPr>
                <w:p w14:paraId="637F2E7E">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图形颜色</w:t>
                  </w:r>
                </w:p>
              </w:tc>
              <w:tc>
                <w:tcPr>
                  <w:tcW w:w="1227" w:type="pct"/>
                  <w:tcBorders>
                    <w:tl2br w:val="nil"/>
                    <w:tr2bl w:val="nil"/>
                  </w:tcBorders>
                  <w:vAlign w:val="center"/>
                </w:tcPr>
                <w:p w14:paraId="21278BD7">
                  <w:pPr>
                    <w:pStyle w:val="31"/>
                    <w:keepNext w:val="0"/>
                    <w:keepLines w:val="0"/>
                    <w:suppressLineNumbers w:val="0"/>
                    <w:spacing w:before="0" w:beforeAutospacing="0" w:after="0" w:afterAutospacing="0"/>
                    <w:ind w:left="0" w:right="0"/>
                    <w:rPr>
                      <w:rFonts w:hint="default" w:ascii="Times New Roman" w:hAnsi="Times New Roman" w:eastAsia="仿宋" w:cs="Times New Roman"/>
                      <w:b/>
                      <w:bCs/>
                      <w:color w:val="auto"/>
                      <w:sz w:val="21"/>
                      <w:szCs w:val="21"/>
                      <w:highlight w:val="none"/>
                      <w:lang w:val="zh-CN"/>
                    </w:rPr>
                  </w:pPr>
                  <w:r>
                    <w:rPr>
                      <w:rFonts w:hint="default" w:ascii="Times New Roman" w:hAnsi="Times New Roman" w:eastAsia="仿宋" w:cs="Times New Roman"/>
                      <w:b/>
                      <w:bCs/>
                      <w:color w:val="auto"/>
                      <w:sz w:val="21"/>
                      <w:szCs w:val="21"/>
                      <w:highlight w:val="none"/>
                      <w:lang w:val="zh-CN"/>
                    </w:rPr>
                    <w:t>提示图形符号</w:t>
                  </w:r>
                </w:p>
              </w:tc>
            </w:tr>
            <w:tr w14:paraId="5CD69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 w:type="pct"/>
                  <w:tcBorders>
                    <w:tl2br w:val="nil"/>
                    <w:tr2bl w:val="nil"/>
                  </w:tcBorders>
                  <w:vAlign w:val="center"/>
                </w:tcPr>
                <w:p w14:paraId="16156FE1">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1</w:t>
                  </w:r>
                </w:p>
              </w:tc>
              <w:tc>
                <w:tcPr>
                  <w:tcW w:w="609" w:type="pct"/>
                  <w:tcBorders>
                    <w:tl2br w:val="nil"/>
                    <w:tr2bl w:val="nil"/>
                  </w:tcBorders>
                  <w:vAlign w:val="center"/>
                </w:tcPr>
                <w:p w14:paraId="4F71C2A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一般工业固废仓库</w:t>
                  </w:r>
                </w:p>
              </w:tc>
              <w:tc>
                <w:tcPr>
                  <w:tcW w:w="708" w:type="pct"/>
                  <w:tcBorders>
                    <w:tl2br w:val="nil"/>
                    <w:tr2bl w:val="nil"/>
                  </w:tcBorders>
                  <w:vAlign w:val="center"/>
                </w:tcPr>
                <w:p w14:paraId="5A44AE05">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提示标志</w:t>
                  </w:r>
                </w:p>
              </w:tc>
              <w:tc>
                <w:tcPr>
                  <w:tcW w:w="648" w:type="pct"/>
                  <w:tcBorders>
                    <w:tl2br w:val="nil"/>
                    <w:tr2bl w:val="nil"/>
                  </w:tcBorders>
                  <w:vAlign w:val="center"/>
                </w:tcPr>
                <w:p w14:paraId="17D4E89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正方形边框</w:t>
                  </w:r>
                </w:p>
              </w:tc>
              <w:tc>
                <w:tcPr>
                  <w:tcW w:w="468" w:type="pct"/>
                  <w:tcBorders>
                    <w:tl2br w:val="nil"/>
                    <w:tr2bl w:val="nil"/>
                  </w:tcBorders>
                  <w:vAlign w:val="center"/>
                </w:tcPr>
                <w:p w14:paraId="5DEC66A3">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绿色</w:t>
                  </w:r>
                </w:p>
              </w:tc>
              <w:tc>
                <w:tcPr>
                  <w:tcW w:w="1026" w:type="pct"/>
                  <w:tcBorders>
                    <w:tl2br w:val="nil"/>
                    <w:tr2bl w:val="nil"/>
                  </w:tcBorders>
                  <w:vAlign w:val="center"/>
                </w:tcPr>
                <w:p w14:paraId="512A5D5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白色</w:t>
                  </w:r>
                </w:p>
              </w:tc>
              <w:tc>
                <w:tcPr>
                  <w:tcW w:w="1227" w:type="pct"/>
                  <w:tcBorders>
                    <w:tl2br w:val="nil"/>
                    <w:tr2bl w:val="nil"/>
                  </w:tcBorders>
                  <w:vAlign w:val="center"/>
                </w:tcPr>
                <w:p w14:paraId="614CDD67">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drawing>
                      <wp:inline distT="0" distB="0" distL="0" distR="0">
                        <wp:extent cx="659765" cy="659765"/>
                        <wp:effectExtent l="0" t="0" r="698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64660" cy="664660"/>
                                </a:xfrm>
                                <a:prstGeom prst="rect">
                                  <a:avLst/>
                                </a:prstGeom>
                                <a:noFill/>
                                <a:ln>
                                  <a:noFill/>
                                </a:ln>
                              </pic:spPr>
                            </pic:pic>
                          </a:graphicData>
                        </a:graphic>
                      </wp:inline>
                    </w:drawing>
                  </w:r>
                </w:p>
              </w:tc>
            </w:tr>
            <w:tr w14:paraId="57500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 w:type="pct"/>
                  <w:vMerge w:val="restart"/>
                  <w:tcBorders>
                    <w:tl2br w:val="nil"/>
                    <w:tr2bl w:val="nil"/>
                  </w:tcBorders>
                  <w:vAlign w:val="center"/>
                </w:tcPr>
                <w:p w14:paraId="2F149B6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2</w:t>
                  </w:r>
                </w:p>
              </w:tc>
              <w:tc>
                <w:tcPr>
                  <w:tcW w:w="609" w:type="pct"/>
                  <w:vMerge w:val="restart"/>
                  <w:tcBorders>
                    <w:tl2br w:val="nil"/>
                    <w:tr2bl w:val="nil"/>
                  </w:tcBorders>
                  <w:vAlign w:val="center"/>
                </w:tcPr>
                <w:p w14:paraId="4499C316">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危废仓库</w:t>
                  </w:r>
                </w:p>
              </w:tc>
              <w:tc>
                <w:tcPr>
                  <w:tcW w:w="708" w:type="pct"/>
                  <w:tcBorders>
                    <w:tl2br w:val="nil"/>
                    <w:tr2bl w:val="nil"/>
                  </w:tcBorders>
                  <w:vAlign w:val="center"/>
                </w:tcPr>
                <w:p w14:paraId="59DDFD94">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贮存设施标志</w:t>
                  </w:r>
                </w:p>
              </w:tc>
              <w:tc>
                <w:tcPr>
                  <w:tcW w:w="648" w:type="pct"/>
                  <w:tcBorders>
                    <w:tl2br w:val="nil"/>
                    <w:tr2bl w:val="nil"/>
                  </w:tcBorders>
                  <w:vAlign w:val="center"/>
                </w:tcPr>
                <w:p w14:paraId="345607C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长方形边框</w:t>
                  </w:r>
                </w:p>
              </w:tc>
              <w:tc>
                <w:tcPr>
                  <w:tcW w:w="468" w:type="pct"/>
                  <w:tcBorders>
                    <w:tl2br w:val="nil"/>
                    <w:tr2bl w:val="nil"/>
                  </w:tcBorders>
                  <w:vAlign w:val="center"/>
                </w:tcPr>
                <w:p w14:paraId="63747404">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黄色</w:t>
                  </w:r>
                </w:p>
              </w:tc>
              <w:tc>
                <w:tcPr>
                  <w:tcW w:w="1026" w:type="pct"/>
                  <w:tcBorders>
                    <w:tl2br w:val="nil"/>
                    <w:tr2bl w:val="nil"/>
                  </w:tcBorders>
                  <w:vAlign w:val="center"/>
                </w:tcPr>
                <w:p w14:paraId="0593B5CB">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黑色</w:t>
                  </w:r>
                </w:p>
              </w:tc>
              <w:tc>
                <w:tcPr>
                  <w:tcW w:w="1227" w:type="pct"/>
                  <w:tcBorders>
                    <w:tl2br w:val="nil"/>
                    <w:tr2bl w:val="nil"/>
                  </w:tcBorders>
                  <w:vAlign w:val="center"/>
                </w:tcPr>
                <w:p w14:paraId="0EB1D549">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drawing>
                      <wp:inline distT="0" distB="0" distL="114300" distR="114300">
                        <wp:extent cx="1210945" cy="784860"/>
                        <wp:effectExtent l="0" t="0" r="8255" b="1524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8" cstate="print"/>
                                <a:stretch>
                                  <a:fillRect/>
                                </a:stretch>
                              </pic:blipFill>
                              <pic:spPr>
                                <a:xfrm>
                                  <a:off x="0" y="0"/>
                                  <a:ext cx="1210945" cy="784860"/>
                                </a:xfrm>
                                <a:prstGeom prst="rect">
                                  <a:avLst/>
                                </a:prstGeom>
                                <a:noFill/>
                                <a:ln>
                                  <a:noFill/>
                                </a:ln>
                              </pic:spPr>
                            </pic:pic>
                          </a:graphicData>
                        </a:graphic>
                      </wp:inline>
                    </w:drawing>
                  </w:r>
                </w:p>
              </w:tc>
            </w:tr>
            <w:tr w14:paraId="02F30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 w:type="pct"/>
                  <w:vMerge w:val="continue"/>
                  <w:tcBorders>
                    <w:tl2br w:val="nil"/>
                    <w:tr2bl w:val="nil"/>
                  </w:tcBorders>
                  <w:vAlign w:val="center"/>
                </w:tcPr>
                <w:p w14:paraId="35664A98">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p>
              </w:tc>
              <w:tc>
                <w:tcPr>
                  <w:tcW w:w="609" w:type="pct"/>
                  <w:vMerge w:val="continue"/>
                  <w:tcBorders>
                    <w:tl2br w:val="nil"/>
                    <w:tr2bl w:val="nil"/>
                  </w:tcBorders>
                  <w:vAlign w:val="center"/>
                </w:tcPr>
                <w:p w14:paraId="3048671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p>
              </w:tc>
              <w:tc>
                <w:tcPr>
                  <w:tcW w:w="708" w:type="pct"/>
                  <w:tcBorders>
                    <w:tl2br w:val="nil"/>
                    <w:tr2bl w:val="nil"/>
                  </w:tcBorders>
                  <w:vAlign w:val="center"/>
                </w:tcPr>
                <w:p w14:paraId="64A8785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危险废物贮存分区标志</w:t>
                  </w:r>
                </w:p>
              </w:tc>
              <w:tc>
                <w:tcPr>
                  <w:tcW w:w="648" w:type="pct"/>
                  <w:tcBorders>
                    <w:tl2br w:val="nil"/>
                    <w:tr2bl w:val="nil"/>
                  </w:tcBorders>
                  <w:vAlign w:val="center"/>
                </w:tcPr>
                <w:p w14:paraId="2E1E3D6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长方形边框</w:t>
                  </w:r>
                </w:p>
              </w:tc>
              <w:tc>
                <w:tcPr>
                  <w:tcW w:w="468" w:type="pct"/>
                  <w:tcBorders>
                    <w:tl2br w:val="nil"/>
                    <w:tr2bl w:val="nil"/>
                  </w:tcBorders>
                  <w:vAlign w:val="center"/>
                </w:tcPr>
                <w:p w14:paraId="5927A743">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黄色</w:t>
                  </w:r>
                </w:p>
              </w:tc>
              <w:tc>
                <w:tcPr>
                  <w:tcW w:w="1026" w:type="pct"/>
                  <w:tcBorders>
                    <w:tl2br w:val="nil"/>
                    <w:tr2bl w:val="nil"/>
                  </w:tcBorders>
                  <w:vAlign w:val="center"/>
                </w:tcPr>
                <w:p w14:paraId="61488A4F">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黑色</w:t>
                  </w:r>
                </w:p>
              </w:tc>
              <w:tc>
                <w:tcPr>
                  <w:tcW w:w="1227" w:type="pct"/>
                  <w:tcBorders>
                    <w:tl2br w:val="nil"/>
                    <w:tr2bl w:val="nil"/>
                  </w:tcBorders>
                  <w:vAlign w:val="center"/>
                </w:tcPr>
                <w:p w14:paraId="36EED1CA">
                  <w:pPr>
                    <w:pStyle w:val="31"/>
                    <w:keepNext w:val="0"/>
                    <w:keepLines w:val="0"/>
                    <w:suppressLineNumbers w:val="0"/>
                    <w:spacing w:before="0" w:beforeAutospacing="0" w:after="0" w:afterAutospacing="0"/>
                    <w:ind w:left="0" w:right="0"/>
                    <w:rPr>
                      <w:rStyle w:val="24"/>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inline distT="0" distB="0" distL="114300" distR="114300">
                        <wp:extent cx="1075690" cy="904240"/>
                        <wp:effectExtent l="0" t="0" r="10160" b="1016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9" cstate="print"/>
                                <a:stretch>
                                  <a:fillRect/>
                                </a:stretch>
                              </pic:blipFill>
                              <pic:spPr>
                                <a:xfrm>
                                  <a:off x="0" y="0"/>
                                  <a:ext cx="1075690" cy="904240"/>
                                </a:xfrm>
                                <a:prstGeom prst="rect">
                                  <a:avLst/>
                                </a:prstGeom>
                                <a:noFill/>
                                <a:ln>
                                  <a:noFill/>
                                </a:ln>
                              </pic:spPr>
                            </pic:pic>
                          </a:graphicData>
                        </a:graphic>
                      </wp:inline>
                    </w:drawing>
                  </w:r>
                </w:p>
              </w:tc>
            </w:tr>
            <w:tr w14:paraId="43C42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314" w:type="pct"/>
                  <w:vMerge w:val="continue"/>
                  <w:tcBorders>
                    <w:tl2br w:val="nil"/>
                    <w:tr2bl w:val="nil"/>
                  </w:tcBorders>
                  <w:vAlign w:val="center"/>
                </w:tcPr>
                <w:p w14:paraId="40FD9A52">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p>
              </w:tc>
              <w:tc>
                <w:tcPr>
                  <w:tcW w:w="609" w:type="pct"/>
                  <w:vMerge w:val="continue"/>
                  <w:tcBorders>
                    <w:tl2br w:val="nil"/>
                    <w:tr2bl w:val="nil"/>
                  </w:tcBorders>
                  <w:vAlign w:val="center"/>
                </w:tcPr>
                <w:p w14:paraId="5C160645">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p>
              </w:tc>
              <w:tc>
                <w:tcPr>
                  <w:tcW w:w="708" w:type="pct"/>
                  <w:tcBorders>
                    <w:tl2br w:val="nil"/>
                    <w:tr2bl w:val="nil"/>
                  </w:tcBorders>
                  <w:vAlign w:val="center"/>
                </w:tcPr>
                <w:p w14:paraId="53FB64AD">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包装识别标签</w:t>
                  </w:r>
                </w:p>
              </w:tc>
              <w:tc>
                <w:tcPr>
                  <w:tcW w:w="648" w:type="pct"/>
                  <w:tcBorders>
                    <w:tl2br w:val="nil"/>
                    <w:tr2bl w:val="nil"/>
                  </w:tcBorders>
                  <w:vAlign w:val="center"/>
                </w:tcPr>
                <w:p w14:paraId="6E5211FE">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val="zh-CN"/>
                    </w:rPr>
                    <w:t>/</w:t>
                  </w:r>
                </w:p>
              </w:tc>
              <w:tc>
                <w:tcPr>
                  <w:tcW w:w="468" w:type="pct"/>
                  <w:tcBorders>
                    <w:tl2br w:val="nil"/>
                    <w:tr2bl w:val="nil"/>
                  </w:tcBorders>
                  <w:vAlign w:val="center"/>
                </w:tcPr>
                <w:p w14:paraId="5D89329C">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lang w:eastAsia="zh-CN"/>
                    </w:rPr>
                    <w:t>橘黄色</w:t>
                  </w:r>
                </w:p>
              </w:tc>
              <w:tc>
                <w:tcPr>
                  <w:tcW w:w="1026" w:type="pct"/>
                  <w:tcBorders>
                    <w:tl2br w:val="nil"/>
                    <w:tr2bl w:val="nil"/>
                  </w:tcBorders>
                  <w:vAlign w:val="center"/>
                </w:tcPr>
                <w:p w14:paraId="736775E4">
                  <w:pPr>
                    <w:pStyle w:val="31"/>
                    <w:keepNext w:val="0"/>
                    <w:keepLines w:val="0"/>
                    <w:suppressLineNumbers w:val="0"/>
                    <w:spacing w:before="0" w:beforeAutospacing="0" w:after="0" w:afterAutospacing="0"/>
                    <w:ind w:left="0" w:right="0"/>
                    <w:rPr>
                      <w:rFonts w:hint="default" w:ascii="Times New Roman" w:hAnsi="Times New Roman" w:eastAsia="仿宋" w:cs="Times New Roman"/>
                      <w:color w:val="auto"/>
                      <w:sz w:val="21"/>
                      <w:szCs w:val="21"/>
                      <w:highlight w:val="none"/>
                      <w:lang w:val="zh-CN"/>
                    </w:rPr>
                  </w:pPr>
                  <w:r>
                    <w:rPr>
                      <w:rFonts w:hint="default" w:ascii="Times New Roman" w:hAnsi="Times New Roman" w:eastAsia="仿宋" w:cs="Times New Roman"/>
                      <w:color w:val="auto"/>
                      <w:sz w:val="21"/>
                      <w:szCs w:val="21"/>
                      <w:highlight w:val="none"/>
                    </w:rPr>
                    <w:t>黑色</w:t>
                  </w:r>
                </w:p>
              </w:tc>
              <w:tc>
                <w:tcPr>
                  <w:tcW w:w="1227" w:type="pct"/>
                  <w:tcBorders>
                    <w:tl2br w:val="nil"/>
                    <w:tr2bl w:val="nil"/>
                  </w:tcBorders>
                  <w:vAlign w:val="center"/>
                </w:tcPr>
                <w:p w14:paraId="6322A942">
                  <w:pPr>
                    <w:pStyle w:val="31"/>
                    <w:keepNext w:val="0"/>
                    <w:keepLines w:val="0"/>
                    <w:suppressLineNumbers w:val="0"/>
                    <w:spacing w:before="0" w:beforeAutospacing="0" w:after="0" w:afterAutospacing="0"/>
                    <w:ind w:left="0" w:right="0"/>
                    <w:rPr>
                      <w:rStyle w:val="24"/>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drawing>
                      <wp:inline distT="0" distB="0" distL="114300" distR="114300">
                        <wp:extent cx="828675" cy="825500"/>
                        <wp:effectExtent l="0" t="0" r="952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cstate="print"/>
                                <a:stretch>
                                  <a:fillRect/>
                                </a:stretch>
                              </pic:blipFill>
                              <pic:spPr>
                                <a:xfrm>
                                  <a:off x="0" y="0"/>
                                  <a:ext cx="828675" cy="825500"/>
                                </a:xfrm>
                                <a:prstGeom prst="rect">
                                  <a:avLst/>
                                </a:prstGeom>
                                <a:noFill/>
                                <a:ln>
                                  <a:noFill/>
                                </a:ln>
                              </pic:spPr>
                            </pic:pic>
                          </a:graphicData>
                        </a:graphic>
                      </wp:inline>
                    </w:drawing>
                  </w:r>
                </w:p>
              </w:tc>
            </w:tr>
          </w:tbl>
          <w:p w14:paraId="4C69B74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须针对固废对员工进行培训，加强安全生产及防止污染的意识，培训通过后方可上岗，将危险废物的实际产生、贮存、利用、处置等情况纳入生产记录，建立危险废物管理台账和企业内部产生和收集、贮存、转移等部门危险废物交接制度。当危废需要委托有资质单位进行转移时，联系当地环保部门通过</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江苏省危险废物全生命周期监控系统</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进行危险废物申报登记。</w:t>
            </w:r>
          </w:p>
          <w:p w14:paraId="0EA95B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通过采取上述措施和管理方案，可满足危险废物临时存放相关标准的要求，将危险废物可能带来的环境影响降到最低。</w:t>
            </w:r>
          </w:p>
          <w:p w14:paraId="1220E63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危险废物转运过程中的环境影响</w:t>
            </w:r>
          </w:p>
          <w:p w14:paraId="132C20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建设项目危险废物产生后放入专门盛装危险废物的容器或防漏胶袋中，由带有防渗漏托盘的拖车转运至危废暂存点</w:t>
            </w:r>
            <w:r>
              <w:rPr>
                <w:rFonts w:hint="eastAsia" w:cs="Times New Roman"/>
                <w:bCs/>
                <w:color w:val="auto"/>
                <w:sz w:val="24"/>
                <w:szCs w:val="24"/>
                <w:highlight w:val="none"/>
                <w:lang w:eastAsia="zh-CN"/>
              </w:rPr>
              <w:t>，在</w:t>
            </w:r>
            <w:r>
              <w:rPr>
                <w:rFonts w:hint="default" w:ascii="Times New Roman" w:hAnsi="Times New Roman" w:eastAsia="宋体" w:cs="Times New Roman"/>
                <w:bCs/>
                <w:color w:val="auto"/>
                <w:sz w:val="24"/>
                <w:szCs w:val="24"/>
                <w:highlight w:val="none"/>
              </w:rPr>
              <w:t>转运过程中由于人为操作失误造成容器倒翻、胶袋破损等情况时，大部分会进入托盘中，对周围环境会产生一定的影响，因此企业在加强管理的情况下，转运过程中出现散落、泄漏概率较小，对周围环境影响较小。</w:t>
            </w:r>
          </w:p>
          <w:p w14:paraId="1ED741C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委托利用或者处置的环境影响分析</w:t>
            </w:r>
          </w:p>
          <w:p w14:paraId="430471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本项目产生的危废需要由具有相应的危险废物经营许可证类别和足够的利用处置能力的单位处理。具体的危废处置单位详见市生态环境局官方网站。</w:t>
            </w:r>
          </w:p>
          <w:p w14:paraId="7354105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所产生的固体废物通过以上方法处理处置后，将不会对周围的环境产生影响，但厂内的堆放、贮存场所应按照国家固体废物贮存有关要求设置，在厂区内设置专门的区域作为固废堆放场地，树立显著的标志，由专门的人员进行管理，避免其对周围环境产生二次污染，采取上述措施后，建设项目产生的固废经妥善处理、处置后，可以实现零排放，对周围环境影响</w:t>
            </w:r>
            <w:r>
              <w:rPr>
                <w:rFonts w:hint="eastAsia" w:ascii="Times New Roman" w:hAnsi="Times New Roman" w:eastAsia="宋体" w:cs="Times New Roman"/>
                <w:color w:val="auto"/>
                <w:sz w:val="24"/>
                <w:szCs w:val="24"/>
                <w:highlight w:val="none"/>
                <w:lang w:val="en-US" w:eastAsia="zh-CN"/>
              </w:rPr>
              <w:t>可接受</w:t>
            </w:r>
            <w:r>
              <w:rPr>
                <w:rFonts w:hint="default" w:ascii="Times New Roman" w:hAnsi="Times New Roman" w:eastAsia="宋体" w:cs="Times New Roman"/>
                <w:color w:val="auto"/>
                <w:sz w:val="24"/>
                <w:szCs w:val="24"/>
                <w:highlight w:val="none"/>
              </w:rPr>
              <w:t>。</w:t>
            </w:r>
          </w:p>
          <w:p w14:paraId="7B048B4F">
            <w:pPr>
              <w:spacing w:line="360" w:lineRule="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土壤、地下水环境影响分析</w:t>
            </w:r>
          </w:p>
          <w:p w14:paraId="666BED4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根据建设单位提供的资料，原料仓库和车间地面均采取防腐防渗措施；产生的一般工业固废均为固体；危废暂存于</w:t>
            </w:r>
            <w:r>
              <w:rPr>
                <w:rFonts w:hint="eastAsia" w:cs="Times New Roman"/>
                <w:color w:val="auto"/>
                <w:sz w:val="24"/>
                <w:szCs w:val="24"/>
                <w:highlight w:val="none"/>
                <w:lang w:eastAsia="zh-CN"/>
              </w:rPr>
              <w:t>危废仓库</w:t>
            </w:r>
            <w:r>
              <w:rPr>
                <w:rFonts w:hint="default" w:ascii="Times New Roman" w:hAnsi="Times New Roman" w:eastAsia="宋体" w:cs="Times New Roman"/>
                <w:color w:val="auto"/>
                <w:sz w:val="24"/>
                <w:szCs w:val="24"/>
                <w:highlight w:val="none"/>
              </w:rPr>
              <w:t>内，储存量较少，</w:t>
            </w:r>
            <w:r>
              <w:rPr>
                <w:rFonts w:hint="eastAsia" w:cs="Times New Roman"/>
                <w:color w:val="auto"/>
                <w:sz w:val="24"/>
                <w:szCs w:val="24"/>
                <w:highlight w:val="none"/>
                <w:lang w:eastAsia="zh-CN"/>
              </w:rPr>
              <w:t>危废仓库</w:t>
            </w:r>
            <w:r>
              <w:rPr>
                <w:rFonts w:hint="default" w:ascii="Times New Roman" w:hAnsi="Times New Roman" w:eastAsia="宋体" w:cs="Times New Roman"/>
                <w:color w:val="auto"/>
                <w:sz w:val="24"/>
                <w:szCs w:val="24"/>
                <w:highlight w:val="none"/>
              </w:rPr>
              <w:t>地面采取防腐防渗措施。因此，本项目建成投产后基本不存在地下水、土壤污染途径。</w:t>
            </w:r>
          </w:p>
          <w:p w14:paraId="49B34A75">
            <w:pPr>
              <w:pStyle w:val="41"/>
              <w:ind w:firstLine="42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为保护周围土壤、地下水环境，本报告提出以下土壤、地下水环境保护措施：</w:t>
            </w:r>
          </w:p>
          <w:p w14:paraId="7E3C44F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本项目土壤、地下水污染防治措施坚</w:t>
            </w:r>
            <w:r>
              <w:rPr>
                <w:rFonts w:hint="eastAsia" w:ascii="宋体" w:hAnsi="宋体" w:eastAsia="宋体" w:cs="宋体"/>
                <w:color w:val="auto"/>
                <w:sz w:val="24"/>
                <w:szCs w:val="24"/>
                <w:highlight w:val="none"/>
              </w:rPr>
              <w:t>持</w:t>
            </w:r>
            <w:r>
              <w:rPr>
                <w:rFonts w:hint="eastAsia" w:ascii="宋体" w:hAnsi="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源头控制、分区防控、污染监控、应急响</w:t>
            </w:r>
            <w:r>
              <w:rPr>
                <w:rFonts w:hint="eastAsia" w:ascii="宋体" w:hAnsi="宋体" w:eastAsia="宋体" w:cs="宋体"/>
                <w:color w:val="auto"/>
                <w:sz w:val="24"/>
                <w:szCs w:val="24"/>
                <w:highlight w:val="none"/>
              </w:rPr>
              <w:t>应</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的</w:t>
            </w:r>
            <w:r>
              <w:rPr>
                <w:rFonts w:hint="default" w:ascii="Times New Roman" w:hAnsi="Times New Roman" w:eastAsia="宋体" w:cs="Times New Roman"/>
                <w:color w:val="auto"/>
                <w:sz w:val="24"/>
                <w:szCs w:val="24"/>
                <w:highlight w:val="none"/>
              </w:rPr>
              <w:t>原则，即采取主动控制和被动控制相结合的措施。</w:t>
            </w:r>
          </w:p>
          <w:p w14:paraId="692DB49B">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（1）源头控制措施</w:t>
            </w:r>
          </w:p>
          <w:p w14:paraId="19767D3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主要包括提出实施清洁生产及各类废物循环利用的具体方案，减少污染物的排放量。本项目主要通过优化生产工艺、提高废物循环利用效率，将污染物外泄降低到最小。</w:t>
            </w:r>
          </w:p>
          <w:p w14:paraId="71AF92A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（2）分区防控措施</w:t>
            </w:r>
          </w:p>
          <w:p w14:paraId="779B1146">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为了最大限度降低生产过程中有毒有害物料的跑冒滴漏，防止地下水及土壤污染，本项目按简单防渗区、一般防渗区、重点防渗区设计考虑相应的控制措施，采取不同等级的防渗措施：</w:t>
            </w:r>
          </w:p>
          <w:p w14:paraId="12F29235">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sz w:val="24"/>
                <w:szCs w:val="24"/>
                <w:highlight w:val="none"/>
              </w:rPr>
              <w:t>本项目重点防渗区为</w:t>
            </w:r>
            <w:r>
              <w:rPr>
                <w:rFonts w:hint="eastAsia" w:cs="Times New Roman"/>
                <w:color w:val="auto"/>
                <w:sz w:val="24"/>
                <w:szCs w:val="24"/>
                <w:highlight w:val="none"/>
                <w:lang w:eastAsia="zh-CN"/>
              </w:rPr>
              <w:t>危废仓库、</w:t>
            </w:r>
            <w:r>
              <w:rPr>
                <w:rFonts w:hint="eastAsia" w:cs="Times New Roman"/>
                <w:color w:val="auto"/>
                <w:sz w:val="24"/>
                <w:szCs w:val="24"/>
                <w:highlight w:val="none"/>
                <w:lang w:val="en-US" w:eastAsia="zh-CN"/>
              </w:rPr>
              <w:t>化学品仓库、喷粉前处理区、电泳漆前处理+电泳线、喷粉房、烘房、烘道、厂区废水处理站</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重点防渗区防渗要求：等效</w:t>
            </w:r>
            <w:r>
              <w:rPr>
                <w:rFonts w:hint="eastAsia" w:cs="Times New Roman"/>
                <w:color w:val="auto"/>
                <w:sz w:val="24"/>
                <w:szCs w:val="24"/>
                <w:highlight w:val="none"/>
                <w:lang w:eastAsia="zh-CN"/>
              </w:rPr>
              <w:t>黏土</w:t>
            </w:r>
            <w:r>
              <w:rPr>
                <w:rFonts w:hint="default" w:ascii="Times New Roman" w:hAnsi="Times New Roman" w:eastAsia="宋体" w:cs="Times New Roman"/>
                <w:color w:val="auto"/>
                <w:sz w:val="24"/>
                <w:szCs w:val="24"/>
                <w:highlight w:val="none"/>
              </w:rPr>
              <w:t>防渗层Mb≥6.0m，K≤1×10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w:t>
            </w:r>
            <w:r>
              <w:rPr>
                <w:rFonts w:hint="eastAsia" w:ascii="Times New Roman" w:hAnsi="Times New Roman" w:eastAsia="宋体" w:cs="Times New Roman"/>
                <w:color w:val="auto"/>
                <w:sz w:val="24"/>
                <w:szCs w:val="24"/>
                <w:highlight w:val="none"/>
                <w:lang w:eastAsia="zh-CN"/>
              </w:rPr>
              <w:t>；</w:t>
            </w:r>
          </w:p>
          <w:p w14:paraId="7EDFC4C1">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sz w:val="24"/>
                <w:szCs w:val="24"/>
                <w:highlight w:val="none"/>
              </w:rPr>
              <w:t>本项目一般防渗区为</w:t>
            </w:r>
            <w:r>
              <w:rPr>
                <w:rFonts w:hint="eastAsia" w:cs="Times New Roman"/>
                <w:color w:val="auto"/>
                <w:sz w:val="24"/>
                <w:szCs w:val="24"/>
                <w:highlight w:val="none"/>
                <w:lang w:val="en-US" w:eastAsia="zh-CN"/>
              </w:rPr>
              <w:t>机加工区</w:t>
            </w:r>
            <w:r>
              <w:rPr>
                <w:rFonts w:hint="default" w:ascii="Times New Roman" w:hAnsi="Times New Roman" w:eastAsia="宋体" w:cs="Times New Roman"/>
                <w:color w:val="auto"/>
                <w:sz w:val="24"/>
                <w:szCs w:val="24"/>
                <w:highlight w:val="none"/>
              </w:rPr>
              <w:t>和一般工业固废</w:t>
            </w:r>
            <w:r>
              <w:rPr>
                <w:rFonts w:hint="eastAsia" w:cs="Times New Roman"/>
                <w:color w:val="auto"/>
                <w:sz w:val="24"/>
                <w:szCs w:val="24"/>
                <w:highlight w:val="none"/>
                <w:lang w:eastAsia="zh-CN"/>
              </w:rPr>
              <w:t>仓库</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一般防渗区防渗要求：等效</w:t>
            </w:r>
            <w:r>
              <w:rPr>
                <w:rFonts w:hint="eastAsia" w:cs="Times New Roman"/>
                <w:color w:val="auto"/>
                <w:sz w:val="24"/>
                <w:szCs w:val="24"/>
                <w:highlight w:val="none"/>
                <w:lang w:eastAsia="zh-CN"/>
              </w:rPr>
              <w:t>黏土</w:t>
            </w:r>
            <w:r>
              <w:rPr>
                <w:rFonts w:hint="default" w:ascii="Times New Roman" w:hAnsi="Times New Roman" w:eastAsia="宋体" w:cs="Times New Roman"/>
                <w:color w:val="auto"/>
                <w:sz w:val="24"/>
                <w:szCs w:val="24"/>
                <w:highlight w:val="none"/>
              </w:rPr>
              <w:t>防渗层Mb≥1.5m，K≤1×10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cm/s。除重点防渗区和一般防渗区外，项目</w:t>
            </w:r>
            <w:r>
              <w:rPr>
                <w:rFonts w:hint="eastAsia"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rPr>
              <w:t>区域为简单防渗区，采用一般地面硬化进行防渗</w:t>
            </w:r>
            <w:r>
              <w:rPr>
                <w:rFonts w:hint="eastAsia" w:ascii="Times New Roman" w:hAnsi="Times New Roman" w:eastAsia="宋体" w:cs="Times New Roman"/>
                <w:color w:val="auto"/>
                <w:sz w:val="24"/>
                <w:szCs w:val="24"/>
                <w:highlight w:val="none"/>
                <w:lang w:eastAsia="zh-CN"/>
              </w:rPr>
              <w:t>；</w:t>
            </w:r>
          </w:p>
          <w:p w14:paraId="698C2795">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对厂内排水系统及管道均做防渗处理</w:t>
            </w:r>
            <w:r>
              <w:rPr>
                <w:rFonts w:hint="eastAsia" w:ascii="Times New Roman" w:hAnsi="Times New Roman" w:eastAsia="宋体" w:cs="Times New Roman"/>
                <w:color w:val="auto"/>
                <w:sz w:val="24"/>
                <w:szCs w:val="24"/>
                <w:highlight w:val="none"/>
                <w:lang w:eastAsia="zh-CN"/>
              </w:rPr>
              <w:t>；</w:t>
            </w:r>
          </w:p>
          <w:p w14:paraId="40D7688E">
            <w:pPr>
              <w:tabs>
                <w:tab w:val="left" w:pos="6237"/>
              </w:tabs>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另外，项目必须强化施工期防渗工程环境监管工作，强化各相关工程的转弯、承插、对接等处的防渗，</w:t>
            </w:r>
            <w:r>
              <w:rPr>
                <w:rFonts w:hint="eastAsia" w:cs="Times New Roman"/>
                <w:color w:val="auto"/>
                <w:sz w:val="24"/>
                <w:szCs w:val="24"/>
                <w:highlight w:val="none"/>
                <w:lang w:eastAsia="zh-CN"/>
              </w:rPr>
              <w:t>做好</w:t>
            </w:r>
            <w:r>
              <w:rPr>
                <w:rFonts w:hint="default" w:ascii="Times New Roman" w:hAnsi="Times New Roman" w:eastAsia="宋体" w:cs="Times New Roman"/>
                <w:color w:val="auto"/>
                <w:sz w:val="24"/>
                <w:szCs w:val="24"/>
                <w:highlight w:val="none"/>
              </w:rPr>
              <w:t>隐蔽工程记录。</w:t>
            </w:r>
          </w:p>
          <w:p w14:paraId="22D2D8DE">
            <w:pPr>
              <w:tabs>
                <w:tab w:val="left" w:pos="6237"/>
              </w:tabs>
              <w:spacing w:line="360" w:lineRule="auto"/>
              <w:ind w:firstLine="480" w:firstLineChars="200"/>
              <w:rPr>
                <w:color w:val="auto"/>
                <w:sz w:val="24"/>
                <w:szCs w:val="24"/>
                <w:highlight w:val="none"/>
              </w:rPr>
            </w:pPr>
            <w:r>
              <w:rPr>
                <w:color w:val="auto"/>
                <w:sz w:val="24"/>
                <w:szCs w:val="24"/>
                <w:highlight w:val="none"/>
              </w:rPr>
              <w:t>本项目厂区分区防渗见</w:t>
            </w:r>
            <w:r>
              <w:rPr>
                <w:rFonts w:hint="eastAsia"/>
                <w:color w:val="auto"/>
                <w:sz w:val="24"/>
                <w:szCs w:val="24"/>
                <w:highlight w:val="none"/>
                <w:lang w:val="en-US" w:eastAsia="zh-CN"/>
              </w:rPr>
              <w:t>下</w:t>
            </w:r>
            <w:r>
              <w:rPr>
                <w:color w:val="auto"/>
                <w:sz w:val="24"/>
                <w:szCs w:val="24"/>
                <w:highlight w:val="none"/>
              </w:rPr>
              <w:t>表。</w:t>
            </w:r>
          </w:p>
          <w:p w14:paraId="0DD688DB">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本项目厂区分区防渗一览表</w:t>
            </w:r>
          </w:p>
          <w:tbl>
            <w:tblPr>
              <w:tblStyle w:val="2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4708"/>
              <w:gridCol w:w="3013"/>
            </w:tblGrid>
            <w:tr w14:paraId="52DB3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5" w:type="pct"/>
                  <w:tcBorders>
                    <w:tl2br w:val="nil"/>
                    <w:tr2bl w:val="nil"/>
                  </w:tcBorders>
                  <w:vAlign w:val="center"/>
                </w:tcPr>
                <w:p w14:paraId="7A4CE29E">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防渗等级</w:t>
                  </w:r>
                </w:p>
              </w:tc>
              <w:tc>
                <w:tcPr>
                  <w:tcW w:w="2533" w:type="pct"/>
                  <w:tcBorders>
                    <w:tl2br w:val="nil"/>
                    <w:tr2bl w:val="nil"/>
                  </w:tcBorders>
                  <w:vAlign w:val="center"/>
                </w:tcPr>
                <w:p w14:paraId="729EB5EA">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防渗区域</w:t>
                  </w:r>
                </w:p>
              </w:tc>
              <w:tc>
                <w:tcPr>
                  <w:tcW w:w="1621" w:type="pct"/>
                  <w:tcBorders>
                    <w:tl2br w:val="nil"/>
                    <w:tr2bl w:val="nil"/>
                  </w:tcBorders>
                  <w:vAlign w:val="center"/>
                </w:tcPr>
                <w:p w14:paraId="4DB5CF36">
                  <w:pPr>
                    <w:pStyle w:val="31"/>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防渗要求</w:t>
                  </w:r>
                </w:p>
              </w:tc>
            </w:tr>
            <w:tr w14:paraId="22699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5" w:type="pct"/>
                  <w:tcBorders>
                    <w:tl2br w:val="nil"/>
                    <w:tr2bl w:val="nil"/>
                  </w:tcBorders>
                  <w:vAlign w:val="center"/>
                </w:tcPr>
                <w:p w14:paraId="3F14CB84">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重点防渗区</w:t>
                  </w:r>
                </w:p>
              </w:tc>
              <w:tc>
                <w:tcPr>
                  <w:tcW w:w="2533" w:type="pct"/>
                  <w:tcBorders>
                    <w:tl2br w:val="nil"/>
                    <w:tr2bl w:val="nil"/>
                  </w:tcBorders>
                  <w:vAlign w:val="center"/>
                </w:tcPr>
                <w:p w14:paraId="1BD06870">
                  <w:pPr>
                    <w:pStyle w:val="31"/>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eastAsia="zh-CN"/>
                    </w:rPr>
                    <w:t>危废仓库、化学品仓库、喷粉前处理区、电泳漆前处理+电泳线、</w:t>
                  </w:r>
                  <w:r>
                    <w:rPr>
                      <w:rFonts w:hint="eastAsia" w:eastAsia="仿宋" w:cs="Times New Roman"/>
                      <w:color w:val="auto"/>
                      <w:sz w:val="21"/>
                      <w:szCs w:val="21"/>
                      <w:highlight w:val="none"/>
                      <w:lang w:val="en-US" w:eastAsia="zh-CN"/>
                    </w:rPr>
                    <w:t>喷粉房、烘房、烘道、</w:t>
                  </w:r>
                  <w:r>
                    <w:rPr>
                      <w:rFonts w:hint="default" w:ascii="Times New Roman" w:hAnsi="Times New Roman" w:eastAsia="仿宋" w:cs="Times New Roman"/>
                      <w:color w:val="auto"/>
                      <w:sz w:val="21"/>
                      <w:szCs w:val="21"/>
                      <w:highlight w:val="none"/>
                      <w:lang w:eastAsia="zh-CN"/>
                    </w:rPr>
                    <w:t>厂区废水处理站</w:t>
                  </w:r>
                </w:p>
              </w:tc>
              <w:tc>
                <w:tcPr>
                  <w:tcW w:w="1621" w:type="pct"/>
                  <w:tcBorders>
                    <w:tl2br w:val="nil"/>
                    <w:tr2bl w:val="nil"/>
                  </w:tcBorders>
                  <w:vAlign w:val="center"/>
                </w:tcPr>
                <w:p w14:paraId="2543503B">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等效</w:t>
                  </w:r>
                  <w:r>
                    <w:rPr>
                      <w:rFonts w:hint="default" w:ascii="Times New Roman" w:hAnsi="Times New Roman" w:eastAsia="仿宋" w:cs="Times New Roman"/>
                      <w:color w:val="auto"/>
                      <w:sz w:val="21"/>
                      <w:szCs w:val="21"/>
                      <w:highlight w:val="none"/>
                      <w:lang w:eastAsia="zh-CN"/>
                    </w:rPr>
                    <w:t>黏土</w:t>
                  </w:r>
                  <w:r>
                    <w:rPr>
                      <w:rFonts w:hint="default" w:ascii="Times New Roman" w:hAnsi="Times New Roman" w:eastAsia="仿宋" w:cs="Times New Roman"/>
                      <w:color w:val="auto"/>
                      <w:sz w:val="21"/>
                      <w:szCs w:val="21"/>
                      <w:highlight w:val="none"/>
                    </w:rPr>
                    <w:t>防渗层Mb≥6.0m，K≤1×10</w:t>
                  </w:r>
                  <w:r>
                    <w:rPr>
                      <w:rFonts w:hint="default" w:ascii="Times New Roman" w:hAnsi="Times New Roman" w:eastAsia="仿宋" w:cs="Times New Roman"/>
                      <w:color w:val="auto"/>
                      <w:sz w:val="21"/>
                      <w:szCs w:val="21"/>
                      <w:highlight w:val="none"/>
                      <w:vertAlign w:val="superscript"/>
                    </w:rPr>
                    <w:t>-7</w:t>
                  </w:r>
                  <w:r>
                    <w:rPr>
                      <w:rFonts w:hint="default" w:ascii="Times New Roman" w:hAnsi="Times New Roman" w:eastAsia="仿宋" w:cs="Times New Roman"/>
                      <w:color w:val="auto"/>
                      <w:sz w:val="21"/>
                      <w:szCs w:val="21"/>
                      <w:highlight w:val="none"/>
                    </w:rPr>
                    <w:t>cm/s</w:t>
                  </w:r>
                </w:p>
              </w:tc>
            </w:tr>
            <w:tr w14:paraId="498CF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5" w:type="pct"/>
                  <w:tcBorders>
                    <w:tl2br w:val="nil"/>
                    <w:tr2bl w:val="nil"/>
                  </w:tcBorders>
                  <w:vAlign w:val="center"/>
                </w:tcPr>
                <w:p w14:paraId="4896AC3F">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一般防渗区</w:t>
                  </w:r>
                </w:p>
              </w:tc>
              <w:tc>
                <w:tcPr>
                  <w:tcW w:w="2533" w:type="pct"/>
                  <w:tcBorders>
                    <w:tl2br w:val="nil"/>
                    <w:tr2bl w:val="nil"/>
                  </w:tcBorders>
                  <w:vAlign w:val="center"/>
                </w:tcPr>
                <w:p w14:paraId="575AD111">
                  <w:pPr>
                    <w:pStyle w:val="31"/>
                    <w:rPr>
                      <w:rFonts w:hint="default" w:ascii="Times New Roman" w:hAnsi="Times New Roman" w:eastAsia="仿宋" w:cs="Times New Roman"/>
                      <w:b/>
                      <w:bCs/>
                      <w:color w:val="auto"/>
                      <w:sz w:val="21"/>
                      <w:szCs w:val="21"/>
                      <w:highlight w:val="none"/>
                      <w:lang w:val="en-US" w:eastAsia="zh-CN"/>
                    </w:rPr>
                  </w:pPr>
                  <w:r>
                    <w:rPr>
                      <w:rFonts w:hint="eastAsia" w:eastAsia="仿宋" w:cs="Times New Roman"/>
                      <w:color w:val="auto"/>
                      <w:sz w:val="21"/>
                      <w:szCs w:val="21"/>
                      <w:highlight w:val="none"/>
                      <w:lang w:val="en-US" w:eastAsia="zh-CN"/>
                    </w:rPr>
                    <w:t>机加工区和一般工业固废仓库</w:t>
                  </w:r>
                </w:p>
              </w:tc>
              <w:tc>
                <w:tcPr>
                  <w:tcW w:w="1621" w:type="pct"/>
                  <w:tcBorders>
                    <w:tl2br w:val="nil"/>
                    <w:tr2bl w:val="nil"/>
                  </w:tcBorders>
                  <w:vAlign w:val="center"/>
                </w:tcPr>
                <w:p w14:paraId="52134D65">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等效</w:t>
                  </w:r>
                  <w:r>
                    <w:rPr>
                      <w:rFonts w:hint="default" w:ascii="Times New Roman" w:hAnsi="Times New Roman" w:eastAsia="仿宋" w:cs="Times New Roman"/>
                      <w:color w:val="auto"/>
                      <w:sz w:val="21"/>
                      <w:szCs w:val="21"/>
                      <w:highlight w:val="none"/>
                      <w:lang w:eastAsia="zh-CN"/>
                    </w:rPr>
                    <w:t>黏土</w:t>
                  </w:r>
                  <w:r>
                    <w:rPr>
                      <w:rFonts w:hint="default" w:ascii="Times New Roman" w:hAnsi="Times New Roman" w:eastAsia="仿宋" w:cs="Times New Roman"/>
                      <w:color w:val="auto"/>
                      <w:sz w:val="21"/>
                      <w:szCs w:val="21"/>
                      <w:highlight w:val="none"/>
                    </w:rPr>
                    <w:t>防渗层Mb≥1.5m，K≤1×10</w:t>
                  </w:r>
                  <w:r>
                    <w:rPr>
                      <w:rFonts w:hint="default" w:ascii="Times New Roman" w:hAnsi="Times New Roman" w:eastAsia="仿宋" w:cs="Times New Roman"/>
                      <w:color w:val="auto"/>
                      <w:sz w:val="21"/>
                      <w:szCs w:val="21"/>
                      <w:highlight w:val="none"/>
                      <w:vertAlign w:val="superscript"/>
                    </w:rPr>
                    <w:t>-7</w:t>
                  </w:r>
                  <w:r>
                    <w:rPr>
                      <w:rFonts w:hint="default" w:ascii="Times New Roman" w:hAnsi="Times New Roman" w:eastAsia="仿宋" w:cs="Times New Roman"/>
                      <w:color w:val="auto"/>
                      <w:sz w:val="21"/>
                      <w:szCs w:val="21"/>
                      <w:highlight w:val="none"/>
                    </w:rPr>
                    <w:t>cm/s</w:t>
                  </w:r>
                </w:p>
              </w:tc>
            </w:tr>
            <w:tr w14:paraId="44F92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5" w:type="pct"/>
                  <w:tcBorders>
                    <w:tl2br w:val="nil"/>
                    <w:tr2bl w:val="nil"/>
                  </w:tcBorders>
                  <w:vAlign w:val="center"/>
                </w:tcPr>
                <w:p w14:paraId="40A5A937">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简单防渗区</w:t>
                  </w:r>
                </w:p>
              </w:tc>
              <w:tc>
                <w:tcPr>
                  <w:tcW w:w="2533" w:type="pct"/>
                  <w:tcBorders>
                    <w:tl2br w:val="nil"/>
                    <w:tr2bl w:val="nil"/>
                  </w:tcBorders>
                  <w:vAlign w:val="center"/>
                </w:tcPr>
                <w:p w14:paraId="2E597B79">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除重点防渗区和一般防渗区外的</w:t>
                  </w:r>
                  <w:r>
                    <w:rPr>
                      <w:rFonts w:hint="default" w:ascii="Times New Roman" w:hAnsi="Times New Roman" w:eastAsia="仿宋" w:cs="Times New Roman"/>
                      <w:color w:val="auto"/>
                      <w:sz w:val="21"/>
                      <w:szCs w:val="21"/>
                      <w:highlight w:val="none"/>
                      <w:lang w:eastAsia="zh-CN"/>
                    </w:rPr>
                    <w:t>其他</w:t>
                  </w:r>
                  <w:r>
                    <w:rPr>
                      <w:rFonts w:hint="default" w:ascii="Times New Roman" w:hAnsi="Times New Roman" w:eastAsia="仿宋" w:cs="Times New Roman"/>
                      <w:color w:val="auto"/>
                      <w:sz w:val="21"/>
                      <w:szCs w:val="21"/>
                      <w:highlight w:val="none"/>
                    </w:rPr>
                    <w:t>区域</w:t>
                  </w:r>
                </w:p>
              </w:tc>
              <w:tc>
                <w:tcPr>
                  <w:tcW w:w="1621" w:type="pct"/>
                  <w:tcBorders>
                    <w:tl2br w:val="nil"/>
                    <w:tr2bl w:val="nil"/>
                  </w:tcBorders>
                  <w:vAlign w:val="center"/>
                </w:tcPr>
                <w:p w14:paraId="39E2984A">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一般地面硬化</w:t>
                  </w:r>
                </w:p>
              </w:tc>
            </w:tr>
          </w:tbl>
          <w:p w14:paraId="2529180E">
            <w:pPr>
              <w:tabs>
                <w:tab w:val="left" w:pos="6237"/>
              </w:tabs>
              <w:spacing w:line="360" w:lineRule="auto"/>
              <w:ind w:firstLine="480" w:firstLineChars="200"/>
              <w:rPr>
                <w:color w:val="auto"/>
                <w:sz w:val="24"/>
                <w:szCs w:val="24"/>
                <w:highlight w:val="none"/>
              </w:rPr>
            </w:pPr>
            <w:r>
              <w:rPr>
                <w:color w:val="auto"/>
                <w:sz w:val="24"/>
                <w:szCs w:val="24"/>
                <w:highlight w:val="none"/>
              </w:rPr>
              <w:t>综上，本项目采取的防范措施在正确贯彻执行的情况下，对所在区域地下水、土壤环境质量影响</w:t>
            </w:r>
            <w:r>
              <w:rPr>
                <w:rFonts w:hint="eastAsia"/>
                <w:color w:val="auto"/>
                <w:sz w:val="24"/>
                <w:szCs w:val="24"/>
                <w:highlight w:val="none"/>
              </w:rPr>
              <w:t>可接受</w:t>
            </w:r>
            <w:r>
              <w:rPr>
                <w:color w:val="auto"/>
                <w:sz w:val="24"/>
                <w:szCs w:val="24"/>
                <w:highlight w:val="none"/>
              </w:rPr>
              <w:t>，不会改变区域土壤及地下水水质功能现状。</w:t>
            </w:r>
          </w:p>
          <w:p w14:paraId="13F9DA65">
            <w:pPr>
              <w:tabs>
                <w:tab w:val="left" w:pos="6237"/>
              </w:tabs>
              <w:spacing w:line="360" w:lineRule="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、生态环境</w:t>
            </w:r>
          </w:p>
          <w:p w14:paraId="3431D728">
            <w:pPr>
              <w:tabs>
                <w:tab w:val="left" w:pos="6237"/>
              </w:tabs>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本项目实施后，全厂用地性质不发生改变，厂址周围为建成工业区，无敏感生态物种，本项目实施后对周围生态环境影响较小。</w:t>
            </w:r>
          </w:p>
          <w:p w14:paraId="348C8F81">
            <w:pPr>
              <w:adjustRightInd w:val="0"/>
              <w:snapToGrid w:val="0"/>
              <w:spacing w:line="360" w:lineRule="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环境风险评价</w:t>
            </w:r>
          </w:p>
          <w:p w14:paraId="0F6A071B">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19F55F8">
            <w:pPr>
              <w:spacing w:line="360" w:lineRule="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.1  评价依据</w:t>
            </w:r>
          </w:p>
          <w:p w14:paraId="08B21005">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 169-2018）中附录B表B.1突发环境事件风险物质及临界量及表B.2其他危险物质临界量推荐值，筛选本项目的工程分析以及生产、加工、运输、使用和贮存过程中涉及的主要危险物质。</w:t>
            </w:r>
          </w:p>
          <w:p w14:paraId="321D4C49">
            <w:pPr>
              <w:widowControl/>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HJ169-2018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附录B中对危险物质的定义和《企业突发环境事件风险分级方法》（HJ941-2018）参考确定本项目危险物质数量与临界量的比值见</w:t>
            </w:r>
            <w:r>
              <w:rPr>
                <w:rFonts w:hint="eastAsia"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2904566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color w:val="auto"/>
                <w:kern w:val="0"/>
                <w:sz w:val="24"/>
                <w:szCs w:val="24"/>
                <w:highlight w:val="none"/>
                <w:lang w:val="en-US" w:eastAsia="zh-CN"/>
              </w:rPr>
            </w:pPr>
            <w:r>
              <w:rPr>
                <w:rFonts w:hint="default" w:cs="Times New Roman"/>
                <w:b/>
                <w:color w:val="auto"/>
                <w:kern w:val="0"/>
                <w:sz w:val="24"/>
                <w:szCs w:val="24"/>
                <w:highlight w:val="none"/>
                <w:lang w:val="en-US" w:eastAsia="zh-CN"/>
              </w:rPr>
              <w:t>危险物质数量与临界量比值</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442"/>
              <w:gridCol w:w="3023"/>
              <w:gridCol w:w="1269"/>
              <w:gridCol w:w="1850"/>
              <w:gridCol w:w="1219"/>
            </w:tblGrid>
            <w:tr w14:paraId="0B31CD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6C042D3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bCs w:val="0"/>
                      <w:color w:val="auto"/>
                      <w:sz w:val="21"/>
                      <w:szCs w:val="21"/>
                      <w:highlight w:val="none"/>
                      <w:vertAlign w:val="baseline"/>
                      <w:lang w:val="en-US" w:eastAsia="zh-CN"/>
                    </w:rPr>
                    <w:t>序号</w:t>
                  </w:r>
                </w:p>
              </w:tc>
              <w:tc>
                <w:tcPr>
                  <w:tcW w:w="776" w:type="pct"/>
                  <w:vAlign w:val="center"/>
                </w:tcPr>
                <w:p w14:paraId="60D2A9F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bCs w:val="0"/>
                      <w:color w:val="auto"/>
                      <w:sz w:val="21"/>
                      <w:szCs w:val="21"/>
                      <w:highlight w:val="none"/>
                      <w:vertAlign w:val="baseline"/>
                      <w:lang w:val="en-US" w:eastAsia="zh-CN"/>
                    </w:rPr>
                    <w:t>物质名称</w:t>
                  </w:r>
                </w:p>
              </w:tc>
              <w:tc>
                <w:tcPr>
                  <w:tcW w:w="1627" w:type="pct"/>
                  <w:vAlign w:val="center"/>
                </w:tcPr>
                <w:p w14:paraId="75AE951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bCs w:val="0"/>
                      <w:color w:val="auto"/>
                      <w:sz w:val="21"/>
                      <w:szCs w:val="21"/>
                      <w:highlight w:val="none"/>
                      <w:vertAlign w:val="baseline"/>
                      <w:lang w:val="en-US" w:eastAsia="zh-CN"/>
                    </w:rPr>
                    <w:t>CAS号/危险类别</w:t>
                  </w:r>
                </w:p>
              </w:tc>
              <w:tc>
                <w:tcPr>
                  <w:tcW w:w="683" w:type="pct"/>
                  <w:vAlign w:val="center"/>
                </w:tcPr>
                <w:p w14:paraId="76972A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
                      <w:bCs w:val="0"/>
                      <w:color w:val="auto"/>
                      <w:sz w:val="21"/>
                      <w:szCs w:val="21"/>
                      <w:highlight w:val="none"/>
                      <w:vertAlign w:val="baseline"/>
                      <w:lang w:eastAsia="zh-CN"/>
                    </w:rPr>
                  </w:pPr>
                  <w:r>
                    <w:rPr>
                      <w:rFonts w:hint="default" w:ascii="Times New Roman" w:hAnsi="Times New Roman" w:eastAsia="仿宋" w:cs="Times New Roman"/>
                      <w:b/>
                      <w:color w:val="auto"/>
                      <w:sz w:val="21"/>
                      <w:szCs w:val="21"/>
                      <w:highlight w:val="none"/>
                    </w:rPr>
                    <w:t>标准临界量Qi</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t</w:t>
                  </w:r>
                  <w:r>
                    <w:rPr>
                      <w:rFonts w:hint="default" w:ascii="Times New Roman" w:hAnsi="Times New Roman" w:eastAsia="仿宋" w:cs="Times New Roman"/>
                      <w:b/>
                      <w:color w:val="auto"/>
                      <w:sz w:val="21"/>
                      <w:szCs w:val="21"/>
                      <w:highlight w:val="none"/>
                      <w:lang w:eastAsia="zh-CN"/>
                    </w:rPr>
                    <w:t>）</w:t>
                  </w:r>
                </w:p>
              </w:tc>
              <w:tc>
                <w:tcPr>
                  <w:tcW w:w="995" w:type="pct"/>
                  <w:vAlign w:val="center"/>
                </w:tcPr>
                <w:p w14:paraId="3D5B91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
                      <w:bCs w:val="0"/>
                      <w:color w:val="auto"/>
                      <w:sz w:val="21"/>
                      <w:szCs w:val="21"/>
                      <w:highlight w:val="none"/>
                      <w:vertAlign w:val="baseline"/>
                      <w:lang w:val="en-US" w:eastAsia="zh-CN"/>
                    </w:rPr>
                  </w:pPr>
                  <w:r>
                    <w:rPr>
                      <w:rFonts w:hint="default" w:ascii="Times New Roman" w:hAnsi="Times New Roman" w:eastAsia="仿宋" w:cs="Times New Roman"/>
                      <w:b/>
                      <w:color w:val="auto"/>
                      <w:sz w:val="21"/>
                      <w:szCs w:val="21"/>
                      <w:highlight w:val="none"/>
                    </w:rPr>
                    <w:t>最大储存量</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含在线量</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rPr>
                    <w:t>qi</w:t>
                  </w:r>
                  <w:r>
                    <w:rPr>
                      <w:rFonts w:hint="default" w:ascii="Times New Roman" w:hAnsi="Times New Roman" w:eastAsia="仿宋" w:cs="Times New Roman"/>
                      <w:b/>
                      <w:color w:val="auto"/>
                      <w:sz w:val="21"/>
                      <w:szCs w:val="21"/>
                      <w:highlight w:val="none"/>
                      <w:lang w:eastAsia="zh-CN"/>
                    </w:rPr>
                    <w:t>（</w:t>
                  </w:r>
                  <w:r>
                    <w:rPr>
                      <w:rFonts w:hint="default" w:ascii="Times New Roman" w:hAnsi="Times New Roman" w:eastAsia="仿宋" w:cs="Times New Roman"/>
                      <w:b/>
                      <w:color w:val="auto"/>
                      <w:sz w:val="21"/>
                      <w:szCs w:val="21"/>
                      <w:highlight w:val="none"/>
                      <w:lang w:val="en-US" w:eastAsia="zh-CN"/>
                    </w:rPr>
                    <w:t>t</w:t>
                  </w:r>
                  <w:r>
                    <w:rPr>
                      <w:rFonts w:hint="default" w:ascii="Times New Roman" w:hAnsi="Times New Roman" w:eastAsia="仿宋" w:cs="Times New Roman"/>
                      <w:b/>
                      <w:color w:val="auto"/>
                      <w:sz w:val="21"/>
                      <w:szCs w:val="21"/>
                      <w:highlight w:val="none"/>
                      <w:lang w:eastAsia="zh-CN"/>
                    </w:rPr>
                    <w:t>）</w:t>
                  </w:r>
                </w:p>
              </w:tc>
              <w:tc>
                <w:tcPr>
                  <w:tcW w:w="655" w:type="pct"/>
                  <w:vAlign w:val="center"/>
                </w:tcPr>
                <w:p w14:paraId="6A80D5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仿宋" w:cs="Times New Roman"/>
                      <w:b/>
                      <w:bCs w:val="0"/>
                      <w:color w:val="auto"/>
                      <w:sz w:val="21"/>
                      <w:szCs w:val="21"/>
                      <w:highlight w:val="none"/>
                      <w:vertAlign w:val="baseline"/>
                    </w:rPr>
                  </w:pPr>
                  <w:r>
                    <w:rPr>
                      <w:rFonts w:hint="default" w:ascii="Times New Roman" w:hAnsi="Times New Roman" w:eastAsia="仿宋" w:cs="Times New Roman"/>
                      <w:b/>
                      <w:color w:val="auto"/>
                      <w:sz w:val="21"/>
                      <w:szCs w:val="21"/>
                      <w:highlight w:val="none"/>
                    </w:rPr>
                    <w:t>qi/Qi</w:t>
                  </w:r>
                </w:p>
              </w:tc>
            </w:tr>
            <w:tr w14:paraId="50CE600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4C44215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1</w:t>
                  </w:r>
                </w:p>
              </w:tc>
              <w:tc>
                <w:tcPr>
                  <w:tcW w:w="776" w:type="pct"/>
                  <w:shd w:val="clear" w:color="auto" w:fill="auto"/>
                  <w:vAlign w:val="center"/>
                </w:tcPr>
                <w:p w14:paraId="2FC57D04">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硅烷剂</w:t>
                  </w:r>
                </w:p>
              </w:tc>
              <w:tc>
                <w:tcPr>
                  <w:tcW w:w="1627" w:type="pct"/>
                  <w:vAlign w:val="center"/>
                </w:tcPr>
                <w:p w14:paraId="705D0E5F">
                  <w:pPr>
                    <w:jc w:val="center"/>
                    <w:rPr>
                      <w:rFonts w:hint="eastAsia"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危害水环境物质（急性毒性类别1）</w:t>
                  </w:r>
                </w:p>
              </w:tc>
              <w:tc>
                <w:tcPr>
                  <w:tcW w:w="683" w:type="pct"/>
                  <w:vAlign w:val="center"/>
                </w:tcPr>
                <w:p w14:paraId="52C8C7E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100</w:t>
                  </w:r>
                </w:p>
              </w:tc>
              <w:tc>
                <w:tcPr>
                  <w:tcW w:w="995" w:type="pct"/>
                  <w:shd w:val="clear" w:color="auto" w:fill="auto"/>
                  <w:vAlign w:val="center"/>
                </w:tcPr>
                <w:p w14:paraId="7AA8A00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0.5</w:t>
                  </w:r>
                </w:p>
              </w:tc>
              <w:tc>
                <w:tcPr>
                  <w:tcW w:w="655" w:type="pct"/>
                  <w:vAlign w:val="center"/>
                </w:tcPr>
                <w:p w14:paraId="38C2095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3885E9A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1C971EC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2</w:t>
                  </w:r>
                </w:p>
              </w:tc>
              <w:tc>
                <w:tcPr>
                  <w:tcW w:w="776" w:type="pct"/>
                  <w:shd w:val="clear" w:color="auto" w:fill="auto"/>
                  <w:vAlign w:val="center"/>
                </w:tcPr>
                <w:p w14:paraId="1186650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脱脂剂</w:t>
                  </w:r>
                </w:p>
              </w:tc>
              <w:tc>
                <w:tcPr>
                  <w:tcW w:w="1627" w:type="pct"/>
                  <w:vAlign w:val="center"/>
                </w:tcPr>
                <w:p w14:paraId="32142547">
                  <w:pPr>
                    <w:jc w:val="center"/>
                    <w:rPr>
                      <w:rFonts w:hint="eastAsia"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危害水环境物质（急性毒性类别1）</w:t>
                  </w:r>
                </w:p>
              </w:tc>
              <w:tc>
                <w:tcPr>
                  <w:tcW w:w="683" w:type="pct"/>
                  <w:vAlign w:val="center"/>
                </w:tcPr>
                <w:p w14:paraId="06D1934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100</w:t>
                  </w:r>
                </w:p>
              </w:tc>
              <w:tc>
                <w:tcPr>
                  <w:tcW w:w="995" w:type="pct"/>
                  <w:shd w:val="clear" w:color="auto" w:fill="auto"/>
                  <w:vAlign w:val="center"/>
                </w:tcPr>
                <w:p w14:paraId="311C6E2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0.5</w:t>
                  </w:r>
                </w:p>
              </w:tc>
              <w:tc>
                <w:tcPr>
                  <w:tcW w:w="655" w:type="pct"/>
                  <w:vAlign w:val="center"/>
                </w:tcPr>
                <w:p w14:paraId="1AA20FD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3DF8C26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29B33A7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3</w:t>
                  </w:r>
                </w:p>
              </w:tc>
              <w:tc>
                <w:tcPr>
                  <w:tcW w:w="776" w:type="pct"/>
                  <w:shd w:val="clear" w:color="auto" w:fill="auto"/>
                  <w:vAlign w:val="center"/>
                </w:tcPr>
                <w:p w14:paraId="18190FD0">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表调剂</w:t>
                  </w:r>
                </w:p>
              </w:tc>
              <w:tc>
                <w:tcPr>
                  <w:tcW w:w="1627" w:type="pct"/>
                  <w:vAlign w:val="center"/>
                </w:tcPr>
                <w:p w14:paraId="22C71BDC">
                  <w:pPr>
                    <w:jc w:val="center"/>
                    <w:rPr>
                      <w:rFonts w:hint="eastAsia"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危害水环境物质（急性毒性类别1）</w:t>
                  </w:r>
                </w:p>
              </w:tc>
              <w:tc>
                <w:tcPr>
                  <w:tcW w:w="683" w:type="pct"/>
                  <w:vAlign w:val="center"/>
                </w:tcPr>
                <w:p w14:paraId="06FA851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100</w:t>
                  </w:r>
                </w:p>
              </w:tc>
              <w:tc>
                <w:tcPr>
                  <w:tcW w:w="995" w:type="pct"/>
                  <w:shd w:val="clear" w:color="auto" w:fill="auto"/>
                  <w:vAlign w:val="center"/>
                </w:tcPr>
                <w:p w14:paraId="5894455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0.5</w:t>
                  </w:r>
                </w:p>
              </w:tc>
              <w:tc>
                <w:tcPr>
                  <w:tcW w:w="655" w:type="pct"/>
                  <w:vAlign w:val="center"/>
                </w:tcPr>
                <w:p w14:paraId="5E052D0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4474682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6478055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4</w:t>
                  </w:r>
                </w:p>
              </w:tc>
              <w:tc>
                <w:tcPr>
                  <w:tcW w:w="776" w:type="pct"/>
                  <w:shd w:val="clear" w:color="auto" w:fill="auto"/>
                  <w:vAlign w:val="center"/>
                </w:tcPr>
                <w:p w14:paraId="3618DE8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电泳漆树脂</w:t>
                  </w:r>
                </w:p>
              </w:tc>
              <w:tc>
                <w:tcPr>
                  <w:tcW w:w="1627" w:type="pct"/>
                  <w:shd w:val="clear" w:color="auto" w:fill="auto"/>
                  <w:vAlign w:val="center"/>
                </w:tcPr>
                <w:p w14:paraId="116B69D4">
                  <w:pPr>
                    <w:jc w:val="center"/>
                    <w:rPr>
                      <w:rFonts w:hint="eastAsia"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危害水环境物质（急性毒性类别1）</w:t>
                  </w:r>
                </w:p>
              </w:tc>
              <w:tc>
                <w:tcPr>
                  <w:tcW w:w="683" w:type="pct"/>
                  <w:shd w:val="clear" w:color="auto" w:fill="auto"/>
                  <w:vAlign w:val="center"/>
                </w:tcPr>
                <w:p w14:paraId="6D506AB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100</w:t>
                  </w:r>
                </w:p>
              </w:tc>
              <w:tc>
                <w:tcPr>
                  <w:tcW w:w="995" w:type="pct"/>
                  <w:shd w:val="clear" w:color="auto" w:fill="auto"/>
                  <w:vAlign w:val="center"/>
                </w:tcPr>
                <w:p w14:paraId="7C10FB4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0.5</w:t>
                  </w:r>
                </w:p>
              </w:tc>
              <w:tc>
                <w:tcPr>
                  <w:tcW w:w="655" w:type="pct"/>
                  <w:shd w:val="clear" w:color="auto" w:fill="auto"/>
                  <w:vAlign w:val="center"/>
                </w:tcPr>
                <w:p w14:paraId="2D7A8FD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204A24E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1FCC80C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5</w:t>
                  </w:r>
                </w:p>
              </w:tc>
              <w:tc>
                <w:tcPr>
                  <w:tcW w:w="776" w:type="pct"/>
                  <w:shd w:val="clear" w:color="auto" w:fill="auto"/>
                  <w:vAlign w:val="center"/>
                </w:tcPr>
                <w:p w14:paraId="4093EEA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电泳漆色浆</w:t>
                  </w:r>
                </w:p>
              </w:tc>
              <w:tc>
                <w:tcPr>
                  <w:tcW w:w="1627" w:type="pct"/>
                  <w:shd w:val="clear" w:color="auto" w:fill="auto"/>
                  <w:vAlign w:val="center"/>
                </w:tcPr>
                <w:p w14:paraId="4D8B5327">
                  <w:pPr>
                    <w:jc w:val="center"/>
                    <w:rPr>
                      <w:rFonts w:hint="eastAsia"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66C01CD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7592CDE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0.25</w:t>
                  </w:r>
                </w:p>
              </w:tc>
              <w:tc>
                <w:tcPr>
                  <w:tcW w:w="655" w:type="pct"/>
                  <w:shd w:val="clear" w:color="auto" w:fill="auto"/>
                  <w:vAlign w:val="center"/>
                </w:tcPr>
                <w:p w14:paraId="74D070B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2969503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1A0C91B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6</w:t>
                  </w:r>
                </w:p>
              </w:tc>
              <w:tc>
                <w:tcPr>
                  <w:tcW w:w="776" w:type="pct"/>
                  <w:shd w:val="clear" w:color="auto" w:fill="auto"/>
                  <w:vAlign w:val="center"/>
                </w:tcPr>
                <w:p w14:paraId="50B749A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硫酸（98%）</w:t>
                  </w:r>
                </w:p>
              </w:tc>
              <w:tc>
                <w:tcPr>
                  <w:tcW w:w="1627" w:type="pct"/>
                  <w:shd w:val="clear" w:color="auto" w:fill="auto"/>
                  <w:vAlign w:val="center"/>
                </w:tcPr>
                <w:p w14:paraId="503E8B61">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7664-93-9</w:t>
                  </w:r>
                </w:p>
              </w:tc>
              <w:tc>
                <w:tcPr>
                  <w:tcW w:w="683" w:type="pct"/>
                  <w:shd w:val="clear" w:color="auto" w:fill="auto"/>
                  <w:vAlign w:val="center"/>
                </w:tcPr>
                <w:p w14:paraId="388C99C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10</w:t>
                  </w:r>
                </w:p>
              </w:tc>
              <w:tc>
                <w:tcPr>
                  <w:tcW w:w="995" w:type="pct"/>
                  <w:shd w:val="clear" w:color="auto" w:fill="auto"/>
                  <w:vAlign w:val="center"/>
                </w:tcPr>
                <w:p w14:paraId="74BBF97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0.1</w:t>
                  </w:r>
                </w:p>
              </w:tc>
              <w:tc>
                <w:tcPr>
                  <w:tcW w:w="655" w:type="pct"/>
                  <w:shd w:val="clear" w:color="auto" w:fill="auto"/>
                  <w:vAlign w:val="center"/>
                </w:tcPr>
                <w:p w14:paraId="217402D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0.01</w:t>
                  </w:r>
                </w:p>
              </w:tc>
            </w:tr>
            <w:tr w14:paraId="136D295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62" w:type="pct"/>
                  <w:vAlign w:val="center"/>
                </w:tcPr>
                <w:p w14:paraId="58DA74F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7</w:t>
                  </w:r>
                </w:p>
              </w:tc>
              <w:tc>
                <w:tcPr>
                  <w:tcW w:w="776" w:type="pct"/>
                  <w:shd w:val="clear" w:color="auto" w:fill="auto"/>
                  <w:vAlign w:val="center"/>
                </w:tcPr>
                <w:p w14:paraId="4109379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盐酸（31%）</w:t>
                  </w:r>
                </w:p>
              </w:tc>
              <w:tc>
                <w:tcPr>
                  <w:tcW w:w="1627" w:type="pct"/>
                  <w:shd w:val="clear" w:color="auto" w:fill="auto"/>
                  <w:vAlign w:val="center"/>
                </w:tcPr>
                <w:p w14:paraId="5E1F7CA4">
                  <w:pPr>
                    <w:jc w:val="center"/>
                    <w:rPr>
                      <w:rFonts w:hint="eastAsia" w:eastAsia="仿宋" w:cs="Times New Roman"/>
                      <w:color w:val="auto"/>
                      <w:szCs w:val="21"/>
                      <w:lang w:val="en-US" w:eastAsia="zh-CN"/>
                    </w:rPr>
                  </w:pPr>
                  <w:r>
                    <w:rPr>
                      <w:rFonts w:hint="eastAsia" w:eastAsia="仿宋" w:cs="Times New Roman"/>
                      <w:color w:val="auto"/>
                      <w:szCs w:val="21"/>
                      <w:lang w:val="en-US" w:eastAsia="zh-CN"/>
                    </w:rPr>
                    <w:t>7647-01-0</w:t>
                  </w:r>
                </w:p>
              </w:tc>
              <w:tc>
                <w:tcPr>
                  <w:tcW w:w="683" w:type="pct"/>
                  <w:shd w:val="clear" w:color="auto" w:fill="auto"/>
                  <w:vAlign w:val="center"/>
                </w:tcPr>
                <w:p w14:paraId="3B0CA17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7.5</w:t>
                  </w:r>
                </w:p>
              </w:tc>
              <w:tc>
                <w:tcPr>
                  <w:tcW w:w="995" w:type="pct"/>
                  <w:shd w:val="clear" w:color="auto" w:fill="auto"/>
                  <w:vAlign w:val="center"/>
                </w:tcPr>
                <w:p w14:paraId="2D048AA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0.168</w:t>
                  </w:r>
                  <w:r>
                    <w:rPr>
                      <w:rFonts w:hint="eastAsia" w:ascii="Times New Roman" w:hAnsi="Times New Roman" w:eastAsia="仿宋" w:cs="Times New Roman"/>
                      <w:bCs/>
                      <w:color w:val="auto"/>
                      <w:sz w:val="21"/>
                      <w:szCs w:val="21"/>
                      <w:highlight w:val="none"/>
                      <w:vertAlign w:val="baseline"/>
                      <w:lang w:val="en-US" w:eastAsia="zh-CN"/>
                    </w:rPr>
                    <w:t>*</w:t>
                  </w:r>
                </w:p>
              </w:tc>
              <w:tc>
                <w:tcPr>
                  <w:tcW w:w="655" w:type="pct"/>
                  <w:shd w:val="clear" w:color="auto" w:fill="auto"/>
                  <w:vAlign w:val="center"/>
                </w:tcPr>
                <w:p w14:paraId="02594DC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0.0224</w:t>
                  </w:r>
                </w:p>
              </w:tc>
            </w:tr>
            <w:tr w14:paraId="7E0FBA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49E38760">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8</w:t>
                  </w:r>
                </w:p>
              </w:tc>
              <w:tc>
                <w:tcPr>
                  <w:tcW w:w="776" w:type="pct"/>
                  <w:shd w:val="clear" w:color="auto" w:fill="auto"/>
                  <w:vAlign w:val="center"/>
                </w:tcPr>
                <w:p w14:paraId="06BF9D9F">
                  <w:pPr>
                    <w:keepNext w:val="0"/>
                    <w:keepLines w:val="0"/>
                    <w:pageBreakBefore w:val="0"/>
                    <w:kinsoku/>
                    <w:wordWrap/>
                    <w:overflowPunct/>
                    <w:topLinePunct w:val="0"/>
                    <w:autoSpaceDE/>
                    <w:autoSpaceDN/>
                    <w:bidi w:val="0"/>
                    <w:spacing w:line="240" w:lineRule="auto"/>
                    <w:jc w:val="center"/>
                    <w:rPr>
                      <w:rFonts w:hint="default" w:eastAsia="仿宋" w:cs="Times New Roman"/>
                      <w:color w:val="auto"/>
                      <w:szCs w:val="21"/>
                      <w:lang w:val="en-US" w:eastAsia="zh-CN"/>
                    </w:rPr>
                  </w:pPr>
                  <w:r>
                    <w:rPr>
                      <w:rFonts w:hint="eastAsia" w:eastAsia="仿宋" w:cs="Times New Roman"/>
                      <w:color w:val="auto"/>
                      <w:szCs w:val="21"/>
                      <w:lang w:val="en-US" w:eastAsia="zh-CN"/>
                    </w:rPr>
                    <w:t>氢氧化钠</w:t>
                  </w:r>
                </w:p>
              </w:tc>
              <w:tc>
                <w:tcPr>
                  <w:tcW w:w="1627" w:type="pct"/>
                  <w:shd w:val="clear" w:color="auto" w:fill="auto"/>
                  <w:vAlign w:val="center"/>
                </w:tcPr>
                <w:p w14:paraId="0A554377">
                  <w:pPr>
                    <w:keepNext w:val="0"/>
                    <w:keepLines w:val="0"/>
                    <w:pageBreakBefore w:val="0"/>
                    <w:kinsoku/>
                    <w:wordWrap/>
                    <w:overflowPunct/>
                    <w:topLinePunct w:val="0"/>
                    <w:autoSpaceDE/>
                    <w:autoSpaceDN/>
                    <w:bidi w:val="0"/>
                    <w:spacing w:line="240" w:lineRule="auto"/>
                    <w:jc w:val="center"/>
                    <w:rPr>
                      <w:rFonts w:hint="eastAsia" w:eastAsia="仿宋" w:cs="Times New Roman"/>
                      <w:color w:val="auto"/>
                      <w:szCs w:val="21"/>
                      <w:lang w:val="en-US" w:eastAsia="zh-CN"/>
                    </w:rPr>
                  </w:pPr>
                  <w:r>
                    <w:rPr>
                      <w:rFonts w:hint="eastAsia" w:eastAsia="仿宋" w:cs="Times New Roman"/>
                      <w:color w:val="auto"/>
                      <w:szCs w:val="21"/>
                      <w:lang w:val="en-US" w:eastAsia="zh-CN"/>
                    </w:rPr>
                    <w:t>1310-73-2</w:t>
                  </w:r>
                </w:p>
              </w:tc>
              <w:tc>
                <w:tcPr>
                  <w:tcW w:w="683" w:type="pct"/>
                  <w:shd w:val="clear" w:color="auto" w:fill="auto"/>
                  <w:vAlign w:val="center"/>
                </w:tcPr>
                <w:p w14:paraId="026821C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200</w:t>
                  </w:r>
                </w:p>
              </w:tc>
              <w:tc>
                <w:tcPr>
                  <w:tcW w:w="995" w:type="pct"/>
                  <w:shd w:val="clear" w:color="auto" w:fill="auto"/>
                  <w:vAlign w:val="center"/>
                </w:tcPr>
                <w:p w14:paraId="700C88D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1</w:t>
                  </w:r>
                </w:p>
              </w:tc>
              <w:tc>
                <w:tcPr>
                  <w:tcW w:w="655" w:type="pct"/>
                  <w:shd w:val="clear" w:color="auto" w:fill="auto"/>
                  <w:vAlign w:val="center"/>
                </w:tcPr>
                <w:p w14:paraId="3BFE6BA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0.005</w:t>
                  </w:r>
                </w:p>
              </w:tc>
            </w:tr>
            <w:tr w14:paraId="49028FC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355F7C3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9</w:t>
                  </w:r>
                </w:p>
              </w:tc>
              <w:tc>
                <w:tcPr>
                  <w:tcW w:w="776" w:type="pct"/>
                  <w:shd w:val="clear" w:color="auto" w:fill="auto"/>
                  <w:vAlign w:val="center"/>
                </w:tcPr>
                <w:p w14:paraId="36EB88B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color w:val="auto"/>
                      <w:szCs w:val="21"/>
                      <w:lang w:val="en-US" w:eastAsia="zh-CN"/>
                    </w:rPr>
                    <w:t>润滑油</w:t>
                  </w:r>
                </w:p>
              </w:tc>
              <w:tc>
                <w:tcPr>
                  <w:tcW w:w="1627" w:type="pct"/>
                  <w:shd w:val="clear" w:color="auto" w:fill="auto"/>
                  <w:vAlign w:val="center"/>
                </w:tcPr>
                <w:p w14:paraId="5915EA51">
                  <w:pPr>
                    <w:keepNext w:val="0"/>
                    <w:keepLines w:val="0"/>
                    <w:pageBreakBefore w:val="0"/>
                    <w:kinsoku/>
                    <w:wordWrap/>
                    <w:overflowPunct/>
                    <w:topLinePunct w:val="0"/>
                    <w:autoSpaceDE/>
                    <w:autoSpaceDN/>
                    <w:bidi w:val="0"/>
                    <w:spacing w:line="240" w:lineRule="auto"/>
                    <w:jc w:val="center"/>
                    <w:rPr>
                      <w:rFonts w:hint="eastAsia" w:eastAsia="仿宋" w:cs="Times New Roman"/>
                      <w:color w:val="auto"/>
                      <w:szCs w:val="21"/>
                      <w:lang w:val="en-US" w:eastAsia="zh-CN"/>
                    </w:rPr>
                  </w:pPr>
                  <w:r>
                    <w:rPr>
                      <w:rFonts w:hint="eastAsia" w:eastAsia="仿宋" w:cs="Times New Roman"/>
                      <w:color w:val="auto"/>
                      <w:szCs w:val="21"/>
                      <w:lang w:val="en-US" w:eastAsia="zh-CN"/>
                    </w:rPr>
                    <w:t>油类物质（矿物油类，如石油、汽油、柴油等；生物柴油等）</w:t>
                  </w:r>
                </w:p>
              </w:tc>
              <w:tc>
                <w:tcPr>
                  <w:tcW w:w="683" w:type="pct"/>
                  <w:shd w:val="clear" w:color="auto" w:fill="auto"/>
                  <w:vAlign w:val="center"/>
                </w:tcPr>
                <w:p w14:paraId="0F3B9D7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2500</w:t>
                  </w:r>
                </w:p>
              </w:tc>
              <w:tc>
                <w:tcPr>
                  <w:tcW w:w="995" w:type="pct"/>
                  <w:shd w:val="clear" w:color="auto" w:fill="auto"/>
                  <w:vAlign w:val="center"/>
                </w:tcPr>
                <w:p w14:paraId="37103AB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w:t>
                  </w:r>
                  <w:r>
                    <w:rPr>
                      <w:rFonts w:hint="eastAsia" w:eastAsia="仿宋" w:cs="Times New Roman"/>
                      <w:bCs/>
                      <w:color w:val="auto"/>
                      <w:sz w:val="21"/>
                      <w:szCs w:val="21"/>
                      <w:highlight w:val="none"/>
                      <w:vertAlign w:val="baseline"/>
                      <w:lang w:val="en-US" w:eastAsia="zh-CN"/>
                    </w:rPr>
                    <w:t>174</w:t>
                  </w:r>
                </w:p>
              </w:tc>
              <w:tc>
                <w:tcPr>
                  <w:tcW w:w="655" w:type="pct"/>
                  <w:shd w:val="clear" w:color="auto" w:fill="auto"/>
                  <w:vAlign w:val="center"/>
                </w:tcPr>
                <w:p w14:paraId="66BFF89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0.0000</w:t>
                  </w:r>
                  <w:r>
                    <w:rPr>
                      <w:rFonts w:hint="eastAsia" w:eastAsia="仿宋" w:cs="Times New Roman"/>
                      <w:bCs/>
                      <w:color w:val="auto"/>
                      <w:sz w:val="21"/>
                      <w:szCs w:val="21"/>
                      <w:highlight w:val="none"/>
                      <w:vertAlign w:val="baseline"/>
                      <w:lang w:val="en-US" w:eastAsia="zh-CN"/>
                    </w:rPr>
                    <w:t>696</w:t>
                  </w:r>
                </w:p>
              </w:tc>
            </w:tr>
            <w:tr w14:paraId="275B1F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7F07F56B">
                  <w:pPr>
                    <w:keepNext w:val="0"/>
                    <w:keepLines w:val="0"/>
                    <w:pageBreakBefore w:val="0"/>
                    <w:kinsoku/>
                    <w:wordWrap/>
                    <w:overflowPunct/>
                    <w:topLinePunct w:val="0"/>
                    <w:autoSpaceDE/>
                    <w:autoSpaceDN/>
                    <w:bidi w:val="0"/>
                    <w:spacing w:line="240" w:lineRule="auto"/>
                    <w:jc w:val="center"/>
                    <w:rPr>
                      <w:rFonts w:hint="default"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10</w:t>
                  </w:r>
                </w:p>
              </w:tc>
              <w:tc>
                <w:tcPr>
                  <w:tcW w:w="776" w:type="pct"/>
                  <w:shd w:val="clear" w:color="auto" w:fill="auto"/>
                  <w:vAlign w:val="center"/>
                </w:tcPr>
                <w:p w14:paraId="6A5DC215">
                  <w:pPr>
                    <w:keepNext w:val="0"/>
                    <w:keepLines w:val="0"/>
                    <w:pageBreakBefore w:val="0"/>
                    <w:kinsoku/>
                    <w:wordWrap/>
                    <w:overflowPunct/>
                    <w:topLinePunct w:val="0"/>
                    <w:autoSpaceDE/>
                    <w:autoSpaceDN/>
                    <w:bidi w:val="0"/>
                    <w:spacing w:line="240" w:lineRule="auto"/>
                    <w:jc w:val="center"/>
                    <w:rPr>
                      <w:rFonts w:hint="default" w:eastAsia="仿宋" w:cs="Times New Roman"/>
                      <w:color w:val="auto"/>
                      <w:szCs w:val="21"/>
                      <w:lang w:val="en-US" w:eastAsia="zh-CN"/>
                    </w:rPr>
                  </w:pPr>
                  <w:r>
                    <w:rPr>
                      <w:rFonts w:hint="eastAsia" w:eastAsia="仿宋" w:cs="Times New Roman"/>
                      <w:color w:val="auto"/>
                      <w:szCs w:val="21"/>
                      <w:lang w:val="en-US" w:eastAsia="zh-CN"/>
                    </w:rPr>
                    <w:t>管道天然气</w:t>
                  </w:r>
                </w:p>
              </w:tc>
              <w:tc>
                <w:tcPr>
                  <w:tcW w:w="1627" w:type="pct"/>
                  <w:shd w:val="clear" w:color="auto" w:fill="auto"/>
                  <w:vAlign w:val="center"/>
                </w:tcPr>
                <w:p w14:paraId="3F119D71">
                  <w:pPr>
                    <w:keepNext w:val="0"/>
                    <w:keepLines w:val="0"/>
                    <w:pageBreakBefore w:val="0"/>
                    <w:kinsoku/>
                    <w:wordWrap/>
                    <w:overflowPunct/>
                    <w:topLinePunct w:val="0"/>
                    <w:autoSpaceDE/>
                    <w:autoSpaceDN/>
                    <w:bidi w:val="0"/>
                    <w:spacing w:line="240" w:lineRule="auto"/>
                    <w:jc w:val="center"/>
                    <w:rPr>
                      <w:rFonts w:hint="default" w:eastAsia="仿宋" w:cs="Times New Roman"/>
                      <w:color w:val="auto"/>
                      <w:szCs w:val="21"/>
                      <w:lang w:val="en-US" w:eastAsia="zh-CN"/>
                    </w:rPr>
                  </w:pPr>
                  <w:r>
                    <w:rPr>
                      <w:rFonts w:hint="eastAsia" w:eastAsia="仿宋" w:cs="Times New Roman"/>
                      <w:color w:val="auto"/>
                      <w:szCs w:val="21"/>
                      <w:lang w:val="en-US" w:eastAsia="zh-CN"/>
                    </w:rPr>
                    <w:t>74-82-8</w:t>
                  </w:r>
                </w:p>
              </w:tc>
              <w:tc>
                <w:tcPr>
                  <w:tcW w:w="683" w:type="pct"/>
                  <w:shd w:val="clear" w:color="auto" w:fill="auto"/>
                  <w:vAlign w:val="center"/>
                </w:tcPr>
                <w:p w14:paraId="172D4B7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10</w:t>
                  </w:r>
                </w:p>
              </w:tc>
              <w:tc>
                <w:tcPr>
                  <w:tcW w:w="995" w:type="pct"/>
                  <w:shd w:val="clear" w:color="auto" w:fill="auto"/>
                  <w:vAlign w:val="center"/>
                </w:tcPr>
                <w:p w14:paraId="56C63DF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0.0015</w:t>
                  </w:r>
                </w:p>
              </w:tc>
              <w:tc>
                <w:tcPr>
                  <w:tcW w:w="655" w:type="pct"/>
                  <w:shd w:val="clear" w:color="auto" w:fill="auto"/>
                  <w:vAlign w:val="center"/>
                </w:tcPr>
                <w:p w14:paraId="39F41D3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0.00015</w:t>
                  </w:r>
                </w:p>
              </w:tc>
            </w:tr>
            <w:tr w14:paraId="4DE71D9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5A05222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11</w:t>
                  </w:r>
                </w:p>
              </w:tc>
              <w:tc>
                <w:tcPr>
                  <w:tcW w:w="776" w:type="pct"/>
                  <w:shd w:val="clear" w:color="auto" w:fill="auto"/>
                  <w:vAlign w:val="center"/>
                </w:tcPr>
                <w:p w14:paraId="72149A4B">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脱脂废液</w:t>
                  </w:r>
                </w:p>
              </w:tc>
              <w:tc>
                <w:tcPr>
                  <w:tcW w:w="1627" w:type="pct"/>
                  <w:shd w:val="clear" w:color="auto" w:fill="auto"/>
                  <w:vAlign w:val="center"/>
                </w:tcPr>
                <w:p w14:paraId="54BC1CDA">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2561F97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3459A92C">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5.25</w:t>
                  </w:r>
                </w:p>
              </w:tc>
              <w:tc>
                <w:tcPr>
                  <w:tcW w:w="655" w:type="pct"/>
                  <w:shd w:val="clear" w:color="auto" w:fill="auto"/>
                  <w:vAlign w:val="center"/>
                </w:tcPr>
                <w:p w14:paraId="5E7606F1">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0.105</w:t>
                  </w:r>
                </w:p>
              </w:tc>
            </w:tr>
            <w:tr w14:paraId="42788BF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61E725F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12</w:t>
                  </w:r>
                </w:p>
              </w:tc>
              <w:tc>
                <w:tcPr>
                  <w:tcW w:w="776" w:type="pct"/>
                  <w:shd w:val="clear" w:color="auto" w:fill="auto"/>
                  <w:vAlign w:val="center"/>
                </w:tcPr>
                <w:p w14:paraId="6B8E29B4">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酸洗废液</w:t>
                  </w:r>
                </w:p>
              </w:tc>
              <w:tc>
                <w:tcPr>
                  <w:tcW w:w="1627" w:type="pct"/>
                  <w:shd w:val="clear" w:color="auto" w:fill="auto"/>
                  <w:vAlign w:val="center"/>
                </w:tcPr>
                <w:p w14:paraId="6F349332">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20491D1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6D687F94">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5.25</w:t>
                  </w:r>
                </w:p>
              </w:tc>
              <w:tc>
                <w:tcPr>
                  <w:tcW w:w="655" w:type="pct"/>
                  <w:shd w:val="clear" w:color="auto" w:fill="auto"/>
                  <w:vAlign w:val="center"/>
                </w:tcPr>
                <w:p w14:paraId="2FD9507F">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0.105</w:t>
                  </w:r>
                </w:p>
              </w:tc>
            </w:tr>
            <w:tr w14:paraId="532BFFB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469E609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13</w:t>
                  </w:r>
                </w:p>
              </w:tc>
              <w:tc>
                <w:tcPr>
                  <w:tcW w:w="776" w:type="pct"/>
                  <w:shd w:val="clear" w:color="auto" w:fill="auto"/>
                  <w:vAlign w:val="center"/>
                </w:tcPr>
                <w:p w14:paraId="020C0990">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中和废液</w:t>
                  </w:r>
                </w:p>
              </w:tc>
              <w:tc>
                <w:tcPr>
                  <w:tcW w:w="1627" w:type="pct"/>
                  <w:shd w:val="clear" w:color="auto" w:fill="auto"/>
                  <w:vAlign w:val="center"/>
                </w:tcPr>
                <w:p w14:paraId="3E825762">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62BA782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336F8468">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655" w:type="pct"/>
                  <w:shd w:val="clear" w:color="auto" w:fill="auto"/>
                  <w:vAlign w:val="center"/>
                </w:tcPr>
                <w:p w14:paraId="7BBF8E7C">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0.0412</w:t>
                  </w:r>
                </w:p>
              </w:tc>
            </w:tr>
            <w:tr w14:paraId="1EB6630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541EAE9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14</w:t>
                  </w:r>
                </w:p>
              </w:tc>
              <w:tc>
                <w:tcPr>
                  <w:tcW w:w="776" w:type="pct"/>
                  <w:shd w:val="clear" w:color="auto" w:fill="auto"/>
                  <w:vAlign w:val="center"/>
                </w:tcPr>
                <w:p w14:paraId="14477755">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硅烷废液</w:t>
                  </w:r>
                </w:p>
              </w:tc>
              <w:tc>
                <w:tcPr>
                  <w:tcW w:w="1627" w:type="pct"/>
                  <w:shd w:val="clear" w:color="auto" w:fill="auto"/>
                  <w:vAlign w:val="center"/>
                </w:tcPr>
                <w:p w14:paraId="1C21CF83">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40A5D20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112D554C">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55" w:type="pct"/>
                  <w:shd w:val="clear" w:color="auto" w:fill="auto"/>
                  <w:vAlign w:val="center"/>
                </w:tcPr>
                <w:p w14:paraId="241C1459">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r>
            <w:tr w14:paraId="2A62253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764F2D8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15</w:t>
                  </w:r>
                </w:p>
              </w:tc>
              <w:tc>
                <w:tcPr>
                  <w:tcW w:w="776" w:type="pct"/>
                  <w:shd w:val="clear" w:color="auto" w:fill="auto"/>
                  <w:vAlign w:val="center"/>
                </w:tcPr>
                <w:p w14:paraId="492C0C00">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表调废液</w:t>
                  </w:r>
                </w:p>
              </w:tc>
              <w:tc>
                <w:tcPr>
                  <w:tcW w:w="1627" w:type="pct"/>
                  <w:shd w:val="clear" w:color="auto" w:fill="auto"/>
                  <w:vAlign w:val="center"/>
                </w:tcPr>
                <w:p w14:paraId="1A86C1FE">
                  <w:pPr>
                    <w:pStyle w:val="40"/>
                    <w:adjustRightInd w:val="0"/>
                    <w:snapToGrid w:val="0"/>
                    <w:jc w:val="center"/>
                    <w:rPr>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shd w:val="clear" w:color="auto" w:fill="auto"/>
                  <w:vAlign w:val="center"/>
                </w:tcPr>
                <w:p w14:paraId="5712213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shd w:val="clear" w:color="auto" w:fill="auto"/>
                  <w:vAlign w:val="center"/>
                </w:tcPr>
                <w:p w14:paraId="502F8C22">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655" w:type="pct"/>
                  <w:shd w:val="clear" w:color="auto" w:fill="auto"/>
                  <w:vAlign w:val="center"/>
                </w:tcPr>
                <w:p w14:paraId="5FA5C7B8">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0.0384</w:t>
                  </w:r>
                </w:p>
              </w:tc>
            </w:tr>
            <w:tr w14:paraId="240715C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76AC97B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16</w:t>
                  </w:r>
                </w:p>
              </w:tc>
              <w:tc>
                <w:tcPr>
                  <w:tcW w:w="776" w:type="pct"/>
                  <w:shd w:val="clear" w:color="auto" w:fill="auto"/>
                  <w:vAlign w:val="center"/>
                </w:tcPr>
                <w:p w14:paraId="72E2185F">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w:t>
                  </w:r>
                  <w:r>
                    <w:rPr>
                      <w:rFonts w:hint="eastAsia" w:ascii="Times New Roman" w:hAnsi="Times New Roman" w:eastAsia="仿宋" w:cs="Times New Roman"/>
                      <w:color w:val="auto"/>
                      <w:sz w:val="21"/>
                      <w:szCs w:val="21"/>
                      <w:highlight w:val="none"/>
                      <w:lang w:val="en-US" w:eastAsia="zh-CN"/>
                    </w:rPr>
                    <w:t>润滑油</w:t>
                  </w:r>
                </w:p>
              </w:tc>
              <w:tc>
                <w:tcPr>
                  <w:tcW w:w="1627" w:type="pct"/>
                  <w:vAlign w:val="center"/>
                </w:tcPr>
                <w:p w14:paraId="74C7DE44">
                  <w:pPr>
                    <w:pStyle w:val="40"/>
                    <w:adjustRightInd w:val="0"/>
                    <w:snapToGrid w:val="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油类物质（矿物油类，如石油、汽油、柴油等；生物柴油等）</w:t>
                  </w:r>
                </w:p>
              </w:tc>
              <w:tc>
                <w:tcPr>
                  <w:tcW w:w="683" w:type="pct"/>
                  <w:vAlign w:val="center"/>
                </w:tcPr>
                <w:p w14:paraId="51B0A85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2500</w:t>
                  </w:r>
                </w:p>
              </w:tc>
              <w:tc>
                <w:tcPr>
                  <w:tcW w:w="995" w:type="pct"/>
                  <w:vAlign w:val="center"/>
                </w:tcPr>
                <w:p w14:paraId="3B2307CA">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655" w:type="pct"/>
                  <w:vAlign w:val="center"/>
                </w:tcPr>
                <w:p w14:paraId="4A9F519B">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0.000004</w:t>
                  </w:r>
                </w:p>
              </w:tc>
            </w:tr>
            <w:tr w14:paraId="6D6F14A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shd w:val="clear" w:color="auto" w:fill="auto"/>
                  <w:vAlign w:val="center"/>
                </w:tcPr>
                <w:p w14:paraId="5448103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kern w:val="2"/>
                      <w:sz w:val="21"/>
                      <w:szCs w:val="21"/>
                      <w:highlight w:val="none"/>
                      <w:vertAlign w:val="baseline"/>
                      <w:lang w:val="en-US" w:eastAsia="zh-CN" w:bidi="ar-SA"/>
                    </w:rPr>
                  </w:pPr>
                  <w:r>
                    <w:rPr>
                      <w:rFonts w:hint="eastAsia" w:eastAsia="仿宋" w:cs="Times New Roman"/>
                      <w:bCs/>
                      <w:color w:val="auto"/>
                      <w:sz w:val="21"/>
                      <w:szCs w:val="21"/>
                      <w:highlight w:val="none"/>
                      <w:vertAlign w:val="baseline"/>
                      <w:lang w:val="en-US" w:eastAsia="zh-CN"/>
                    </w:rPr>
                    <w:t>17</w:t>
                  </w:r>
                </w:p>
              </w:tc>
              <w:tc>
                <w:tcPr>
                  <w:tcW w:w="776" w:type="pct"/>
                  <w:shd w:val="clear" w:color="auto" w:fill="auto"/>
                  <w:vAlign w:val="center"/>
                </w:tcPr>
                <w:p w14:paraId="1D859F28">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喷淋废液</w:t>
                  </w:r>
                </w:p>
              </w:tc>
              <w:tc>
                <w:tcPr>
                  <w:tcW w:w="1627" w:type="pct"/>
                  <w:vAlign w:val="center"/>
                </w:tcPr>
                <w:p w14:paraId="416501D5">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vAlign w:val="center"/>
                </w:tcPr>
                <w:p w14:paraId="41FD660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ascii="Times New Roman" w:hAnsi="Times New Roman" w:eastAsia="仿宋" w:cs="Times New Roman"/>
                      <w:bCs/>
                      <w:color w:val="auto"/>
                      <w:sz w:val="21"/>
                      <w:szCs w:val="21"/>
                      <w:highlight w:val="none"/>
                      <w:vertAlign w:val="baseline"/>
                      <w:lang w:val="en-US" w:eastAsia="zh-CN"/>
                    </w:rPr>
                    <w:t>50</w:t>
                  </w:r>
                </w:p>
              </w:tc>
              <w:tc>
                <w:tcPr>
                  <w:tcW w:w="995" w:type="pct"/>
                  <w:vAlign w:val="center"/>
                </w:tcPr>
                <w:p w14:paraId="0ECC82FE">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655" w:type="pct"/>
                  <w:vAlign w:val="center"/>
                </w:tcPr>
                <w:p w14:paraId="461FE3BF">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751289B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5D72FCC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18</w:t>
                  </w:r>
                </w:p>
              </w:tc>
              <w:tc>
                <w:tcPr>
                  <w:tcW w:w="776" w:type="pct"/>
                  <w:shd w:val="clear" w:color="auto" w:fill="auto"/>
                  <w:vAlign w:val="center"/>
                </w:tcPr>
                <w:p w14:paraId="2221EB4E">
                  <w:pPr>
                    <w:pStyle w:val="40"/>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污泥</w:t>
                  </w:r>
                </w:p>
              </w:tc>
              <w:tc>
                <w:tcPr>
                  <w:tcW w:w="1627" w:type="pct"/>
                  <w:vAlign w:val="center"/>
                </w:tcPr>
                <w:p w14:paraId="393FCC75">
                  <w:pPr>
                    <w:pStyle w:val="40"/>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健康危险急性毒性物质（类别2，类别3）</w:t>
                  </w:r>
                </w:p>
              </w:tc>
              <w:tc>
                <w:tcPr>
                  <w:tcW w:w="683" w:type="pct"/>
                  <w:vAlign w:val="center"/>
                </w:tcPr>
                <w:p w14:paraId="7812155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50</w:t>
                  </w:r>
                </w:p>
              </w:tc>
              <w:tc>
                <w:tcPr>
                  <w:tcW w:w="995" w:type="pct"/>
                  <w:vAlign w:val="center"/>
                </w:tcPr>
                <w:p w14:paraId="7DDCB6F6">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9.5625</w:t>
                  </w:r>
                </w:p>
              </w:tc>
              <w:tc>
                <w:tcPr>
                  <w:tcW w:w="655" w:type="pct"/>
                  <w:vAlign w:val="center"/>
                </w:tcPr>
                <w:p w14:paraId="2C915DA2">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0.19125</w:t>
                  </w:r>
                </w:p>
              </w:tc>
            </w:tr>
            <w:tr w14:paraId="0A03962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44" w:type="pct"/>
                  <w:gridSpan w:val="5"/>
                  <w:vAlign w:val="center"/>
                </w:tcPr>
                <w:p w14:paraId="6D2A14C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仿宋" w:cs="Times New Roman"/>
                      <w:bCs/>
                      <w:color w:val="auto"/>
                      <w:sz w:val="21"/>
                      <w:szCs w:val="21"/>
                      <w:highlight w:val="none"/>
                      <w:vertAlign w:val="baseline"/>
                      <w:lang w:val="en-US" w:eastAsia="zh-CN"/>
                    </w:rPr>
                  </w:pPr>
                  <w:r>
                    <w:rPr>
                      <w:rFonts w:hint="default" w:ascii="Times New Roman" w:hAnsi="Times New Roman" w:eastAsia="仿宋" w:cs="Times New Roman"/>
                      <w:bCs/>
                      <w:color w:val="auto"/>
                      <w:sz w:val="21"/>
                      <w:szCs w:val="21"/>
                      <w:highlight w:val="none"/>
                      <w:vertAlign w:val="baseline"/>
                      <w:lang w:val="en-US" w:eastAsia="zh-CN"/>
                    </w:rPr>
                    <w:t>合计</w:t>
                  </w:r>
                </w:p>
              </w:tc>
              <w:tc>
                <w:tcPr>
                  <w:tcW w:w="655" w:type="pct"/>
                  <w:vAlign w:val="center"/>
                </w:tcPr>
                <w:p w14:paraId="4633FC1A">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0.6334736</w:t>
                  </w:r>
                </w:p>
              </w:tc>
            </w:tr>
            <w:tr w14:paraId="24CDDEA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46A8B3FE">
                  <w:pPr>
                    <w:keepNext w:val="0"/>
                    <w:keepLines w:val="0"/>
                    <w:widowControl/>
                    <w:suppressLineNumbers w:val="0"/>
                    <w:jc w:val="both"/>
                    <w:textAlignment w:val="center"/>
                    <w:rPr>
                      <w:rFonts w:hint="eastAsia" w:eastAsia="仿宋" w:cs="Times New Roman"/>
                      <w:bCs/>
                      <w:color w:val="auto"/>
                      <w:sz w:val="21"/>
                      <w:szCs w:val="21"/>
                      <w:highlight w:val="none"/>
                      <w:vertAlign w:val="baseline"/>
                      <w:lang w:val="en-US" w:eastAsia="zh-CN"/>
                    </w:rPr>
                  </w:pPr>
                  <w:r>
                    <w:rPr>
                      <w:rFonts w:hint="eastAsia" w:eastAsia="仿宋" w:cs="Times New Roman"/>
                      <w:bCs/>
                      <w:color w:val="auto"/>
                      <w:sz w:val="21"/>
                      <w:szCs w:val="21"/>
                      <w:highlight w:val="none"/>
                      <w:vertAlign w:val="baseline"/>
                      <w:lang w:val="en-US" w:eastAsia="zh-CN"/>
                    </w:rPr>
                    <w:t>注：本项目使用盐酸浓度为31%，已把最大储存量换算成浓度为37%时的储存量。</w:t>
                  </w:r>
                </w:p>
                <w:p w14:paraId="4DAE1E88">
                  <w:pPr>
                    <w:keepNext w:val="0"/>
                    <w:keepLines w:val="0"/>
                    <w:widowControl/>
                    <w:suppressLineNumbers w:val="0"/>
                    <w:jc w:val="both"/>
                    <w:textAlignment w:val="center"/>
                    <w:rPr>
                      <w:rFonts w:hint="eastAsia" w:eastAsia="仿宋" w:cs="Times New Roman"/>
                      <w:bCs/>
                      <w:color w:val="auto"/>
                      <w:sz w:val="21"/>
                      <w:szCs w:val="21"/>
                      <w:highlight w:val="none"/>
                      <w:vertAlign w:val="baseline"/>
                      <w:lang w:val="en-US" w:eastAsia="zh-CN"/>
                    </w:rPr>
                  </w:pPr>
                  <w:r>
                    <w:rPr>
                      <w:rFonts w:hint="eastAsia" w:eastAsia="仿宋"/>
                      <w:bCs/>
                      <w:color w:val="auto"/>
                      <w:szCs w:val="21"/>
                      <w:highlight w:val="none"/>
                    </w:rPr>
                    <w:t>天然气管道直径约为110mm</w:t>
                  </w:r>
                  <w:r>
                    <w:rPr>
                      <w:rFonts w:hint="eastAsia" w:eastAsia="仿宋"/>
                      <w:bCs/>
                      <w:color w:val="auto"/>
                      <w:szCs w:val="21"/>
                      <w:highlight w:val="none"/>
                      <w:lang w:eastAsia="zh-CN"/>
                    </w:rPr>
                    <w:t>，</w:t>
                  </w:r>
                  <w:r>
                    <w:rPr>
                      <w:rFonts w:hint="eastAsia" w:eastAsia="仿宋"/>
                      <w:bCs/>
                      <w:color w:val="auto"/>
                      <w:szCs w:val="21"/>
                      <w:highlight w:val="none"/>
                    </w:rPr>
                    <w:t>管道长度合计约</w:t>
                  </w:r>
                  <w:r>
                    <w:rPr>
                      <w:rFonts w:hint="eastAsia" w:eastAsia="仿宋"/>
                      <w:bCs/>
                      <w:color w:val="auto"/>
                      <w:szCs w:val="21"/>
                      <w:highlight w:val="none"/>
                      <w:lang w:val="en-US" w:eastAsia="zh-CN"/>
                    </w:rPr>
                    <w:t>220</w:t>
                  </w:r>
                  <w:r>
                    <w:rPr>
                      <w:rFonts w:hint="eastAsia" w:eastAsia="仿宋"/>
                      <w:bCs/>
                      <w:color w:val="auto"/>
                      <w:szCs w:val="21"/>
                      <w:highlight w:val="none"/>
                    </w:rPr>
                    <w:t>m，天然气体积约为</w:t>
                  </w:r>
                  <w:r>
                    <w:rPr>
                      <w:rFonts w:hint="eastAsia" w:eastAsia="仿宋"/>
                      <w:bCs/>
                      <w:color w:val="auto"/>
                      <w:szCs w:val="21"/>
                      <w:highlight w:val="none"/>
                      <w:lang w:val="en-US" w:eastAsia="zh-CN"/>
                    </w:rPr>
                    <w:t>2.09</w:t>
                  </w:r>
                  <w:r>
                    <w:rPr>
                      <w:rFonts w:hint="eastAsia" w:eastAsia="仿宋"/>
                      <w:bCs/>
                      <w:color w:val="auto"/>
                      <w:szCs w:val="21"/>
                      <w:highlight w:val="none"/>
                    </w:rPr>
                    <w:t>m</w:t>
                  </w:r>
                  <w:r>
                    <w:rPr>
                      <w:rFonts w:hint="eastAsia" w:eastAsia="仿宋"/>
                      <w:bCs/>
                      <w:color w:val="auto"/>
                      <w:szCs w:val="21"/>
                      <w:highlight w:val="none"/>
                      <w:vertAlign w:val="superscript"/>
                      <w:lang w:val="en-US" w:eastAsia="zh-CN"/>
                    </w:rPr>
                    <w:t>3</w:t>
                  </w:r>
                  <w:r>
                    <w:rPr>
                      <w:rFonts w:hint="eastAsia" w:eastAsia="仿宋"/>
                      <w:bCs/>
                      <w:color w:val="auto"/>
                      <w:szCs w:val="21"/>
                      <w:highlight w:val="none"/>
                      <w:lang w:eastAsia="zh-CN"/>
                    </w:rPr>
                    <w:t>，</w:t>
                  </w:r>
                  <w:r>
                    <w:rPr>
                      <w:rFonts w:hint="eastAsia" w:eastAsia="仿宋"/>
                      <w:bCs/>
                      <w:color w:val="auto"/>
                      <w:szCs w:val="21"/>
                      <w:highlight w:val="none"/>
                    </w:rPr>
                    <w:t>则天然气最大存在总量约为0.00</w:t>
                  </w:r>
                  <w:r>
                    <w:rPr>
                      <w:rFonts w:hint="eastAsia" w:eastAsia="仿宋"/>
                      <w:bCs/>
                      <w:color w:val="auto"/>
                      <w:szCs w:val="21"/>
                      <w:highlight w:val="none"/>
                      <w:lang w:val="en-US" w:eastAsia="zh-CN"/>
                    </w:rPr>
                    <w:t>1</w:t>
                  </w:r>
                  <w:r>
                    <w:rPr>
                      <w:rFonts w:hint="eastAsia" w:eastAsia="仿宋"/>
                      <w:bCs/>
                      <w:color w:val="auto"/>
                      <w:szCs w:val="21"/>
                      <w:highlight w:val="none"/>
                    </w:rPr>
                    <w:t>5t</w:t>
                  </w:r>
                  <w:r>
                    <w:rPr>
                      <w:rFonts w:hint="eastAsia" w:eastAsia="仿宋"/>
                      <w:bCs/>
                      <w:color w:val="auto"/>
                      <w:szCs w:val="21"/>
                      <w:highlight w:val="none"/>
                      <w:lang w:eastAsia="zh-CN"/>
                    </w:rPr>
                    <w:t>。</w:t>
                  </w:r>
                </w:p>
              </w:tc>
            </w:tr>
          </w:tbl>
          <w:p w14:paraId="7A3EFD4F">
            <w:pPr>
              <w:spacing w:line="360" w:lineRule="auto"/>
              <w:ind w:firstLine="480" w:firstLineChars="200"/>
              <w:rPr>
                <w:bCs/>
                <w:color w:val="auto"/>
                <w:szCs w:val="21"/>
                <w:highlight w:val="none"/>
              </w:rPr>
            </w:pPr>
            <w:r>
              <w:rPr>
                <w:rFonts w:hint="eastAsia"/>
                <w:bCs/>
                <w:color w:val="auto"/>
                <w:sz w:val="24"/>
                <w:szCs w:val="24"/>
                <w:highlight w:val="none"/>
              </w:rPr>
              <w:t>由</w:t>
            </w:r>
            <w:r>
              <w:rPr>
                <w:rFonts w:hint="eastAsia"/>
                <w:bCs/>
                <w:color w:val="auto"/>
                <w:sz w:val="24"/>
                <w:szCs w:val="24"/>
                <w:highlight w:val="none"/>
                <w:lang w:val="en-US" w:eastAsia="zh-CN"/>
              </w:rPr>
              <w:t>上表</w:t>
            </w:r>
            <w:r>
              <w:rPr>
                <w:rFonts w:hint="eastAsia"/>
                <w:bCs/>
                <w:color w:val="auto"/>
                <w:sz w:val="24"/>
                <w:szCs w:val="24"/>
                <w:highlight w:val="none"/>
              </w:rPr>
              <w:t>可知，本项目</w:t>
            </w:r>
            <w:r>
              <w:rPr>
                <w:bCs/>
                <w:color w:val="auto"/>
                <w:sz w:val="24"/>
                <w:szCs w:val="24"/>
                <w:highlight w:val="none"/>
              </w:rPr>
              <w:t>Q</w:t>
            </w:r>
            <w:r>
              <w:rPr>
                <w:rFonts w:hint="eastAsia"/>
                <w:bCs/>
                <w:color w:val="auto"/>
                <w:sz w:val="24"/>
                <w:szCs w:val="24"/>
                <w:highlight w:val="none"/>
              </w:rPr>
              <w:t>＜</w:t>
            </w:r>
            <w:r>
              <w:rPr>
                <w:bCs/>
                <w:color w:val="auto"/>
                <w:sz w:val="24"/>
                <w:szCs w:val="24"/>
                <w:highlight w:val="none"/>
              </w:rPr>
              <w:t>1</w:t>
            </w:r>
            <w:r>
              <w:rPr>
                <w:rFonts w:hint="eastAsia"/>
                <w:bCs/>
                <w:color w:val="auto"/>
                <w:sz w:val="24"/>
                <w:szCs w:val="24"/>
                <w:highlight w:val="none"/>
                <w:lang w:eastAsia="zh-CN"/>
              </w:rPr>
              <w:t>，</w:t>
            </w:r>
            <w:r>
              <w:rPr>
                <w:rFonts w:hint="default" w:ascii="Times New Roman" w:hAnsi="Times New Roman" w:cs="Times New Roman"/>
                <w:color w:val="auto"/>
                <w:kern w:val="0"/>
                <w:sz w:val="24"/>
                <w:szCs w:val="24"/>
                <w:highlight w:val="none"/>
              </w:rPr>
              <w:t>环境风险潜势为Ⅰ</w:t>
            </w:r>
            <w:r>
              <w:rPr>
                <w:rFonts w:hint="default" w:ascii="Times New Roman" w:hAnsi="Times New Roman" w:cs="Times New Roman"/>
                <w:color w:val="auto"/>
                <w:kern w:val="0"/>
                <w:sz w:val="24"/>
                <w:szCs w:val="24"/>
                <w:highlight w:val="none"/>
                <w:lang w:eastAsia="zh-CN"/>
              </w:rPr>
              <w:t>，可进行简单分析</w:t>
            </w:r>
            <w:r>
              <w:rPr>
                <w:rFonts w:hint="eastAsia"/>
                <w:bCs/>
                <w:color w:val="auto"/>
                <w:sz w:val="24"/>
                <w:szCs w:val="24"/>
                <w:highlight w:val="none"/>
              </w:rPr>
              <w:t>。</w:t>
            </w:r>
          </w:p>
          <w:p w14:paraId="5D88C3CC">
            <w:pPr>
              <w:spacing w:line="360" w:lineRule="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.2  环境风险识别</w:t>
            </w:r>
          </w:p>
          <w:p w14:paraId="4DA2EAFF">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根据本项目生产原料及产品、生产工艺条件、生产装置和贮存设施安全性分析结论，确定拟建项目存在的主要潜在危险性如下：</w:t>
            </w:r>
          </w:p>
          <w:p w14:paraId="076F2CCD">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（1）贮存设施</w:t>
            </w:r>
          </w:p>
          <w:p w14:paraId="1EA18115">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本项目的风险物质为</w:t>
            </w:r>
            <w:r>
              <w:rPr>
                <w:rFonts w:hint="eastAsia" w:cs="Times New Roman"/>
                <w:color w:val="auto"/>
                <w:sz w:val="24"/>
                <w:szCs w:val="24"/>
                <w:highlight w:val="none"/>
                <w:lang w:val="en-US" w:eastAsia="zh-CN"/>
              </w:rPr>
              <w:t>硅烷剂、脱脂剂、表调剂、电泳漆树脂、电泳漆色浆、硫酸（98%）、盐酸（31%）、氢氧化钠、润滑油、脱脂废液、酸洗废液、中和废液、硅烷废液、表调废液、废润滑油、喷淋废液、污泥</w:t>
            </w:r>
            <w:r>
              <w:rPr>
                <w:rFonts w:hint="eastAsia" w:ascii="Times New Roman" w:hAnsi="Times New Roman" w:eastAsia="宋体" w:cs="Times New Roman"/>
                <w:color w:val="auto"/>
                <w:sz w:val="24"/>
                <w:szCs w:val="24"/>
                <w:highlight w:val="none"/>
                <w:lang w:val="en-US" w:eastAsia="zh-CN"/>
              </w:rPr>
              <w:t>采用专用容器</w:t>
            </w:r>
            <w:r>
              <w:rPr>
                <w:rFonts w:hint="default" w:ascii="Times New Roman" w:hAnsi="Times New Roman" w:eastAsia="宋体" w:cs="Times New Roman"/>
                <w:color w:val="auto"/>
                <w:sz w:val="24"/>
                <w:szCs w:val="24"/>
                <w:highlight w:val="none"/>
                <w:lang w:val="en-US" w:eastAsia="zh-CN"/>
              </w:rPr>
              <w:t>贮存于</w:t>
            </w:r>
            <w:r>
              <w:rPr>
                <w:rFonts w:hint="eastAsia" w:cs="Times New Roman"/>
                <w:color w:val="auto"/>
                <w:sz w:val="24"/>
                <w:szCs w:val="24"/>
                <w:highlight w:val="none"/>
                <w:lang w:val="en-US" w:eastAsia="zh-CN"/>
              </w:rPr>
              <w:t>化学品仓库和</w:t>
            </w:r>
            <w:r>
              <w:rPr>
                <w:rFonts w:hint="default" w:ascii="Times New Roman" w:hAnsi="Times New Roman" w:eastAsia="宋体" w:cs="Times New Roman"/>
                <w:color w:val="auto"/>
                <w:sz w:val="24"/>
                <w:szCs w:val="24"/>
                <w:highlight w:val="none"/>
                <w:lang w:val="en-US" w:eastAsia="zh-CN"/>
              </w:rPr>
              <w:t>危险废物暂存间，可能发生泄漏事故，泄漏的溶液挥发会污染大气，如不能及时处理，废液可能通过排水管道污染地表水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地下水和土壤。</w:t>
            </w:r>
          </w:p>
          <w:p w14:paraId="2BB487EE">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（2）生产过程</w:t>
            </w:r>
            <w:r>
              <w:rPr>
                <w:rFonts w:hint="eastAsia" w:cs="Times New Roman"/>
                <w:color w:val="auto"/>
                <w:sz w:val="24"/>
                <w:szCs w:val="24"/>
                <w:highlight w:val="none"/>
                <w:lang w:val="en-US" w:eastAsia="zh-CN"/>
              </w:rPr>
              <w:t>及生产装置</w:t>
            </w:r>
          </w:p>
          <w:p w14:paraId="64C02DBD">
            <w:pPr>
              <w:widowControl/>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val="en-US" w:eastAsia="zh-CN"/>
              </w:rPr>
              <w:t>生产过程中可能发生设备跑、冒、滴、漏或操作不当造成的风险物质泄漏事故</w:t>
            </w:r>
            <w:r>
              <w:rPr>
                <w:rFonts w:hint="eastAsia" w:cs="Times New Roman"/>
                <w:color w:val="auto"/>
                <w:sz w:val="24"/>
                <w:szCs w:val="24"/>
                <w:highlight w:val="none"/>
                <w:lang w:val="en-US" w:eastAsia="zh-CN"/>
              </w:rPr>
              <w:t>等；</w:t>
            </w:r>
          </w:p>
          <w:p w14:paraId="5074E990">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②机械设备操作不当发生危险事故；</w:t>
            </w:r>
          </w:p>
          <w:p w14:paraId="30311A0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③作业区的</w:t>
            </w:r>
            <w:r>
              <w:rPr>
                <w:rFonts w:hint="eastAsia" w:cs="Times New Roman"/>
                <w:color w:val="auto"/>
                <w:sz w:val="24"/>
                <w:szCs w:val="24"/>
                <w:highlight w:val="none"/>
                <w:lang w:eastAsia="zh-CN"/>
              </w:rPr>
              <w:t>供电</w:t>
            </w:r>
            <w:r>
              <w:rPr>
                <w:rFonts w:hint="default" w:ascii="Times New Roman" w:hAnsi="Times New Roman" w:eastAsia="宋体" w:cs="Times New Roman"/>
                <w:color w:val="auto"/>
                <w:sz w:val="24"/>
                <w:szCs w:val="24"/>
                <w:highlight w:val="none"/>
              </w:rPr>
              <w:t>、排风不正常，对作业人员造成伤害；</w:t>
            </w:r>
          </w:p>
          <w:p w14:paraId="472D9BF9">
            <w:pPr>
              <w:widowControl/>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生产车间存在的火灾风险。</w:t>
            </w:r>
          </w:p>
          <w:p w14:paraId="07246B10">
            <w:pPr>
              <w:widowControl/>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本项目环境风险类型、危险物质向环境转移的可能途径和影响方式见下表。</w:t>
            </w:r>
          </w:p>
          <w:p w14:paraId="289D176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color w:val="auto"/>
                <w:kern w:val="0"/>
                <w:sz w:val="24"/>
                <w:szCs w:val="24"/>
                <w:highlight w:val="none"/>
                <w:lang w:val="en-US" w:eastAsia="zh-CN"/>
              </w:rPr>
            </w:pPr>
            <w:r>
              <w:rPr>
                <w:rFonts w:hint="eastAsia" w:cs="Times New Roman"/>
                <w:b/>
                <w:color w:val="auto"/>
                <w:kern w:val="0"/>
                <w:sz w:val="24"/>
                <w:szCs w:val="24"/>
                <w:highlight w:val="none"/>
                <w:lang w:val="en-US" w:eastAsia="zh-CN"/>
              </w:rPr>
              <w:t>环境风险类型、转移途径和影响方式</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57"/>
              <w:gridCol w:w="2203"/>
              <w:gridCol w:w="1991"/>
              <w:gridCol w:w="1162"/>
              <w:gridCol w:w="1851"/>
            </w:tblGrid>
            <w:tr w14:paraId="5D296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1CC57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风险单元</w:t>
                  </w:r>
                </w:p>
              </w:tc>
              <w:tc>
                <w:tcPr>
                  <w:tcW w:w="676" w:type="pct"/>
                  <w:tcBorders>
                    <w:tl2br w:val="nil"/>
                    <w:tr2bl w:val="nil"/>
                  </w:tcBorders>
                  <w:vAlign w:val="center"/>
                </w:tcPr>
                <w:p w14:paraId="405EA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风险源</w:t>
                  </w:r>
                </w:p>
              </w:tc>
              <w:tc>
                <w:tcPr>
                  <w:tcW w:w="1185" w:type="pct"/>
                  <w:tcBorders>
                    <w:tl2br w:val="nil"/>
                    <w:tr2bl w:val="nil"/>
                  </w:tcBorders>
                  <w:vAlign w:val="center"/>
                </w:tcPr>
                <w:p w14:paraId="7ED5EE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主要危险物质</w:t>
                  </w:r>
                </w:p>
              </w:tc>
              <w:tc>
                <w:tcPr>
                  <w:tcW w:w="1071" w:type="pct"/>
                  <w:tcBorders>
                    <w:tl2br w:val="nil"/>
                    <w:tr2bl w:val="nil"/>
                  </w:tcBorders>
                  <w:vAlign w:val="center"/>
                </w:tcPr>
                <w:p w14:paraId="160423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环境风险类型</w:t>
                  </w:r>
                </w:p>
              </w:tc>
              <w:tc>
                <w:tcPr>
                  <w:tcW w:w="625" w:type="pct"/>
                  <w:tcBorders>
                    <w:tl2br w:val="nil"/>
                    <w:tr2bl w:val="nil"/>
                  </w:tcBorders>
                  <w:vAlign w:val="center"/>
                </w:tcPr>
                <w:p w14:paraId="77C2A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环境影响途径</w:t>
                  </w:r>
                </w:p>
              </w:tc>
              <w:tc>
                <w:tcPr>
                  <w:tcW w:w="995" w:type="pct"/>
                  <w:tcBorders>
                    <w:tl2br w:val="nil"/>
                    <w:tr2bl w:val="nil"/>
                  </w:tcBorders>
                  <w:vAlign w:val="center"/>
                </w:tcPr>
                <w:p w14:paraId="57C22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可能受影响的环境敏感目标</w:t>
                  </w:r>
                </w:p>
              </w:tc>
            </w:tr>
            <w:tr w14:paraId="42A33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vAlign w:val="center"/>
                </w:tcPr>
                <w:p w14:paraId="462D7D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p>
              </w:tc>
              <w:tc>
                <w:tcPr>
                  <w:tcW w:w="676" w:type="pct"/>
                  <w:tcBorders>
                    <w:tl2br w:val="nil"/>
                    <w:tr2bl w:val="nil"/>
                  </w:tcBorders>
                  <w:vAlign w:val="center"/>
                </w:tcPr>
                <w:p w14:paraId="4BA5E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生产过程</w:t>
                  </w:r>
                </w:p>
              </w:tc>
              <w:tc>
                <w:tcPr>
                  <w:tcW w:w="1185" w:type="pct"/>
                  <w:vMerge w:val="restart"/>
                  <w:tcBorders>
                    <w:tl2br w:val="nil"/>
                    <w:tr2bl w:val="nil"/>
                  </w:tcBorders>
                  <w:vAlign w:val="center"/>
                </w:tcPr>
                <w:p w14:paraId="74F97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硅烷剂、脱脂剂、表调剂、电泳漆树脂、电泳漆色浆、硫酸（98%）、盐酸（31%）、氢氧化钠、润滑油</w:t>
                  </w:r>
                </w:p>
              </w:tc>
              <w:tc>
                <w:tcPr>
                  <w:tcW w:w="1071" w:type="pct"/>
                  <w:vMerge w:val="restart"/>
                  <w:tcBorders>
                    <w:tl2br w:val="nil"/>
                    <w:tr2bl w:val="nil"/>
                  </w:tcBorders>
                  <w:vAlign w:val="center"/>
                </w:tcPr>
                <w:p w14:paraId="6282A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泄漏</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火灾爆炸</w:t>
                  </w:r>
                  <w:r>
                    <w:rPr>
                      <w:rFonts w:hint="default" w:ascii="Times New Roman" w:hAnsi="Times New Roman" w:eastAsia="仿宋" w:cs="Times New Roman"/>
                      <w:color w:val="auto"/>
                      <w:sz w:val="21"/>
                      <w:szCs w:val="21"/>
                      <w:highlight w:val="none"/>
                    </w:rPr>
                    <w:t>引发次生/伴生污染</w:t>
                  </w:r>
                </w:p>
              </w:tc>
              <w:tc>
                <w:tcPr>
                  <w:tcW w:w="625" w:type="pct"/>
                  <w:vMerge w:val="restart"/>
                  <w:tcBorders>
                    <w:tl2br w:val="nil"/>
                    <w:tr2bl w:val="nil"/>
                  </w:tcBorders>
                  <w:vAlign w:val="center"/>
                </w:tcPr>
                <w:p w14:paraId="25D5B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扩散，漫流、渗透、吸收</w:t>
                  </w:r>
                </w:p>
              </w:tc>
              <w:tc>
                <w:tcPr>
                  <w:tcW w:w="995" w:type="pct"/>
                  <w:vMerge w:val="restart"/>
                  <w:tcBorders>
                    <w:tl2br w:val="nil"/>
                    <w:tr2bl w:val="nil"/>
                  </w:tcBorders>
                  <w:vAlign w:val="center"/>
                </w:tcPr>
                <w:p w14:paraId="5BA29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周边居民，地表水，地下水，土壤</w:t>
                  </w:r>
                </w:p>
              </w:tc>
            </w:tr>
            <w:tr w14:paraId="764F0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0B7493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tcBorders>
                    <w:tl2br w:val="nil"/>
                    <w:tr2bl w:val="nil"/>
                  </w:tcBorders>
                  <w:vAlign w:val="center"/>
                </w:tcPr>
                <w:p w14:paraId="36B51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物料运输过程</w:t>
                  </w:r>
                </w:p>
              </w:tc>
              <w:tc>
                <w:tcPr>
                  <w:tcW w:w="1185" w:type="pct"/>
                  <w:vMerge w:val="continue"/>
                  <w:tcBorders>
                    <w:tl2br w:val="nil"/>
                    <w:tr2bl w:val="nil"/>
                  </w:tcBorders>
                  <w:vAlign w:val="center"/>
                </w:tcPr>
                <w:p w14:paraId="631AB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1071" w:type="pct"/>
                  <w:vMerge w:val="continue"/>
                  <w:tcBorders>
                    <w:tl2br w:val="nil"/>
                    <w:tr2bl w:val="nil"/>
                  </w:tcBorders>
                  <w:vAlign w:val="center"/>
                </w:tcPr>
                <w:p w14:paraId="0EBD01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25" w:type="pct"/>
                  <w:vMerge w:val="continue"/>
                  <w:tcBorders>
                    <w:tl2br w:val="nil"/>
                    <w:tr2bl w:val="nil"/>
                  </w:tcBorders>
                  <w:vAlign w:val="center"/>
                </w:tcPr>
                <w:p w14:paraId="4CBB7F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995" w:type="pct"/>
                  <w:vMerge w:val="continue"/>
                  <w:tcBorders>
                    <w:tl2br w:val="nil"/>
                    <w:tr2bl w:val="nil"/>
                  </w:tcBorders>
                  <w:vAlign w:val="center"/>
                </w:tcPr>
                <w:p w14:paraId="64F53C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r>
            <w:tr w14:paraId="097DD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7ED40F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tcBorders>
                    <w:tl2br w:val="nil"/>
                    <w:tr2bl w:val="nil"/>
                  </w:tcBorders>
                  <w:vAlign w:val="center"/>
                </w:tcPr>
                <w:p w14:paraId="1F8F3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物料装卸过程</w:t>
                  </w:r>
                </w:p>
              </w:tc>
              <w:tc>
                <w:tcPr>
                  <w:tcW w:w="1185" w:type="pct"/>
                  <w:vMerge w:val="continue"/>
                  <w:tcBorders>
                    <w:tl2br w:val="nil"/>
                    <w:tr2bl w:val="nil"/>
                  </w:tcBorders>
                  <w:vAlign w:val="center"/>
                </w:tcPr>
                <w:p w14:paraId="775A4C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1071" w:type="pct"/>
                  <w:vMerge w:val="continue"/>
                  <w:tcBorders>
                    <w:tl2br w:val="nil"/>
                    <w:tr2bl w:val="nil"/>
                  </w:tcBorders>
                  <w:vAlign w:val="center"/>
                </w:tcPr>
                <w:p w14:paraId="3CBDAD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25" w:type="pct"/>
                  <w:vMerge w:val="continue"/>
                  <w:tcBorders>
                    <w:tl2br w:val="nil"/>
                    <w:tr2bl w:val="nil"/>
                  </w:tcBorders>
                  <w:vAlign w:val="center"/>
                </w:tcPr>
                <w:p w14:paraId="6C49E6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995" w:type="pct"/>
                  <w:vMerge w:val="continue"/>
                  <w:tcBorders>
                    <w:tl2br w:val="nil"/>
                    <w:tr2bl w:val="nil"/>
                  </w:tcBorders>
                  <w:vAlign w:val="center"/>
                </w:tcPr>
                <w:p w14:paraId="66284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r>
            <w:tr w14:paraId="0E65F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2B66F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tcBorders>
                    <w:tl2br w:val="nil"/>
                    <w:tr2bl w:val="nil"/>
                  </w:tcBorders>
                  <w:vAlign w:val="center"/>
                </w:tcPr>
                <w:p w14:paraId="5092F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物料储存过程</w:t>
                  </w:r>
                </w:p>
              </w:tc>
              <w:tc>
                <w:tcPr>
                  <w:tcW w:w="1185" w:type="pct"/>
                  <w:vMerge w:val="continue"/>
                  <w:tcBorders>
                    <w:tl2br w:val="nil"/>
                    <w:tr2bl w:val="nil"/>
                  </w:tcBorders>
                  <w:vAlign w:val="center"/>
                </w:tcPr>
                <w:p w14:paraId="69F3D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1071" w:type="pct"/>
                  <w:vMerge w:val="continue"/>
                  <w:tcBorders>
                    <w:tl2br w:val="nil"/>
                    <w:tr2bl w:val="nil"/>
                  </w:tcBorders>
                  <w:vAlign w:val="center"/>
                </w:tcPr>
                <w:p w14:paraId="7DD82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25" w:type="pct"/>
                  <w:vMerge w:val="continue"/>
                  <w:tcBorders>
                    <w:tl2br w:val="nil"/>
                    <w:tr2bl w:val="nil"/>
                  </w:tcBorders>
                  <w:vAlign w:val="center"/>
                </w:tcPr>
                <w:p w14:paraId="0813D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995" w:type="pct"/>
                  <w:vMerge w:val="continue"/>
                  <w:tcBorders>
                    <w:tl2br w:val="nil"/>
                    <w:tr2bl w:val="nil"/>
                  </w:tcBorders>
                  <w:vAlign w:val="center"/>
                </w:tcPr>
                <w:p w14:paraId="68BE1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r>
            <w:tr w14:paraId="7FCDD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058F6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tcBorders>
                    <w:tl2br w:val="nil"/>
                    <w:tr2bl w:val="nil"/>
                  </w:tcBorders>
                  <w:vAlign w:val="center"/>
                </w:tcPr>
                <w:p w14:paraId="38D7C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废气处理设施</w:t>
                  </w:r>
                </w:p>
              </w:tc>
              <w:tc>
                <w:tcPr>
                  <w:tcW w:w="1185" w:type="pct"/>
                  <w:tcBorders>
                    <w:tl2br w:val="nil"/>
                    <w:tr2bl w:val="nil"/>
                  </w:tcBorders>
                  <w:vAlign w:val="center"/>
                </w:tcPr>
                <w:p w14:paraId="63BDBF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颗粒物</w:t>
                  </w:r>
                  <w:r>
                    <w:rPr>
                      <w:rFonts w:hint="eastAsia" w:eastAsia="仿宋" w:cs="Times New Roman"/>
                      <w:color w:val="auto"/>
                      <w:sz w:val="21"/>
                      <w:szCs w:val="21"/>
                      <w:highlight w:val="none"/>
                      <w:lang w:val="en-US" w:eastAsia="zh-CN"/>
                    </w:rPr>
                    <w:t>、非甲烷总烃、二氧化硫、氮氧化物、硫酸雾、氯化氢</w:t>
                  </w:r>
                </w:p>
              </w:tc>
              <w:tc>
                <w:tcPr>
                  <w:tcW w:w="1071" w:type="pct"/>
                  <w:tcBorders>
                    <w:tl2br w:val="nil"/>
                    <w:tr2bl w:val="nil"/>
                  </w:tcBorders>
                  <w:shd w:val="clear" w:color="auto" w:fill="auto"/>
                  <w:vAlign w:val="center"/>
                </w:tcPr>
                <w:p w14:paraId="37E52D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污染物超标排放</w:t>
                  </w:r>
                </w:p>
              </w:tc>
              <w:tc>
                <w:tcPr>
                  <w:tcW w:w="625" w:type="pct"/>
                  <w:tcBorders>
                    <w:tl2br w:val="nil"/>
                    <w:tr2bl w:val="nil"/>
                  </w:tcBorders>
                  <w:shd w:val="clear" w:color="auto" w:fill="auto"/>
                  <w:vAlign w:val="center"/>
                </w:tcPr>
                <w:p w14:paraId="1BDBA9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扩散</w:t>
                  </w:r>
                </w:p>
              </w:tc>
              <w:tc>
                <w:tcPr>
                  <w:tcW w:w="995" w:type="pct"/>
                  <w:tcBorders>
                    <w:tl2br w:val="nil"/>
                    <w:tr2bl w:val="nil"/>
                  </w:tcBorders>
                  <w:shd w:val="clear" w:color="auto" w:fill="auto"/>
                  <w:vAlign w:val="center"/>
                </w:tcPr>
                <w:p w14:paraId="0BEDD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周边居民</w:t>
                  </w:r>
                </w:p>
              </w:tc>
            </w:tr>
            <w:tr w14:paraId="7D8D1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7A1D75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vMerge w:val="restart"/>
                  <w:tcBorders>
                    <w:tl2br w:val="nil"/>
                    <w:tr2bl w:val="nil"/>
                  </w:tcBorders>
                  <w:vAlign w:val="center"/>
                </w:tcPr>
                <w:p w14:paraId="2DA90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废水处理设施</w:t>
                  </w:r>
                </w:p>
              </w:tc>
              <w:tc>
                <w:tcPr>
                  <w:tcW w:w="1185" w:type="pct"/>
                  <w:vMerge w:val="restart"/>
                  <w:tcBorders>
                    <w:tl2br w:val="nil"/>
                    <w:tr2bl w:val="nil"/>
                  </w:tcBorders>
                  <w:vAlign w:val="center"/>
                </w:tcPr>
                <w:p w14:paraId="222784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综合废水、电泳废水、高浓度废水</w:t>
                  </w:r>
                </w:p>
              </w:tc>
              <w:tc>
                <w:tcPr>
                  <w:tcW w:w="1071" w:type="pct"/>
                  <w:tcBorders>
                    <w:tl2br w:val="nil"/>
                    <w:tr2bl w:val="nil"/>
                  </w:tcBorders>
                  <w:shd w:val="clear" w:color="auto" w:fill="auto"/>
                  <w:vAlign w:val="center"/>
                </w:tcPr>
                <w:p w14:paraId="0EEB04D7">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废水处理设施故障导致废水超标</w:t>
                  </w:r>
                </w:p>
              </w:tc>
              <w:tc>
                <w:tcPr>
                  <w:tcW w:w="625" w:type="pct"/>
                  <w:tcBorders>
                    <w:tl2br w:val="nil"/>
                    <w:tr2bl w:val="nil"/>
                  </w:tcBorders>
                  <w:shd w:val="clear" w:color="auto" w:fill="auto"/>
                  <w:vAlign w:val="center"/>
                </w:tcPr>
                <w:p w14:paraId="3B3D2E2D">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污水管网</w:t>
                  </w:r>
                </w:p>
              </w:tc>
              <w:tc>
                <w:tcPr>
                  <w:tcW w:w="995" w:type="pct"/>
                  <w:tcBorders>
                    <w:tl2br w:val="nil"/>
                    <w:tr2bl w:val="nil"/>
                  </w:tcBorders>
                  <w:shd w:val="clear" w:color="auto" w:fill="auto"/>
                  <w:vAlign w:val="center"/>
                </w:tcPr>
                <w:p w14:paraId="34065076">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地表水</w:t>
                  </w:r>
                </w:p>
              </w:tc>
            </w:tr>
            <w:tr w14:paraId="6F38D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41C7B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vMerge w:val="continue"/>
                  <w:tcBorders>
                    <w:tl2br w:val="nil"/>
                    <w:tr2bl w:val="nil"/>
                  </w:tcBorders>
                  <w:vAlign w:val="center"/>
                </w:tcPr>
                <w:p w14:paraId="3543B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color w:val="auto"/>
                      <w:sz w:val="21"/>
                      <w:szCs w:val="21"/>
                      <w:highlight w:val="none"/>
                      <w:lang w:val="en-US" w:eastAsia="zh-CN"/>
                    </w:rPr>
                  </w:pPr>
                </w:p>
              </w:tc>
              <w:tc>
                <w:tcPr>
                  <w:tcW w:w="1185" w:type="pct"/>
                  <w:vMerge w:val="continue"/>
                  <w:tcBorders>
                    <w:tl2br w:val="nil"/>
                    <w:tr2bl w:val="nil"/>
                  </w:tcBorders>
                  <w:vAlign w:val="center"/>
                </w:tcPr>
                <w:p w14:paraId="278527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仿宋" w:cs="Times New Roman"/>
                      <w:color w:val="auto"/>
                      <w:sz w:val="21"/>
                      <w:szCs w:val="21"/>
                      <w:highlight w:val="none"/>
                      <w:lang w:val="en-US" w:eastAsia="zh-CN"/>
                    </w:rPr>
                  </w:pPr>
                </w:p>
              </w:tc>
              <w:tc>
                <w:tcPr>
                  <w:tcW w:w="1071" w:type="pct"/>
                  <w:tcBorders>
                    <w:tl2br w:val="nil"/>
                    <w:tr2bl w:val="nil"/>
                  </w:tcBorders>
                  <w:shd w:val="clear" w:color="auto" w:fill="auto"/>
                  <w:vAlign w:val="center"/>
                </w:tcPr>
                <w:p w14:paraId="675FD7B5">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废水处理设施（一体化设备）发生破裂造成废水泄漏</w:t>
                  </w:r>
                </w:p>
              </w:tc>
              <w:tc>
                <w:tcPr>
                  <w:tcW w:w="625" w:type="pct"/>
                  <w:tcBorders>
                    <w:tl2br w:val="nil"/>
                    <w:tr2bl w:val="nil"/>
                  </w:tcBorders>
                  <w:shd w:val="clear" w:color="auto" w:fill="auto"/>
                  <w:vAlign w:val="center"/>
                </w:tcPr>
                <w:p w14:paraId="59156314">
                  <w:pPr>
                    <w:pStyle w:val="31"/>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漫流、渗透、吸收</w:t>
                  </w:r>
                </w:p>
              </w:tc>
              <w:tc>
                <w:tcPr>
                  <w:tcW w:w="995" w:type="pct"/>
                  <w:tcBorders>
                    <w:tl2br w:val="nil"/>
                    <w:tr2bl w:val="nil"/>
                  </w:tcBorders>
                  <w:shd w:val="clear" w:color="auto" w:fill="auto"/>
                  <w:vAlign w:val="center"/>
                </w:tcPr>
                <w:p w14:paraId="2E634B23">
                  <w:pPr>
                    <w:pStyle w:val="31"/>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地表水、地下水、土壤</w:t>
                  </w:r>
                </w:p>
              </w:tc>
            </w:tr>
            <w:tr w14:paraId="45836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vAlign w:val="center"/>
                </w:tcPr>
                <w:p w14:paraId="107966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p>
              </w:tc>
              <w:tc>
                <w:tcPr>
                  <w:tcW w:w="676" w:type="pct"/>
                  <w:tcBorders>
                    <w:tl2br w:val="nil"/>
                    <w:tr2bl w:val="nil"/>
                  </w:tcBorders>
                  <w:vAlign w:val="center"/>
                </w:tcPr>
                <w:p w14:paraId="05AA4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危废仓库</w:t>
                  </w:r>
                </w:p>
              </w:tc>
              <w:tc>
                <w:tcPr>
                  <w:tcW w:w="1185" w:type="pct"/>
                  <w:tcBorders>
                    <w:tl2br w:val="nil"/>
                    <w:tr2bl w:val="nil"/>
                  </w:tcBorders>
                  <w:vAlign w:val="center"/>
                </w:tcPr>
                <w:p w14:paraId="3BC45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脱脂废液、酸洗废液、中和废液、硅烷废液、表调废液、废润滑油、喷淋废液、污泥</w:t>
                  </w:r>
                </w:p>
              </w:tc>
              <w:tc>
                <w:tcPr>
                  <w:tcW w:w="1071" w:type="pct"/>
                  <w:tcBorders>
                    <w:tl2br w:val="nil"/>
                    <w:tr2bl w:val="nil"/>
                  </w:tcBorders>
                  <w:vAlign w:val="center"/>
                </w:tcPr>
                <w:p w14:paraId="32815C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泄漏、火灾爆炸引发次生/伴生污染</w:t>
                  </w:r>
                </w:p>
              </w:tc>
              <w:tc>
                <w:tcPr>
                  <w:tcW w:w="625" w:type="pct"/>
                  <w:tcBorders>
                    <w:tl2br w:val="nil"/>
                    <w:tr2bl w:val="nil"/>
                  </w:tcBorders>
                  <w:vAlign w:val="center"/>
                </w:tcPr>
                <w:p w14:paraId="474ACA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扩散，渗透、吸收</w:t>
                  </w:r>
                </w:p>
              </w:tc>
              <w:tc>
                <w:tcPr>
                  <w:tcW w:w="995" w:type="pct"/>
                  <w:tcBorders>
                    <w:tl2br w:val="nil"/>
                    <w:tr2bl w:val="nil"/>
                  </w:tcBorders>
                  <w:vAlign w:val="center"/>
                </w:tcPr>
                <w:p w14:paraId="7D979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周边居民，地表水，地下水，土壤</w:t>
                  </w:r>
                </w:p>
              </w:tc>
            </w:tr>
          </w:tbl>
          <w:p w14:paraId="532F2BAE">
            <w:pPr>
              <w:spacing w:line="360" w:lineRule="auto"/>
              <w:rPr>
                <w:rFonts w:hint="default" w:ascii="Times New Roman" w:hAnsi="Times New Roman" w:eastAsia="宋体" w:cs="Times New Roman"/>
                <w:b/>
                <w:bCs/>
                <w:color w:val="auto"/>
                <w:sz w:val="24"/>
                <w:szCs w:val="24"/>
                <w:highlight w:val="none"/>
                <w:lang w:val="en-US"/>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.3  典型事故情形</w:t>
            </w:r>
          </w:p>
          <w:p w14:paraId="1EFCF966">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default"/>
                <w:color w:val="auto"/>
                <w:szCs w:val="24"/>
                <w:highlight w:val="none"/>
              </w:rPr>
              <w:t>环境风险物质在贮存、使用、运输和处置过程中因泄漏、扩散所造成的突发性环境污染事件</w:t>
            </w:r>
            <w:r>
              <w:rPr>
                <w:rFonts w:hint="default" w:ascii="Times New Roman" w:hAnsi="Times New Roman" w:eastAsia="宋体" w:cs="Times New Roman"/>
                <w:color w:val="auto"/>
                <w:sz w:val="24"/>
                <w:szCs w:val="24"/>
                <w:highlight w:val="none"/>
              </w:rPr>
              <w:t>；</w:t>
            </w:r>
          </w:p>
          <w:p w14:paraId="08704F7F">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②厂区废气处理设施若发生故障，废气未经处理直接排放至大气，对周围大气环境造成污染；</w:t>
            </w:r>
          </w:p>
          <w:p w14:paraId="3C3789B1">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废水处理设施发生破裂造成废水泄漏</w:t>
            </w:r>
            <w:r>
              <w:rPr>
                <w:rFonts w:hint="eastAsia" w:cs="Times New Roman"/>
                <w:color w:val="auto"/>
                <w:sz w:val="24"/>
                <w:szCs w:val="24"/>
                <w:highlight w:val="none"/>
                <w:lang w:val="en-US" w:eastAsia="zh-CN"/>
              </w:rPr>
              <w:t>，废水处理设施故障导致废水超标排放等</w:t>
            </w:r>
            <w:r>
              <w:rPr>
                <w:rFonts w:hint="default" w:ascii="Times New Roman" w:hAnsi="Times New Roman" w:eastAsia="宋体" w:cs="Times New Roman"/>
                <w:color w:val="auto"/>
                <w:sz w:val="24"/>
                <w:szCs w:val="24"/>
                <w:highlight w:val="none"/>
                <w:lang w:val="en-US" w:eastAsia="zh-CN"/>
              </w:rPr>
              <w:t>事故</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对周边大气、地表水、土壤和人群造成一定危害</w:t>
            </w:r>
            <w:r>
              <w:rPr>
                <w:rFonts w:hint="eastAsia" w:ascii="Times New Roman" w:hAnsi="Times New Roman" w:eastAsia="宋体" w:cs="Times New Roman"/>
                <w:color w:val="auto"/>
                <w:sz w:val="24"/>
                <w:szCs w:val="24"/>
                <w:highlight w:val="none"/>
                <w:lang w:val="en-US" w:eastAsia="zh-CN"/>
              </w:rPr>
              <w:t>；</w:t>
            </w:r>
          </w:p>
          <w:p w14:paraId="23299B3C">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olor w:val="auto"/>
                <w:szCs w:val="24"/>
                <w:highlight w:val="none"/>
                <w:lang w:val="en-US" w:eastAsia="zh-CN"/>
              </w:rPr>
              <w:t>④</w:t>
            </w:r>
            <w:r>
              <w:rPr>
                <w:rFonts w:hint="eastAsia"/>
                <w:color w:val="auto"/>
                <w:szCs w:val="24"/>
                <w:highlight w:val="none"/>
              </w:rPr>
              <w:t>危险废物</w:t>
            </w:r>
            <w:r>
              <w:rPr>
                <w:rFonts w:hint="eastAsia"/>
                <w:color w:val="auto"/>
                <w:szCs w:val="24"/>
                <w:highlight w:val="none"/>
                <w:lang w:val="en-US" w:eastAsia="zh-CN"/>
              </w:rPr>
              <w:t>在</w:t>
            </w:r>
            <w:r>
              <w:rPr>
                <w:rFonts w:hint="eastAsia"/>
                <w:color w:val="auto"/>
                <w:szCs w:val="24"/>
                <w:highlight w:val="none"/>
              </w:rPr>
              <w:t>贮存、处置、转移等过程中发生的</w:t>
            </w:r>
            <w:r>
              <w:rPr>
                <w:rFonts w:hint="eastAsia"/>
                <w:color w:val="auto"/>
                <w:szCs w:val="24"/>
                <w:highlight w:val="none"/>
                <w:lang w:val="en-US" w:eastAsia="zh-CN"/>
              </w:rPr>
              <w:t>泄漏、</w:t>
            </w:r>
            <w:r>
              <w:rPr>
                <w:rFonts w:hint="eastAsia"/>
                <w:color w:val="auto"/>
                <w:szCs w:val="24"/>
                <w:highlight w:val="none"/>
              </w:rPr>
              <w:t>爆炸、燃烧、渗漏等事故</w:t>
            </w:r>
            <w:r>
              <w:rPr>
                <w:rFonts w:hint="eastAsia" w:cs="Times New Roman"/>
                <w:color w:val="auto"/>
                <w:sz w:val="24"/>
                <w:szCs w:val="24"/>
                <w:highlight w:val="none"/>
                <w:lang w:eastAsia="zh-CN"/>
              </w:rPr>
              <w:t>。</w:t>
            </w:r>
          </w:p>
          <w:p w14:paraId="73AB1553">
            <w:pPr>
              <w:spacing w:line="360" w:lineRule="auto"/>
              <w:rPr>
                <w:rFonts w:hint="default" w:ascii="Times New Roman" w:hAnsi="Times New Roman" w:eastAsia="宋体" w:cs="Times New Roman"/>
                <w:b/>
                <w:bCs/>
                <w:color w:val="auto"/>
                <w:spacing w:val="-3"/>
                <w:sz w:val="24"/>
                <w:szCs w:val="24"/>
                <w:highlight w:val="none"/>
              </w:rPr>
            </w:pPr>
            <w:r>
              <w:rPr>
                <w:rFonts w:hint="eastAsia" w:cs="Times New Roman"/>
                <w:b/>
                <w:bCs/>
                <w:color w:val="auto"/>
                <w:spacing w:val="-3"/>
                <w:sz w:val="24"/>
                <w:szCs w:val="24"/>
                <w:highlight w:val="none"/>
                <w:lang w:val="en-US" w:eastAsia="zh-CN"/>
              </w:rPr>
              <w:t>7</w:t>
            </w:r>
            <w:r>
              <w:rPr>
                <w:rFonts w:hint="default" w:ascii="Times New Roman" w:hAnsi="Times New Roman" w:eastAsia="宋体" w:cs="Times New Roman"/>
                <w:b/>
                <w:bCs/>
                <w:color w:val="auto"/>
                <w:spacing w:val="-3"/>
                <w:sz w:val="24"/>
                <w:szCs w:val="24"/>
                <w:highlight w:val="none"/>
              </w:rPr>
              <w:t>.4  环境风险防范措施</w:t>
            </w:r>
          </w:p>
          <w:p w14:paraId="117F11CA">
            <w:pPr>
              <w:spacing w:line="360" w:lineRule="auto"/>
              <w:ind w:firstLine="482" w:firstLineChars="200"/>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（1）总图布置和建筑安全防范措施</w:t>
            </w:r>
          </w:p>
          <w:p w14:paraId="7B0A3817">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厂区总平面布置中配套建设应急救援设施、救援通道等防护设施；建筑、构筑物之间或与其他场所之间留有足够的防火间距；并且按功能划分厂区。</w:t>
            </w:r>
          </w:p>
          <w:p w14:paraId="13205AD7">
            <w:pPr>
              <w:spacing w:line="360" w:lineRule="auto"/>
              <w:ind w:firstLine="482"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（2）火灾事故的防范措施</w:t>
            </w:r>
          </w:p>
          <w:p w14:paraId="5CD42C5E">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1）加强设备的安全管理，定期对设备进行安全检测，检测内容、时间、人员有记录保存。安全检测根据设备的安全性、危险性设定检测频次；</w:t>
            </w:r>
          </w:p>
          <w:p w14:paraId="003837CD">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2）加强火源的管理，严禁烟火带入。</w:t>
            </w:r>
          </w:p>
          <w:p w14:paraId="33AEC453">
            <w:pPr>
              <w:spacing w:line="360" w:lineRule="auto"/>
              <w:ind w:firstLine="482" w:firstLineChars="200"/>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（3）消防及火灾报警系统</w:t>
            </w:r>
          </w:p>
          <w:p w14:paraId="49A6F64E">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设置一定数量的烟感、温感及手动火灾报警器，分布在车间各个部位，包括生产区、实验室、试剂室、办公区等。车间内配备必要的消防设施，包括消防栓、干粉灭火器、消防泵等。室外消防给水管网按环状布置，管网上设置室外地上式消火栓，消火栓旁设置钢制消防箱。</w:t>
            </w:r>
          </w:p>
          <w:p w14:paraId="33369AE4">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物料泄漏事故的防范措施</w:t>
            </w:r>
          </w:p>
          <w:p w14:paraId="50E0E1F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泄漏事故的预防是生产和储运过程中最重要的环节，发生泄漏事故可能引起火灾和爆炸等一系列重大事故。经验表明：设备失灵和人为的操作失误是引发泄漏的主要原因。因此选用较好的设备、精心设计、认真</w:t>
            </w:r>
            <w:r>
              <w:rPr>
                <w:rFonts w:hint="default" w:ascii="Times New Roman" w:hAnsi="Times New Roman" w:eastAsia="宋体"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管理和操作人员的责任心是减少泄漏事故的关键。建设单位应采取以下物料泄漏事故的预防措施：</w:t>
            </w:r>
          </w:p>
          <w:p w14:paraId="5E4A737C">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生产车间内设置机械通风系统；</w:t>
            </w:r>
          </w:p>
          <w:p w14:paraId="693D4E4F">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操作人员在操作时，检查通风装置是否在启动状态；在停产时，先停设备，待设备清理干净后，再停通风装置；</w:t>
            </w:r>
          </w:p>
          <w:p w14:paraId="6FF22CF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生产车间、危废仓库等地面采用抗渗混凝土浇制地面底板，防腐基体上铺设环氧树脂玻璃钢；原料、废液等采用防漏托盘盛装；</w:t>
            </w:r>
          </w:p>
          <w:p w14:paraId="77BFC335">
            <w:pPr>
              <w:pStyle w:val="2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本项目依托厂区雨水总排口的雨水截止阀，防止事故废水外排外环境。</w:t>
            </w:r>
          </w:p>
          <w:p w14:paraId="7FCB5953">
            <w:pPr>
              <w:widowControl/>
              <w:adjustRightInd w:val="0"/>
              <w:snapToGrid w:val="0"/>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lang w:val="en-US" w:eastAsia="zh-CN"/>
              </w:rPr>
              <w:t>5</w:t>
            </w:r>
            <w:r>
              <w:rPr>
                <w:b/>
                <w:bCs/>
                <w:color w:val="auto"/>
                <w:sz w:val="24"/>
                <w:highlight w:val="none"/>
              </w:rPr>
              <w:t>）废气处理装置风险防范措施</w:t>
            </w:r>
          </w:p>
          <w:p w14:paraId="2284D13C">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1）</w:t>
            </w:r>
            <w:r>
              <w:rPr>
                <w:color w:val="auto"/>
                <w:sz w:val="24"/>
                <w:highlight w:val="none"/>
              </w:rPr>
              <w:t>使用点火温度高，灰分低的活性炭作为吸附材料</w:t>
            </w:r>
            <w:r>
              <w:rPr>
                <w:rFonts w:hint="eastAsia"/>
                <w:color w:val="auto"/>
                <w:sz w:val="24"/>
                <w:highlight w:val="none"/>
                <w:lang w:eastAsia="zh-CN"/>
              </w:rPr>
              <w:t>。</w:t>
            </w:r>
          </w:p>
          <w:p w14:paraId="08171831">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2）</w:t>
            </w:r>
            <w:r>
              <w:rPr>
                <w:color w:val="auto"/>
                <w:sz w:val="24"/>
                <w:highlight w:val="none"/>
              </w:rPr>
              <w:t>加强废气处理设施的维护保养，及时发现处理设备的隐患，并及时进行维修，确保废气处理系统正常运行</w:t>
            </w:r>
            <w:r>
              <w:rPr>
                <w:rFonts w:hint="eastAsia"/>
                <w:color w:val="auto"/>
                <w:sz w:val="24"/>
                <w:highlight w:val="none"/>
                <w:lang w:eastAsia="zh-CN"/>
              </w:rPr>
              <w:t>。</w:t>
            </w:r>
          </w:p>
          <w:p w14:paraId="412457EA">
            <w:pPr>
              <w:widowControl/>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val="en-US" w:eastAsia="zh-CN"/>
              </w:rPr>
              <w:t>3）</w:t>
            </w:r>
            <w:r>
              <w:rPr>
                <w:color w:val="auto"/>
                <w:sz w:val="24"/>
                <w:highlight w:val="none"/>
              </w:rPr>
              <w:t>对废气处理装置排污口污染物浓度进行常规监测，及时发现事故状况，防止废气超标排放</w:t>
            </w:r>
            <w:r>
              <w:rPr>
                <w:rFonts w:hint="eastAsia"/>
                <w:color w:val="auto"/>
                <w:sz w:val="24"/>
                <w:highlight w:val="none"/>
                <w:lang w:eastAsia="zh-CN"/>
              </w:rPr>
              <w:t>。</w:t>
            </w:r>
          </w:p>
          <w:p w14:paraId="1A6A5639">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4）</w:t>
            </w:r>
            <w:r>
              <w:rPr>
                <w:color w:val="auto"/>
                <w:sz w:val="24"/>
                <w:highlight w:val="none"/>
              </w:rPr>
              <w:t>建立健全的环保机构，对管理人员和技术人员进行岗位培训，对废气处理实行全过程跟踪控制</w:t>
            </w:r>
            <w:r>
              <w:rPr>
                <w:rFonts w:hint="eastAsia"/>
                <w:color w:val="auto"/>
                <w:sz w:val="24"/>
                <w:highlight w:val="none"/>
                <w:lang w:eastAsia="zh-CN"/>
              </w:rPr>
              <w:t>。</w:t>
            </w:r>
          </w:p>
          <w:p w14:paraId="37F9E14F">
            <w:pPr>
              <w:widowControl/>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5）</w:t>
            </w:r>
            <w:r>
              <w:rPr>
                <w:color w:val="auto"/>
                <w:sz w:val="24"/>
                <w:highlight w:val="none"/>
              </w:rPr>
              <w:t>设备用电源和备用处理设备，以备停电或设备出现故障时保障废气全部抽入净化系统进行处理以达标排放。</w:t>
            </w:r>
          </w:p>
          <w:p w14:paraId="545BC641">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6）</w:t>
            </w:r>
            <w:r>
              <w:rPr>
                <w:color w:val="auto"/>
                <w:sz w:val="24"/>
                <w:highlight w:val="none"/>
              </w:rPr>
              <w:t>吸附处理装置前的废气管路安装管路阻火器（阻爆轰型）；管路上</w:t>
            </w:r>
            <w:r>
              <w:rPr>
                <w:rFonts w:hint="eastAsia"/>
                <w:color w:val="auto"/>
                <w:sz w:val="24"/>
                <w:highlight w:val="none"/>
                <w:lang w:eastAsia="zh-CN"/>
              </w:rPr>
              <w:t>（</w:t>
            </w:r>
            <w:r>
              <w:rPr>
                <w:color w:val="auto"/>
                <w:sz w:val="24"/>
                <w:highlight w:val="none"/>
              </w:rPr>
              <w:t>分段</w:t>
            </w:r>
            <w:r>
              <w:rPr>
                <w:rFonts w:hint="eastAsia"/>
                <w:color w:val="auto"/>
                <w:sz w:val="24"/>
                <w:highlight w:val="none"/>
                <w:lang w:eastAsia="zh-CN"/>
              </w:rPr>
              <w:t>）</w:t>
            </w:r>
            <w:r>
              <w:rPr>
                <w:color w:val="auto"/>
                <w:sz w:val="24"/>
                <w:highlight w:val="none"/>
              </w:rPr>
              <w:t>安装泄爆片</w:t>
            </w:r>
            <w:r>
              <w:rPr>
                <w:rFonts w:hint="eastAsia"/>
                <w:color w:val="auto"/>
                <w:sz w:val="24"/>
                <w:highlight w:val="none"/>
                <w:lang w:eastAsia="zh-CN"/>
              </w:rPr>
              <w:t>。</w:t>
            </w:r>
          </w:p>
          <w:p w14:paraId="221320AB">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sz w:val="24"/>
                <w:highlight w:val="none"/>
                <w:lang w:eastAsia="zh-CN"/>
              </w:rPr>
            </w:pPr>
            <w:r>
              <w:rPr>
                <w:rFonts w:hint="eastAsia"/>
                <w:color w:val="auto"/>
                <w:sz w:val="24"/>
                <w:highlight w:val="none"/>
                <w:lang w:val="en-US" w:eastAsia="zh-CN"/>
              </w:rPr>
              <w:t>7）</w:t>
            </w:r>
            <w:r>
              <w:rPr>
                <w:color w:val="auto"/>
                <w:sz w:val="24"/>
                <w:highlight w:val="none"/>
              </w:rPr>
              <w:t>吸附装置内安装喷淋灭火装置，用来扑灭初期火灾手动或自动开启</w:t>
            </w:r>
            <w:r>
              <w:rPr>
                <w:rFonts w:hint="eastAsia"/>
                <w:color w:val="auto"/>
                <w:sz w:val="24"/>
                <w:highlight w:val="none"/>
                <w:lang w:eastAsia="zh-CN"/>
              </w:rPr>
              <w:t>。</w:t>
            </w:r>
          </w:p>
          <w:p w14:paraId="394E5F7D">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8）事故发生时，建设单位必须立即停止相应生产，以停止相应污染物的产生。及时组织人员查找事故发生的原因，并迅速抢修，使处理装置及时恢复正常运行</w:t>
            </w:r>
            <w:r>
              <w:rPr>
                <w:rFonts w:hint="eastAsia" w:cs="Times New Roman"/>
                <w:color w:val="auto"/>
                <w:sz w:val="24"/>
                <w:highlight w:val="none"/>
                <w:lang w:val="en-US" w:eastAsia="zh-CN"/>
              </w:rPr>
              <w:t>。</w:t>
            </w:r>
          </w:p>
          <w:p w14:paraId="060B16E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color w:val="auto"/>
                <w:sz w:val="24"/>
                <w:highlight w:val="none"/>
              </w:rPr>
            </w:pPr>
            <w:r>
              <w:rPr>
                <w:rFonts w:hint="eastAsia"/>
                <w:color w:val="auto"/>
                <w:sz w:val="24"/>
                <w:highlight w:val="none"/>
                <w:lang w:val="en-US" w:eastAsia="zh-CN"/>
              </w:rPr>
              <w:t>9）</w:t>
            </w:r>
            <w:r>
              <w:rPr>
                <w:color w:val="auto"/>
                <w:sz w:val="24"/>
                <w:highlight w:val="none"/>
              </w:rPr>
              <w:t>制定并落实事故应急处理机制，确保发生污染事故时，能及时、有效</w:t>
            </w:r>
            <w:r>
              <w:rPr>
                <w:rFonts w:hint="eastAsia"/>
                <w:color w:val="auto"/>
                <w:sz w:val="24"/>
                <w:highlight w:val="none"/>
                <w:lang w:val="en-US" w:eastAsia="zh-CN"/>
              </w:rPr>
              <w:t>地做出</w:t>
            </w:r>
            <w:r>
              <w:rPr>
                <w:color w:val="auto"/>
                <w:sz w:val="24"/>
                <w:highlight w:val="none"/>
              </w:rPr>
              <w:t>应对。</w:t>
            </w:r>
          </w:p>
          <w:p w14:paraId="1516282E">
            <w:pPr>
              <w:widowControl/>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10）</w:t>
            </w:r>
            <w:r>
              <w:rPr>
                <w:rFonts w:hint="eastAsia"/>
                <w:color w:val="auto"/>
                <w:sz w:val="24"/>
                <w:highlight w:val="none"/>
              </w:rPr>
              <w:t>活性炭吸附装置</w:t>
            </w:r>
            <w:r>
              <w:rPr>
                <w:color w:val="auto"/>
                <w:sz w:val="24"/>
                <w:highlight w:val="none"/>
              </w:rPr>
              <w:t>治理系统应有事故自动报警装置，并符合安全生产、事故防范的相关规定</w:t>
            </w:r>
            <w:r>
              <w:rPr>
                <w:rFonts w:hint="eastAsia"/>
                <w:color w:val="auto"/>
                <w:sz w:val="24"/>
                <w:highlight w:val="none"/>
              </w:rPr>
              <w:t>；</w:t>
            </w:r>
            <w:r>
              <w:rPr>
                <w:color w:val="auto"/>
                <w:sz w:val="24"/>
                <w:highlight w:val="none"/>
              </w:rPr>
              <w:t>治理系统与主体生产装置之间的管道系统应安装阻火器</w:t>
            </w:r>
            <w:r>
              <w:rPr>
                <w:rFonts w:hint="eastAsia"/>
                <w:color w:val="auto"/>
                <w:sz w:val="24"/>
                <w:highlight w:val="none"/>
                <w:lang w:eastAsia="zh-CN"/>
              </w:rPr>
              <w:t>（</w:t>
            </w:r>
            <w:r>
              <w:rPr>
                <w:color w:val="auto"/>
                <w:sz w:val="24"/>
                <w:highlight w:val="none"/>
              </w:rPr>
              <w:t>防火阀</w:t>
            </w:r>
            <w:r>
              <w:rPr>
                <w:rFonts w:hint="eastAsia"/>
                <w:color w:val="auto"/>
                <w:sz w:val="24"/>
                <w:highlight w:val="none"/>
                <w:lang w:eastAsia="zh-CN"/>
              </w:rPr>
              <w:t>）</w:t>
            </w:r>
            <w:r>
              <w:rPr>
                <w:color w:val="auto"/>
                <w:sz w:val="24"/>
                <w:highlight w:val="none"/>
              </w:rPr>
              <w:t>和压差计，阻火器性能应符合</w:t>
            </w:r>
            <w:r>
              <w:rPr>
                <w:rFonts w:hint="eastAsia" w:ascii="Times New Roman" w:hAnsi="Times New Roman" w:eastAsia="宋体" w:cs="Times New Roman"/>
                <w:color w:val="auto"/>
                <w:kern w:val="0"/>
                <w:sz w:val="24"/>
                <w:szCs w:val="24"/>
                <w:highlight w:val="none"/>
                <w:lang w:val="en-US" w:eastAsia="zh-CN" w:bidi="ar-SA"/>
              </w:rPr>
              <w:t>GB</w:t>
            </w:r>
            <w:r>
              <w:rPr>
                <w:rFonts w:hint="eastAsia" w:cs="Times New Roman"/>
                <w:color w:val="auto"/>
                <w:kern w:val="0"/>
                <w:sz w:val="24"/>
                <w:szCs w:val="24"/>
                <w:highlight w:val="none"/>
                <w:lang w:val="en-US" w:eastAsia="zh-CN" w:bidi="ar-SA"/>
              </w:rPr>
              <w:t xml:space="preserve"> 5908-2024</w:t>
            </w:r>
            <w:r>
              <w:rPr>
                <w:color w:val="auto"/>
                <w:sz w:val="24"/>
                <w:highlight w:val="none"/>
              </w:rPr>
              <w:t>的规定</w:t>
            </w:r>
            <w:r>
              <w:rPr>
                <w:rFonts w:hint="eastAsia"/>
                <w:color w:val="auto"/>
                <w:sz w:val="24"/>
                <w:highlight w:val="none"/>
              </w:rPr>
              <w:t>；</w:t>
            </w:r>
            <w:r>
              <w:rPr>
                <w:color w:val="auto"/>
                <w:sz w:val="24"/>
                <w:highlight w:val="none"/>
              </w:rPr>
              <w:t>风机、电机和置于现场的电气仪表等应不低于现场防爆等级</w:t>
            </w:r>
            <w:r>
              <w:rPr>
                <w:rFonts w:hint="eastAsia"/>
                <w:color w:val="auto"/>
                <w:sz w:val="24"/>
                <w:highlight w:val="none"/>
              </w:rPr>
              <w:t>；</w:t>
            </w:r>
            <w:r>
              <w:rPr>
                <w:color w:val="auto"/>
                <w:sz w:val="24"/>
                <w:highlight w:val="none"/>
              </w:rPr>
              <w:t>在吸附操作周期内，吸附了有机气体后吸附床内的温度应低于83℃。当吸附装置内的温度超过83℃时，应能自动报警，并立即启动降温装置</w:t>
            </w:r>
            <w:r>
              <w:rPr>
                <w:rFonts w:hint="eastAsia"/>
                <w:color w:val="auto"/>
                <w:sz w:val="24"/>
                <w:highlight w:val="none"/>
              </w:rPr>
              <w:t>；</w:t>
            </w:r>
            <w:r>
              <w:rPr>
                <w:color w:val="auto"/>
                <w:sz w:val="24"/>
                <w:highlight w:val="none"/>
              </w:rPr>
              <w:t>治理装置安装区域应按规定设置消防设施</w:t>
            </w:r>
            <w:r>
              <w:rPr>
                <w:rFonts w:hint="eastAsia"/>
                <w:color w:val="auto"/>
                <w:sz w:val="24"/>
                <w:highlight w:val="none"/>
              </w:rPr>
              <w:t>；</w:t>
            </w:r>
            <w:r>
              <w:rPr>
                <w:color w:val="auto"/>
                <w:sz w:val="24"/>
                <w:highlight w:val="none"/>
              </w:rPr>
              <w:t>治理</w:t>
            </w:r>
            <w:r>
              <w:rPr>
                <w:rFonts w:hint="eastAsia"/>
                <w:color w:val="auto"/>
                <w:sz w:val="24"/>
                <w:highlight w:val="none"/>
                <w:lang w:val="en-US" w:eastAsia="zh-CN"/>
              </w:rPr>
              <w:t>设备</w:t>
            </w:r>
            <w:r>
              <w:rPr>
                <w:color w:val="auto"/>
                <w:sz w:val="24"/>
                <w:highlight w:val="none"/>
              </w:rPr>
              <w:t>应具备短路保护和接地保护，接地电阻应小于4Ω</w:t>
            </w:r>
            <w:r>
              <w:rPr>
                <w:rFonts w:hint="eastAsia"/>
                <w:color w:val="auto"/>
                <w:sz w:val="24"/>
                <w:highlight w:val="none"/>
              </w:rPr>
              <w:t>；</w:t>
            </w:r>
            <w:r>
              <w:rPr>
                <w:color w:val="auto"/>
                <w:sz w:val="24"/>
                <w:highlight w:val="none"/>
              </w:rPr>
              <w:t>室外治理</w:t>
            </w:r>
            <w:r>
              <w:rPr>
                <w:rFonts w:hint="eastAsia"/>
                <w:color w:val="auto"/>
                <w:sz w:val="24"/>
                <w:highlight w:val="none"/>
                <w:lang w:val="en-US" w:eastAsia="zh-CN"/>
              </w:rPr>
              <w:t>设备</w:t>
            </w:r>
            <w:r>
              <w:rPr>
                <w:color w:val="auto"/>
                <w:sz w:val="24"/>
                <w:highlight w:val="none"/>
              </w:rPr>
              <w:t>应安装符合GB50057规定的避雷装置。</w:t>
            </w:r>
          </w:p>
          <w:p w14:paraId="2F3C2D63">
            <w:pPr>
              <w:widowControl/>
              <w:adjustRightInd w:val="0"/>
              <w:snapToGrid w:val="0"/>
              <w:spacing w:line="360" w:lineRule="auto"/>
              <w:ind w:firstLine="482" w:firstLineChars="200"/>
              <w:rPr>
                <w:rFonts w:hint="eastAsia"/>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6</w:t>
            </w:r>
            <w:r>
              <w:rPr>
                <w:rFonts w:hint="eastAsia"/>
                <w:b/>
                <w:bCs/>
                <w:color w:val="auto"/>
                <w:sz w:val="24"/>
                <w:highlight w:val="none"/>
                <w:lang w:eastAsia="zh-CN"/>
              </w:rPr>
              <w:t>）</w:t>
            </w:r>
            <w:r>
              <w:rPr>
                <w:rFonts w:hint="eastAsia"/>
                <w:b/>
                <w:bCs/>
                <w:color w:val="auto"/>
                <w:sz w:val="24"/>
                <w:highlight w:val="none"/>
              </w:rPr>
              <w:t>粉尘爆炸风险防范措施</w:t>
            </w:r>
          </w:p>
          <w:p w14:paraId="0F1498BF">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根据《粉尘防爆安全规程》（GB15577-2018）、《涂装作业安全规程粉末静电喷涂工艺安全》（GB15607-2023）、《工贸行业可燃性粉尘作业场所工艺设施防爆技术指南（试行）》，管控措施如下：</w:t>
            </w:r>
          </w:p>
          <w:p w14:paraId="151BB063">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1）</w:t>
            </w:r>
            <w:r>
              <w:rPr>
                <w:rFonts w:hint="eastAsia"/>
                <w:color w:val="auto"/>
                <w:sz w:val="24"/>
                <w:highlight w:val="none"/>
              </w:rPr>
              <w:t>应建立粉尘防爆相关安全管理制度（包括除尘系统管理等）和岗位安全操作规程，安全操作规程应包含防范粉尘爆炸的安全作业和应急处置措施等内容；</w:t>
            </w:r>
          </w:p>
          <w:p w14:paraId="2294D98F">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2）</w:t>
            </w:r>
            <w:r>
              <w:rPr>
                <w:rFonts w:hint="eastAsia"/>
                <w:color w:val="auto"/>
                <w:sz w:val="24"/>
                <w:highlight w:val="none"/>
              </w:rPr>
              <w:t>除尘器需带有防爆/泄爆性能，通风除尘、粉尘爆炸预防及控制等安全设备设施应确保持续有效；</w:t>
            </w:r>
          </w:p>
          <w:p w14:paraId="5FEE7D49">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3）</w:t>
            </w:r>
            <w:r>
              <w:rPr>
                <w:rFonts w:hint="eastAsia"/>
                <w:color w:val="auto"/>
                <w:sz w:val="24"/>
                <w:highlight w:val="none"/>
              </w:rPr>
              <w:t>粉尘爆炸危险场所的出入口、生产区域及重点危险设备设施等部位，应设置显著的安全警示标识标志</w:t>
            </w:r>
            <w:r>
              <w:rPr>
                <w:rFonts w:hint="eastAsia"/>
                <w:color w:val="auto"/>
                <w:sz w:val="24"/>
                <w:highlight w:val="none"/>
                <w:lang w:eastAsia="zh-CN"/>
              </w:rPr>
              <w:t>；</w:t>
            </w:r>
          </w:p>
          <w:p w14:paraId="3796D916">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4）</w:t>
            </w:r>
            <w:r>
              <w:rPr>
                <w:rFonts w:hint="eastAsia"/>
                <w:color w:val="auto"/>
                <w:sz w:val="24"/>
                <w:highlight w:val="none"/>
              </w:rPr>
              <w:t>安装有产生可燃性粉尘的工艺设备的车间或存在可燃性粉尘的建</w:t>
            </w:r>
            <w:r>
              <w:rPr>
                <w:rFonts w:hint="eastAsia"/>
                <w:color w:val="auto"/>
                <w:sz w:val="24"/>
                <w:highlight w:val="none"/>
                <w:lang w:eastAsia="zh-CN"/>
              </w:rPr>
              <w:t>（</w:t>
            </w:r>
            <w:r>
              <w:rPr>
                <w:rFonts w:hint="eastAsia"/>
                <w:color w:val="auto"/>
                <w:sz w:val="24"/>
                <w:highlight w:val="none"/>
              </w:rPr>
              <w:t>构</w:t>
            </w:r>
            <w:r>
              <w:rPr>
                <w:rFonts w:hint="eastAsia"/>
                <w:color w:val="auto"/>
                <w:sz w:val="24"/>
                <w:highlight w:val="none"/>
                <w:lang w:eastAsia="zh-CN"/>
              </w:rPr>
              <w:t>）</w:t>
            </w:r>
            <w:r>
              <w:rPr>
                <w:rFonts w:hint="eastAsia"/>
                <w:color w:val="auto"/>
                <w:sz w:val="24"/>
                <w:highlight w:val="none"/>
              </w:rPr>
              <w:t>筑物如料仓等，应按照有关标准规定与其他建</w:t>
            </w:r>
            <w:r>
              <w:rPr>
                <w:rFonts w:hint="eastAsia"/>
                <w:color w:val="auto"/>
                <w:sz w:val="24"/>
                <w:highlight w:val="none"/>
                <w:lang w:eastAsia="zh-CN"/>
              </w:rPr>
              <w:t>（</w:t>
            </w:r>
            <w:r>
              <w:rPr>
                <w:rFonts w:hint="eastAsia"/>
                <w:color w:val="auto"/>
                <w:sz w:val="24"/>
                <w:highlight w:val="none"/>
              </w:rPr>
              <w:t>构</w:t>
            </w:r>
            <w:r>
              <w:rPr>
                <w:rFonts w:hint="eastAsia"/>
                <w:color w:val="auto"/>
                <w:sz w:val="24"/>
                <w:highlight w:val="none"/>
                <w:lang w:eastAsia="zh-CN"/>
              </w:rPr>
              <w:t>）</w:t>
            </w:r>
            <w:r>
              <w:rPr>
                <w:rFonts w:hint="eastAsia"/>
                <w:color w:val="auto"/>
                <w:sz w:val="24"/>
                <w:highlight w:val="none"/>
              </w:rPr>
              <w:t>筑物保持适当的防火距离；</w:t>
            </w:r>
          </w:p>
          <w:p w14:paraId="3584AC72">
            <w:pPr>
              <w:widowControl/>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5）</w:t>
            </w:r>
            <w:r>
              <w:rPr>
                <w:rFonts w:hint="eastAsia"/>
                <w:color w:val="auto"/>
                <w:sz w:val="24"/>
                <w:highlight w:val="none"/>
              </w:rPr>
              <w:t>任何人员进入可燃性粉尘的场所禁止携带打火机、火柴等火种或其他易燃易爆物品；与粉尘直接接触的设备或装置</w:t>
            </w:r>
            <w:r>
              <w:rPr>
                <w:rFonts w:hint="eastAsia"/>
                <w:color w:val="auto"/>
                <w:sz w:val="24"/>
                <w:highlight w:val="none"/>
                <w:lang w:eastAsia="zh-CN"/>
              </w:rPr>
              <w:t>（</w:t>
            </w:r>
            <w:r>
              <w:rPr>
                <w:rFonts w:hint="eastAsia"/>
                <w:color w:val="auto"/>
                <w:sz w:val="24"/>
                <w:highlight w:val="none"/>
              </w:rPr>
              <w:t>如光源、加热源等</w:t>
            </w:r>
            <w:r>
              <w:rPr>
                <w:rFonts w:hint="eastAsia"/>
                <w:color w:val="auto"/>
                <w:sz w:val="24"/>
                <w:highlight w:val="none"/>
                <w:lang w:eastAsia="zh-CN"/>
              </w:rPr>
              <w:t>）</w:t>
            </w:r>
            <w:r>
              <w:rPr>
                <w:rFonts w:hint="eastAsia"/>
                <w:color w:val="auto"/>
                <w:sz w:val="24"/>
                <w:highlight w:val="none"/>
              </w:rPr>
              <w:t>的表面温度低于该区域存在粉尘的最低着火温度；</w:t>
            </w:r>
          </w:p>
          <w:p w14:paraId="5940C574">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6）</w:t>
            </w:r>
            <w:r>
              <w:rPr>
                <w:rFonts w:hint="eastAsia"/>
                <w:color w:val="auto"/>
                <w:sz w:val="24"/>
                <w:highlight w:val="none"/>
              </w:rPr>
              <w:t>粉尘在除尘器中浓度很有可能达到爆炸下限。因此，要加强除尘系统通风量，特别是要及时清灰，使除尘器和管道中的粉尘浓度低于危险范围的下限</w:t>
            </w:r>
            <w:r>
              <w:rPr>
                <w:rFonts w:hint="eastAsia"/>
                <w:color w:val="auto"/>
                <w:sz w:val="24"/>
                <w:highlight w:val="none"/>
                <w:lang w:eastAsia="zh-CN"/>
              </w:rPr>
              <w:t>；</w:t>
            </w:r>
          </w:p>
          <w:p w14:paraId="28D67389">
            <w:pPr>
              <w:widowControl/>
              <w:adjustRightInd w:val="0"/>
              <w:snapToGrid w:val="0"/>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7）</w:t>
            </w:r>
            <w:r>
              <w:rPr>
                <w:rFonts w:hint="eastAsia"/>
                <w:color w:val="auto"/>
                <w:sz w:val="24"/>
                <w:highlight w:val="none"/>
              </w:rPr>
              <w:t>车间所有金属设备、装置外壳、金属管道、支架、构件、部件等应采用防静电直接接地，不方便或工艺不允许直接接地的通过导静电材料或制品间接接地</w:t>
            </w:r>
            <w:r>
              <w:rPr>
                <w:rFonts w:hint="eastAsia"/>
                <w:color w:val="auto"/>
                <w:sz w:val="24"/>
                <w:highlight w:val="none"/>
                <w:lang w:eastAsia="zh-CN"/>
              </w:rPr>
              <w:t>；</w:t>
            </w:r>
          </w:p>
          <w:p w14:paraId="09A9D1C9">
            <w:pPr>
              <w:widowControl/>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8）</w:t>
            </w:r>
            <w:r>
              <w:rPr>
                <w:rFonts w:hint="eastAsia"/>
                <w:color w:val="auto"/>
                <w:sz w:val="24"/>
                <w:highlight w:val="none"/>
              </w:rPr>
              <w:t>当出现喷粉室开口断面风速低于最小设计风速、风机故障、回收供粉系统堵塞、高压系统故障、漏粉跑粉等非正常状态时，应停止作业，待故障排除后方可继续作业。</w:t>
            </w:r>
          </w:p>
          <w:p w14:paraId="4887F8A5">
            <w:pPr>
              <w:widowControl/>
              <w:adjustRightInd w:val="0"/>
              <w:snapToGrid w:val="0"/>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lang w:val="en-US" w:eastAsia="zh-CN"/>
              </w:rPr>
              <w:t>7</w:t>
            </w:r>
            <w:r>
              <w:rPr>
                <w:b/>
                <w:bCs/>
                <w:color w:val="auto"/>
                <w:sz w:val="24"/>
                <w:highlight w:val="none"/>
              </w:rPr>
              <w:t>）废</w:t>
            </w:r>
            <w:r>
              <w:rPr>
                <w:rFonts w:hint="eastAsia"/>
                <w:b/>
                <w:bCs/>
                <w:color w:val="auto"/>
                <w:sz w:val="24"/>
                <w:highlight w:val="none"/>
                <w:lang w:val="en-US" w:eastAsia="zh-CN"/>
              </w:rPr>
              <w:t>水</w:t>
            </w:r>
            <w:r>
              <w:rPr>
                <w:b/>
                <w:bCs/>
                <w:color w:val="auto"/>
                <w:sz w:val="24"/>
                <w:highlight w:val="none"/>
              </w:rPr>
              <w:t>处理装置风险防范措施</w:t>
            </w:r>
          </w:p>
          <w:p w14:paraId="1D14113B">
            <w:pPr>
              <w:pStyle w:val="2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color w:val="auto"/>
                <w:sz w:val="24"/>
                <w:szCs w:val="24"/>
                <w:highlight w:val="none"/>
                <w:lang w:val="en-US" w:eastAsia="zh-CN"/>
              </w:rPr>
              <w:t>厂区内设置的废水处理设施为综合废水的最后屏障，为了确保其正常、不出现停止运行的情况，防止环境风险的发生，建设单位十分重视管网及泵站的维护及管理，防止泥水沉积堵塞而影响管道的过水能力。管道衔接应防止泄漏污染地下水和掏空地基，淤塞应及时疏浚，保证管道通畅。污水干管和支管设计中，选择适当充满度和最小设计流速，防止污泥沉积。对于各泵站应设有专人负责，平日加强对机械设备的维护，一旦发生事故应及时进行维修。</w:t>
            </w:r>
          </w:p>
          <w:p w14:paraId="54DC3B3E">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管理方面的防范措施</w:t>
            </w:r>
            <w:r>
              <w:rPr>
                <w:rFonts w:hint="eastAsia" w:ascii="Times New Roman" w:hAnsi="Times New Roman" w:eastAsia="宋体" w:cs="Times New Roman"/>
                <w:b/>
                <w:bCs/>
                <w:color w:val="auto"/>
                <w:sz w:val="24"/>
                <w:szCs w:val="24"/>
                <w:highlight w:val="none"/>
                <w:lang w:eastAsia="zh-CN"/>
              </w:rPr>
              <w:t>：</w:t>
            </w:r>
          </w:p>
          <w:p w14:paraId="7B944E58">
            <w:pPr>
              <w:pStyle w:val="29"/>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平时加强对操作人员的安全培训，制定严格的操作规程，操作人员需进行必要的安全培训后方可上岗。</w:t>
            </w:r>
          </w:p>
          <w:p w14:paraId="0A205DD7">
            <w:pPr>
              <w:spacing w:line="360" w:lineRule="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 xml:space="preserve">.5  </w:t>
            </w:r>
            <w:r>
              <w:rPr>
                <w:rFonts w:hint="default" w:ascii="Times New Roman" w:hAnsi="Times New Roman" w:eastAsia="宋体" w:cs="Times New Roman"/>
                <w:b/>
                <w:bCs/>
                <w:color w:val="auto"/>
                <w:sz w:val="24"/>
                <w:szCs w:val="24"/>
                <w:highlight w:val="none"/>
              </w:rPr>
              <w:t>应急</w:t>
            </w:r>
            <w:r>
              <w:rPr>
                <w:rFonts w:hint="default" w:ascii="Times New Roman" w:hAnsi="Times New Roman" w:eastAsia="宋体" w:cs="Times New Roman"/>
                <w:b/>
                <w:bCs/>
                <w:color w:val="auto"/>
                <w:sz w:val="24"/>
                <w:szCs w:val="24"/>
                <w:highlight w:val="none"/>
                <w:lang w:val="en-US" w:eastAsia="zh-CN"/>
              </w:rPr>
              <w:t>管理制度</w:t>
            </w:r>
          </w:p>
          <w:p w14:paraId="16BCB077">
            <w:pPr>
              <w:spacing w:line="360" w:lineRule="auto"/>
              <w:ind w:firstLine="470" w:firstLineChars="19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企业须按照《企事业单位和工业园区突发环境事件应急预案编制导则》的通知（DB32/T</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3795-2020）的要求</w:t>
            </w:r>
            <w:r>
              <w:rPr>
                <w:rFonts w:hint="eastAsia"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rPr>
              <w:t>突发环境事件应急预案</w:t>
            </w:r>
            <w:r>
              <w:rPr>
                <w:rFonts w:hint="eastAsia" w:cs="Times New Roman"/>
                <w:color w:val="auto"/>
                <w:sz w:val="24"/>
                <w:szCs w:val="24"/>
                <w:highlight w:val="none"/>
                <w:lang w:val="en-US" w:eastAsia="zh-CN"/>
              </w:rPr>
              <w:t>修编</w:t>
            </w:r>
            <w:r>
              <w:rPr>
                <w:rFonts w:hint="default" w:ascii="Times New Roman" w:hAnsi="Times New Roman" w:eastAsia="宋体" w:cs="Times New Roman"/>
                <w:color w:val="auto"/>
                <w:sz w:val="24"/>
                <w:szCs w:val="24"/>
                <w:highlight w:val="none"/>
              </w:rPr>
              <w:t>并报相关部门备案。定期组织学习事故应急预案和演练，根据演习情况结合实际对预案进行适当修改；应急队伍要进行专业培训，并要有培训记录和档案；同时，加强各应急救援专业队伍的建设，配备相应器材并确保设备性能完好，保证与相城区各级应急预案相衔接与联动有效，接受上级应急机构的指导。</w:t>
            </w:r>
          </w:p>
          <w:p w14:paraId="5FCA70E9">
            <w:pPr>
              <w:spacing w:line="360" w:lineRule="auto"/>
              <w:ind w:firstLine="470" w:firstLineChars="19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针对应急救援，企业应配备相应的应急救援物资，如防护服、灭火器、紧急喷淋装置等。当有事故发生时，能协助参与应急救援。</w:t>
            </w:r>
          </w:p>
          <w:p w14:paraId="3B29603A">
            <w:pPr>
              <w:spacing w:line="360" w:lineRule="auto"/>
              <w:ind w:firstLine="470" w:firstLineChars="196"/>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根据《省生态环境厅关于印发江苏省环境影响评价文件环境应急相关内容编制要点的通知》（苏环办〔2022〕338号），企业应从以下5个方面完善环境应急管理制度内容。包括：</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rPr>
              <w:t>突发环境事件应急预案的编制、修订和备案要求；</w:t>
            </w:r>
            <w:r>
              <w:rPr>
                <w:rFonts w:hint="eastAsia"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rPr>
              <w:t>环境应急物资装备配备要求，明确种类、数量及存放地点；</w:t>
            </w:r>
            <w:r>
              <w:rPr>
                <w:rFonts w:hint="eastAsia"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rPr>
              <w:t>园区层面开展突发环境事件隐患排查治理的要求，明确内容、方式和频次，建立督促企业开展隐患排查治理的制度；</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rPr>
              <w:t>环境应急培训和演练内容、方式、频次和台账记录要求；</w:t>
            </w:r>
            <w:r>
              <w:rPr>
                <w:rFonts w:hint="eastAsia" w:ascii="Times New Roman" w:hAnsi="Times New Roman" w:eastAsia="宋体" w:cs="Times New Roman"/>
                <w:color w:val="auto"/>
                <w:sz w:val="24"/>
                <w:szCs w:val="24"/>
                <w:highlight w:val="none"/>
                <w:lang w:val="en-US" w:eastAsia="zh-CN"/>
              </w:rPr>
              <w:t>E</w:t>
            </w:r>
            <w:r>
              <w:rPr>
                <w:rFonts w:hint="eastAsia" w:ascii="Times New Roman" w:hAnsi="Times New Roman" w:eastAsia="宋体" w:cs="Times New Roman"/>
                <w:color w:val="auto"/>
                <w:sz w:val="24"/>
                <w:szCs w:val="24"/>
                <w:highlight w:val="none"/>
              </w:rPr>
              <w:t>环境应急管理人员和应急救援队伍的配备要求。</w:t>
            </w:r>
          </w:p>
          <w:p w14:paraId="54EC2AB3">
            <w:pPr>
              <w:spacing w:line="360" w:lineRule="auto"/>
              <w:ind w:firstLine="470" w:firstLineChars="196"/>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运行后，须加强事故防范措施的宣传教育，严格遵守事故防范措施及安全法律法规的要求开展项目的生产建设，并根据实际运行情况对安全事故隐患进行调查登记，将本项目风险事故发生概率控制在最小范围内。</w:t>
            </w:r>
          </w:p>
          <w:p w14:paraId="1F9B3E4D">
            <w:pPr>
              <w:spacing w:line="360" w:lineRule="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.6  竣工验收内容</w:t>
            </w:r>
          </w:p>
          <w:p w14:paraId="2300D7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建设单位应按照《建设项目竣工环境保护验收暂行办法》（原国家环境保护部，国环规环评〔2017〕4号）的要求，及时开展项目竣工环境保护验收工作。在验收时，须检查环评指出的风险防范措施是否落实，规章制度是否健全等。</w:t>
            </w:r>
          </w:p>
          <w:p w14:paraId="02133C9F">
            <w:pPr>
              <w:spacing w:line="360" w:lineRule="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环境风险评价结论</w:t>
            </w:r>
          </w:p>
          <w:p w14:paraId="059D6A20">
            <w:pPr>
              <w:spacing w:line="360" w:lineRule="auto"/>
              <w:ind w:firstLine="480"/>
              <w:rPr>
                <w:rFonts w:hint="default" w:ascii="Times New Roman" w:hAnsi="Times New Roman" w:eastAsia="宋体" w:cs="Times New Roman"/>
                <w:bCs/>
                <w:color w:val="auto"/>
                <w:sz w:val="24"/>
                <w:szCs w:val="24"/>
                <w:highlight w:val="none"/>
              </w:rPr>
            </w:pPr>
            <w:r>
              <w:rPr>
                <w:rFonts w:ascii="Times New Roman" w:hAnsi="Times New Roman" w:cs="Times New Roman"/>
                <w:color w:val="auto"/>
                <w:kern w:val="0"/>
                <w:sz w:val="24"/>
                <w:highlight w:val="none"/>
                <w:lang w:bidi="ar"/>
              </w:rPr>
              <w:t>本项目无重大危险源，对周围环境影响有一定的影响，但在风险可接受范围内。企业应该认真做好各项风险防范措施，完善管理制度，储运应该严格操作，杜绝风险事故的发生。严格履行风险应急预案，一旦发生突发事故，企业除了根据内部制定和履行最快最有效的应急预案自救外，应立即报当地环保及其他相关行政部门。项目实施后的环境风险事故水平在可接受范围之内</w:t>
            </w:r>
            <w:r>
              <w:rPr>
                <w:rFonts w:hint="eastAsia" w:ascii="Times New Roman" w:hAnsi="Times New Roman" w:cs="Times New Roman"/>
                <w:color w:val="auto"/>
                <w:kern w:val="0"/>
                <w:sz w:val="24"/>
                <w:highlight w:val="none"/>
                <w:lang w:eastAsia="zh-CN" w:bidi="ar"/>
              </w:rPr>
              <w:t>。</w:t>
            </w:r>
          </w:p>
          <w:p w14:paraId="3BB3809D">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both"/>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eastAsia="zh-CN"/>
              </w:rPr>
              <w:t>、电磁辐射</w:t>
            </w:r>
          </w:p>
          <w:p w14:paraId="1061CB9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本项目不涉及电磁辐射源。</w:t>
            </w:r>
          </w:p>
          <w:p w14:paraId="2C078481">
            <w:pPr>
              <w:adjustRightInd w:val="0"/>
              <w:snapToGrid w:val="0"/>
              <w:spacing w:line="360" w:lineRule="auto"/>
              <w:rPr>
                <w:bCs/>
                <w:color w:val="auto"/>
                <w:szCs w:val="21"/>
                <w:highlight w:val="none"/>
              </w:rPr>
            </w:pPr>
          </w:p>
        </w:tc>
      </w:tr>
    </w:tbl>
    <w:p w14:paraId="441E6238">
      <w:pPr>
        <w:adjustRightInd w:val="0"/>
        <w:snapToGrid w:val="0"/>
        <w:spacing w:line="360" w:lineRule="auto"/>
        <w:rPr>
          <w:b/>
          <w:color w:val="auto"/>
          <w:kern w:val="0"/>
          <w:sz w:val="28"/>
          <w:szCs w:val="28"/>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1698C46F">
      <w:pPr>
        <w:pStyle w:val="18"/>
        <w:spacing w:before="0" w:beforeAutospacing="0" w:after="0" w:afterAutospacing="0" w:line="360" w:lineRule="auto"/>
        <w:jc w:val="center"/>
        <w:outlineLvl w:val="0"/>
        <w:rPr>
          <w:rFonts w:ascii="黑体" w:hAnsi="黑体" w:eastAsia="黑体"/>
          <w:snapToGrid w:val="0"/>
          <w:color w:val="auto"/>
          <w:sz w:val="30"/>
          <w:szCs w:val="30"/>
          <w:highlight w:val="none"/>
        </w:rPr>
      </w:pPr>
      <w:bookmarkStart w:id="20" w:name="_Toc30990"/>
      <w:bookmarkStart w:id="21" w:name="_Toc20279"/>
      <w:r>
        <w:rPr>
          <w:rFonts w:ascii="黑体" w:hAnsi="黑体" w:eastAsia="黑体"/>
          <w:snapToGrid w:val="0"/>
          <w:color w:val="auto"/>
          <w:sz w:val="30"/>
          <w:szCs w:val="30"/>
          <w:highlight w:val="none"/>
        </w:rPr>
        <w:t>五、</w:t>
      </w:r>
      <w:bookmarkStart w:id="22" w:name="_Hlk54167917"/>
      <w:r>
        <w:rPr>
          <w:rFonts w:ascii="黑体" w:hAnsi="黑体" w:eastAsia="黑体"/>
          <w:snapToGrid w:val="0"/>
          <w:color w:val="auto"/>
          <w:sz w:val="30"/>
          <w:szCs w:val="30"/>
          <w:highlight w:val="none"/>
        </w:rPr>
        <w:t>环境保护措施监督检查清单</w:t>
      </w:r>
      <w:bookmarkEnd w:id="20"/>
      <w:bookmarkEnd w:id="21"/>
      <w:bookmarkEnd w:id="22"/>
    </w:p>
    <w:tbl>
      <w:tblPr>
        <w:tblStyle w:val="20"/>
        <w:tblW w:w="90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331"/>
        <w:gridCol w:w="1646"/>
        <w:gridCol w:w="1883"/>
        <w:gridCol w:w="2936"/>
      </w:tblGrid>
      <w:tr w14:paraId="37443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tcBorders>
              <w:top w:val="single" w:color="auto" w:sz="8" w:space="0"/>
              <w:bottom w:val="single" w:color="auto" w:sz="4" w:space="0"/>
              <w:tl2br w:val="single" w:color="auto" w:sz="4" w:space="0"/>
            </w:tcBorders>
          </w:tcPr>
          <w:p w14:paraId="7DB48F31">
            <w:pPr>
              <w:keepNext w:val="0"/>
              <w:keepLines w:val="0"/>
              <w:pageBreakBefore w:val="0"/>
              <w:widowControl w:val="0"/>
              <w:kinsoku/>
              <w:wordWrap/>
              <w:overflowPunct/>
              <w:topLinePunct w:val="0"/>
              <w:bidi w:val="0"/>
              <w:adjustRightInd w:val="0"/>
              <w:snapToGrid w:val="0"/>
              <w:spacing w:line="240" w:lineRule="auto"/>
              <w:jc w:val="righ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12E645D6">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331" w:type="dxa"/>
            <w:tcBorders>
              <w:top w:val="single" w:color="auto" w:sz="8" w:space="0"/>
              <w:bottom w:val="single" w:color="auto" w:sz="4" w:space="0"/>
            </w:tcBorders>
            <w:vAlign w:val="center"/>
          </w:tcPr>
          <w:p w14:paraId="73CF62F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646" w:type="dxa"/>
            <w:tcBorders>
              <w:top w:val="single" w:color="auto" w:sz="8" w:space="0"/>
              <w:bottom w:val="single" w:color="auto" w:sz="4" w:space="0"/>
            </w:tcBorders>
            <w:vAlign w:val="center"/>
          </w:tcPr>
          <w:p w14:paraId="7613B06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883" w:type="dxa"/>
            <w:tcBorders>
              <w:top w:val="single" w:color="auto" w:sz="8" w:space="0"/>
              <w:bottom w:val="single" w:color="auto" w:sz="4" w:space="0"/>
            </w:tcBorders>
            <w:vAlign w:val="center"/>
          </w:tcPr>
          <w:p w14:paraId="6C63858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936" w:type="dxa"/>
            <w:tcBorders>
              <w:top w:val="single" w:color="auto" w:sz="8" w:space="0"/>
              <w:bottom w:val="single" w:color="auto" w:sz="4" w:space="0"/>
            </w:tcBorders>
            <w:vAlign w:val="center"/>
          </w:tcPr>
          <w:p w14:paraId="4106A71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5E41B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restart"/>
            <w:tcBorders>
              <w:top w:val="single" w:color="auto" w:sz="4" w:space="0"/>
            </w:tcBorders>
            <w:vAlign w:val="center"/>
          </w:tcPr>
          <w:p w14:paraId="58EE020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大气环境</w:t>
            </w:r>
          </w:p>
        </w:tc>
        <w:tc>
          <w:tcPr>
            <w:tcW w:w="1331" w:type="dxa"/>
            <w:vMerge w:val="restart"/>
            <w:tcBorders>
              <w:top w:val="single" w:color="auto" w:sz="4" w:space="0"/>
            </w:tcBorders>
            <w:vAlign w:val="center"/>
          </w:tcPr>
          <w:p w14:paraId="1B824DD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DA001（排气筒）</w:t>
            </w:r>
          </w:p>
        </w:tc>
        <w:tc>
          <w:tcPr>
            <w:tcW w:w="1646" w:type="dxa"/>
            <w:tcBorders>
              <w:top w:val="single" w:color="auto" w:sz="4" w:space="0"/>
            </w:tcBorders>
            <w:vAlign w:val="center"/>
          </w:tcPr>
          <w:p w14:paraId="30B3A57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颗粒物（喷粉）</w:t>
            </w:r>
          </w:p>
        </w:tc>
        <w:tc>
          <w:tcPr>
            <w:tcW w:w="1883" w:type="dxa"/>
            <w:tcBorders>
              <w:top w:val="single" w:color="auto" w:sz="4" w:space="0"/>
            </w:tcBorders>
            <w:vAlign w:val="center"/>
          </w:tcPr>
          <w:p w14:paraId="76DE773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滤芯回收装置处理后于15m高DA001排气筒排放</w:t>
            </w:r>
          </w:p>
        </w:tc>
        <w:tc>
          <w:tcPr>
            <w:tcW w:w="2936" w:type="dxa"/>
            <w:tcBorders>
              <w:top w:val="single" w:color="auto" w:sz="4" w:space="0"/>
            </w:tcBorders>
            <w:vAlign w:val="center"/>
          </w:tcPr>
          <w:p w14:paraId="4F8FE49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《表面涂装（汽车零部件）大气污染物排放标准》（DB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32/3966-2021）</w:t>
            </w:r>
          </w:p>
        </w:tc>
      </w:tr>
      <w:tr w14:paraId="2CA5B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continue"/>
            <w:vAlign w:val="center"/>
          </w:tcPr>
          <w:p w14:paraId="1906113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331" w:type="dxa"/>
            <w:vMerge w:val="continue"/>
            <w:vAlign w:val="center"/>
          </w:tcPr>
          <w:p w14:paraId="7AA63F4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1646" w:type="dxa"/>
            <w:tcBorders>
              <w:top w:val="single" w:color="auto" w:sz="4" w:space="0"/>
            </w:tcBorders>
            <w:vAlign w:val="center"/>
          </w:tcPr>
          <w:p w14:paraId="16984F3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非甲烷总烃、TVOC、颗粒物</w:t>
            </w:r>
          </w:p>
        </w:tc>
        <w:tc>
          <w:tcPr>
            <w:tcW w:w="1883" w:type="dxa"/>
            <w:vMerge w:val="restart"/>
            <w:vAlign w:val="center"/>
          </w:tcPr>
          <w:p w14:paraId="59186D9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经1套“碱性喷淋塔+干式过滤器+二级活性炭”装置处理后于15m高DA001排气筒排放</w:t>
            </w:r>
          </w:p>
        </w:tc>
        <w:tc>
          <w:tcPr>
            <w:tcW w:w="2936" w:type="dxa"/>
            <w:tcBorders>
              <w:top w:val="single" w:color="auto" w:sz="4" w:space="0"/>
            </w:tcBorders>
            <w:vAlign w:val="center"/>
          </w:tcPr>
          <w:p w14:paraId="556584FF">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《表面涂装（汽车零部件）大气污染物排放标准》（DB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32/3966-2021）</w:t>
            </w:r>
          </w:p>
        </w:tc>
      </w:tr>
      <w:tr w14:paraId="2A644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continue"/>
            <w:vAlign w:val="center"/>
          </w:tcPr>
          <w:p w14:paraId="39DF7E9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331" w:type="dxa"/>
            <w:vMerge w:val="continue"/>
            <w:vAlign w:val="center"/>
          </w:tcPr>
          <w:p w14:paraId="03FFBF1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1646" w:type="dxa"/>
            <w:tcBorders>
              <w:top w:val="single" w:color="auto" w:sz="4" w:space="0"/>
            </w:tcBorders>
            <w:vAlign w:val="center"/>
          </w:tcPr>
          <w:p w14:paraId="49818E2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二氧化硫、氮氧化物</w:t>
            </w:r>
          </w:p>
        </w:tc>
        <w:tc>
          <w:tcPr>
            <w:tcW w:w="1883" w:type="dxa"/>
            <w:vMerge w:val="continue"/>
            <w:vAlign w:val="center"/>
          </w:tcPr>
          <w:p w14:paraId="00795EF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2936" w:type="dxa"/>
            <w:tcBorders>
              <w:top w:val="single" w:color="auto" w:sz="4" w:space="0"/>
            </w:tcBorders>
            <w:vAlign w:val="center"/>
          </w:tcPr>
          <w:p w14:paraId="5C55BD4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《工业炉窑大气污染物排放标准》（DB 32/3728-2020</w:t>
            </w:r>
            <w:r>
              <w:rPr>
                <w:rFonts w:hint="eastAsia" w:ascii="Times New Roman" w:hAnsi="Times New Roman" w:eastAsia="宋体" w:cs="Times New Roman"/>
                <w:color w:val="auto"/>
                <w:sz w:val="21"/>
                <w:szCs w:val="21"/>
                <w:highlight w:val="none"/>
                <w:lang w:val="en-US" w:eastAsia="zh-CN"/>
              </w:rPr>
              <w:t>）</w:t>
            </w:r>
          </w:p>
        </w:tc>
      </w:tr>
      <w:tr w14:paraId="6EE72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continue"/>
            <w:vAlign w:val="center"/>
          </w:tcPr>
          <w:p w14:paraId="2B9901FB">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331" w:type="dxa"/>
            <w:vMerge w:val="continue"/>
            <w:vAlign w:val="center"/>
          </w:tcPr>
          <w:p w14:paraId="3721D82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1646" w:type="dxa"/>
            <w:tcBorders>
              <w:top w:val="single" w:color="auto" w:sz="4" w:space="0"/>
            </w:tcBorders>
            <w:vAlign w:val="center"/>
          </w:tcPr>
          <w:p w14:paraId="4B53E69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硫酸雾、氯化氢</w:t>
            </w:r>
          </w:p>
        </w:tc>
        <w:tc>
          <w:tcPr>
            <w:tcW w:w="1883" w:type="dxa"/>
            <w:vMerge w:val="continue"/>
            <w:vAlign w:val="center"/>
          </w:tcPr>
          <w:p w14:paraId="29C5E3E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2936" w:type="dxa"/>
            <w:tcBorders>
              <w:top w:val="single" w:color="auto" w:sz="4" w:space="0"/>
            </w:tcBorders>
            <w:vAlign w:val="center"/>
          </w:tcPr>
          <w:p w14:paraId="27DBBC2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《大气污染物综合排放标准》（DB 32/4041-2021）表1</w:t>
            </w:r>
          </w:p>
        </w:tc>
      </w:tr>
      <w:tr w14:paraId="735D7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54" w:type="dxa"/>
            <w:vMerge w:val="continue"/>
            <w:vAlign w:val="center"/>
          </w:tcPr>
          <w:p w14:paraId="5762D97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331" w:type="dxa"/>
            <w:vMerge w:val="restart"/>
            <w:vAlign w:val="center"/>
          </w:tcPr>
          <w:p w14:paraId="2A87946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无组织（厂界）</w:t>
            </w:r>
          </w:p>
        </w:tc>
        <w:tc>
          <w:tcPr>
            <w:tcW w:w="1646" w:type="dxa"/>
            <w:tcBorders>
              <w:top w:val="single" w:color="auto" w:sz="4" w:space="0"/>
            </w:tcBorders>
            <w:vAlign w:val="center"/>
          </w:tcPr>
          <w:p w14:paraId="1E1D0ED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颗粒物、非甲烷总烃、二氧化硫、氮氧化物、硫酸雾、氯化氢</w:t>
            </w:r>
          </w:p>
        </w:tc>
        <w:tc>
          <w:tcPr>
            <w:tcW w:w="1883" w:type="dxa"/>
            <w:tcBorders>
              <w:top w:val="single" w:color="auto" w:sz="4" w:space="0"/>
            </w:tcBorders>
            <w:vAlign w:val="center"/>
          </w:tcPr>
          <w:p w14:paraId="20F0F07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36" w:type="dxa"/>
            <w:tcBorders>
              <w:top w:val="single" w:color="auto" w:sz="4" w:space="0"/>
            </w:tcBorders>
            <w:vAlign w:val="center"/>
          </w:tcPr>
          <w:p w14:paraId="02A1522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《大气污染物综合排放标准》（DB</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32/4041-2021）表</w:t>
            </w:r>
            <w:r>
              <w:rPr>
                <w:rFonts w:hint="eastAsia" w:cs="Times New Roman"/>
                <w:color w:val="auto"/>
                <w:sz w:val="21"/>
                <w:szCs w:val="21"/>
                <w:highlight w:val="none"/>
                <w:lang w:val="en-US" w:eastAsia="zh-CN"/>
              </w:rPr>
              <w:t>3</w:t>
            </w:r>
          </w:p>
        </w:tc>
      </w:tr>
      <w:tr w14:paraId="3F36A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continue"/>
            <w:vAlign w:val="center"/>
          </w:tcPr>
          <w:p w14:paraId="739D62A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331" w:type="dxa"/>
            <w:vMerge w:val="continue"/>
            <w:vAlign w:val="center"/>
          </w:tcPr>
          <w:p w14:paraId="68927CB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1646" w:type="dxa"/>
            <w:tcBorders>
              <w:top w:val="single" w:color="auto" w:sz="4" w:space="0"/>
            </w:tcBorders>
            <w:vAlign w:val="center"/>
          </w:tcPr>
          <w:p w14:paraId="6649C36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氨、硫化氢、臭气浓度</w:t>
            </w:r>
          </w:p>
        </w:tc>
        <w:tc>
          <w:tcPr>
            <w:tcW w:w="1883" w:type="dxa"/>
            <w:tcBorders>
              <w:top w:val="single" w:color="auto" w:sz="4" w:space="0"/>
            </w:tcBorders>
            <w:vAlign w:val="center"/>
          </w:tcPr>
          <w:p w14:paraId="6767EA6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36" w:type="dxa"/>
            <w:vAlign w:val="center"/>
          </w:tcPr>
          <w:p w14:paraId="278C229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 14554-93）表1二级</w:t>
            </w:r>
          </w:p>
        </w:tc>
      </w:tr>
      <w:tr w14:paraId="26432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restart"/>
            <w:tcBorders>
              <w:top w:val="single" w:color="auto" w:sz="4" w:space="0"/>
              <w:right w:val="single" w:color="auto" w:sz="4" w:space="0"/>
            </w:tcBorders>
            <w:vAlign w:val="center"/>
          </w:tcPr>
          <w:p w14:paraId="195E289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331" w:type="dxa"/>
            <w:tcBorders>
              <w:top w:val="single" w:color="auto" w:sz="4" w:space="0"/>
              <w:left w:val="single" w:color="auto" w:sz="4" w:space="0"/>
              <w:right w:val="single" w:color="auto" w:sz="4" w:space="0"/>
            </w:tcBorders>
            <w:vAlign w:val="center"/>
          </w:tcPr>
          <w:p w14:paraId="4C480F6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纯水制备浓水</w:t>
            </w:r>
          </w:p>
        </w:tc>
        <w:tc>
          <w:tcPr>
            <w:tcW w:w="1646" w:type="dxa"/>
            <w:tcBorders>
              <w:top w:val="single" w:color="auto" w:sz="4" w:space="0"/>
              <w:left w:val="single" w:color="auto" w:sz="4" w:space="0"/>
              <w:right w:val="single" w:color="auto" w:sz="4" w:space="0"/>
            </w:tcBorders>
            <w:vAlign w:val="center"/>
          </w:tcPr>
          <w:p w14:paraId="0384E25B">
            <w:pPr>
              <w:pStyle w:val="4"/>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COD、SS</w:t>
            </w:r>
          </w:p>
        </w:tc>
        <w:tc>
          <w:tcPr>
            <w:tcW w:w="1883" w:type="dxa"/>
            <w:tcBorders>
              <w:top w:val="single" w:color="auto" w:sz="4" w:space="0"/>
              <w:left w:val="single" w:color="auto" w:sz="4" w:space="0"/>
              <w:right w:val="single" w:color="auto" w:sz="4" w:space="0"/>
            </w:tcBorders>
            <w:vAlign w:val="center"/>
          </w:tcPr>
          <w:p w14:paraId="1BEC660C">
            <w:pPr>
              <w:pStyle w:val="15"/>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经市政污水管网排入苏州市高铁新城污水厂进行集中处理</w:t>
            </w:r>
          </w:p>
        </w:tc>
        <w:tc>
          <w:tcPr>
            <w:tcW w:w="2936" w:type="dxa"/>
            <w:tcBorders>
              <w:top w:val="single" w:color="auto" w:sz="4" w:space="0"/>
              <w:left w:val="single" w:color="auto" w:sz="4" w:space="0"/>
              <w:right w:val="single" w:color="auto" w:sz="8" w:space="0"/>
            </w:tcBorders>
            <w:vAlign w:val="center"/>
          </w:tcPr>
          <w:p w14:paraId="57139B8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苏州市高铁新城污水厂</w:t>
            </w:r>
            <w:r>
              <w:rPr>
                <w:rFonts w:hint="default" w:ascii="Times New Roman" w:hAnsi="Times New Roman" w:eastAsia="宋体" w:cs="Times New Roman"/>
                <w:color w:val="auto"/>
                <w:sz w:val="21"/>
                <w:szCs w:val="21"/>
                <w:highlight w:val="none"/>
              </w:rPr>
              <w:t>接管标准</w:t>
            </w:r>
          </w:p>
        </w:tc>
      </w:tr>
      <w:tr w14:paraId="40B59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Merge w:val="continue"/>
            <w:tcBorders>
              <w:right w:val="single" w:color="auto" w:sz="4" w:space="0"/>
            </w:tcBorders>
            <w:vAlign w:val="center"/>
          </w:tcPr>
          <w:p w14:paraId="66E9376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331" w:type="dxa"/>
            <w:tcBorders>
              <w:top w:val="single" w:color="auto" w:sz="4" w:space="0"/>
              <w:left w:val="single" w:color="auto" w:sz="4" w:space="0"/>
              <w:right w:val="single" w:color="auto" w:sz="4" w:space="0"/>
            </w:tcBorders>
            <w:vAlign w:val="center"/>
          </w:tcPr>
          <w:p w14:paraId="6E9AF866">
            <w:pPr>
              <w:keepNext w:val="0"/>
              <w:keepLines w:val="0"/>
              <w:pageBreakBefore w:val="0"/>
              <w:widowControl w:val="0"/>
              <w:kinsoku/>
              <w:wordWrap/>
              <w:overflowPunct/>
              <w:topLinePunct w:val="0"/>
              <w:bidi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生产废水、地面清洗水</w:t>
            </w:r>
          </w:p>
        </w:tc>
        <w:tc>
          <w:tcPr>
            <w:tcW w:w="1646" w:type="dxa"/>
            <w:tcBorders>
              <w:top w:val="single" w:color="auto" w:sz="4" w:space="0"/>
              <w:left w:val="single" w:color="auto" w:sz="4" w:space="0"/>
              <w:right w:val="single" w:color="auto" w:sz="4" w:space="0"/>
            </w:tcBorders>
            <w:vAlign w:val="center"/>
          </w:tcPr>
          <w:p w14:paraId="74B7DEF5">
            <w:pPr>
              <w:pStyle w:val="4"/>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-N、TP、TN</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石油类、LAS</w:t>
            </w:r>
          </w:p>
        </w:tc>
        <w:tc>
          <w:tcPr>
            <w:tcW w:w="1883" w:type="dxa"/>
            <w:tcBorders>
              <w:left w:val="single" w:color="auto" w:sz="4" w:space="0"/>
              <w:right w:val="single" w:color="auto" w:sz="4" w:space="0"/>
            </w:tcBorders>
            <w:vAlign w:val="center"/>
          </w:tcPr>
          <w:p w14:paraId="60D4233D">
            <w:pPr>
              <w:pStyle w:val="15"/>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生产废水经厂区污水处理站处理后与纯水制备浓水一起经市政污水管网排入苏州市高铁新城污水厂进行集中处理</w:t>
            </w:r>
          </w:p>
        </w:tc>
        <w:tc>
          <w:tcPr>
            <w:tcW w:w="2936" w:type="dxa"/>
            <w:tcBorders>
              <w:left w:val="single" w:color="auto" w:sz="4" w:space="0"/>
              <w:right w:val="single" w:color="auto" w:sz="8" w:space="0"/>
            </w:tcBorders>
            <w:vAlign w:val="center"/>
          </w:tcPr>
          <w:p w14:paraId="13E576B4">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苏州市高铁新城污水厂</w:t>
            </w:r>
            <w:r>
              <w:rPr>
                <w:rFonts w:hint="default" w:ascii="Times New Roman" w:hAnsi="Times New Roman" w:eastAsia="宋体" w:cs="Times New Roman"/>
                <w:color w:val="auto"/>
                <w:sz w:val="21"/>
                <w:szCs w:val="21"/>
                <w:highlight w:val="none"/>
              </w:rPr>
              <w:t>接管标准</w:t>
            </w:r>
          </w:p>
        </w:tc>
      </w:tr>
      <w:tr w14:paraId="63D0C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tcBorders>
              <w:top w:val="single" w:color="auto" w:sz="4" w:space="0"/>
              <w:bottom w:val="single" w:color="auto" w:sz="4" w:space="0"/>
            </w:tcBorders>
            <w:vAlign w:val="center"/>
          </w:tcPr>
          <w:p w14:paraId="78E599E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331" w:type="dxa"/>
            <w:tcBorders>
              <w:top w:val="single" w:color="auto" w:sz="4" w:space="0"/>
              <w:bottom w:val="single" w:color="auto" w:sz="4" w:space="0"/>
            </w:tcBorders>
            <w:vAlign w:val="center"/>
          </w:tcPr>
          <w:p w14:paraId="1B4D85E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机械设备噪声</w:t>
            </w:r>
          </w:p>
        </w:tc>
        <w:tc>
          <w:tcPr>
            <w:tcW w:w="1646" w:type="dxa"/>
            <w:tcBorders>
              <w:top w:val="single" w:color="auto" w:sz="4" w:space="0"/>
              <w:bottom w:val="single" w:color="auto" w:sz="4" w:space="0"/>
            </w:tcBorders>
            <w:vAlign w:val="center"/>
          </w:tcPr>
          <w:p w14:paraId="0816290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等效A声级</w:t>
            </w:r>
          </w:p>
        </w:tc>
        <w:tc>
          <w:tcPr>
            <w:tcW w:w="1883" w:type="dxa"/>
            <w:tcBorders>
              <w:top w:val="single" w:color="auto" w:sz="4" w:space="0"/>
              <w:bottom w:val="single" w:color="auto" w:sz="4" w:space="0"/>
            </w:tcBorders>
            <w:vAlign w:val="center"/>
          </w:tcPr>
          <w:p w14:paraId="55301FD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选用低噪声设备，利用墙体隔声、合理平面布局，距离衰减</w:t>
            </w:r>
          </w:p>
        </w:tc>
        <w:tc>
          <w:tcPr>
            <w:tcW w:w="2936" w:type="dxa"/>
            <w:tcBorders>
              <w:top w:val="single" w:color="auto" w:sz="4" w:space="0"/>
              <w:bottom w:val="single" w:color="auto" w:sz="4" w:space="0"/>
            </w:tcBorders>
            <w:vAlign w:val="center"/>
          </w:tcPr>
          <w:p w14:paraId="3243884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cs="Times New Roman"/>
                <w:color w:val="auto"/>
                <w:sz w:val="21"/>
                <w:szCs w:val="21"/>
              </w:rPr>
              <w:t>（GB</w:t>
            </w:r>
            <w:r>
              <w:rPr>
                <w:rFonts w:hint="eastAsia" w:cs="Times New Roman"/>
                <w:color w:val="auto"/>
                <w:sz w:val="21"/>
                <w:szCs w:val="21"/>
                <w:lang w:val="en-US" w:eastAsia="zh-CN"/>
              </w:rPr>
              <w:t xml:space="preserve"> </w:t>
            </w:r>
            <w:r>
              <w:rPr>
                <w:rFonts w:cs="Times New Roman"/>
                <w:color w:val="auto"/>
                <w:sz w:val="21"/>
                <w:szCs w:val="21"/>
              </w:rPr>
              <w:t>12348-2008）</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14:paraId="69C4A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54" w:type="dxa"/>
            <w:tcBorders>
              <w:top w:val="single" w:color="auto" w:sz="4" w:space="0"/>
              <w:bottom w:val="single" w:color="auto" w:sz="4" w:space="0"/>
            </w:tcBorders>
            <w:vAlign w:val="center"/>
          </w:tcPr>
          <w:p w14:paraId="5B72A46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331" w:type="dxa"/>
            <w:tcBorders>
              <w:top w:val="single" w:color="auto" w:sz="4" w:space="0"/>
              <w:bottom w:val="single" w:color="auto" w:sz="4" w:space="0"/>
            </w:tcBorders>
            <w:vAlign w:val="center"/>
          </w:tcPr>
          <w:p w14:paraId="5819141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46" w:type="dxa"/>
            <w:tcBorders>
              <w:top w:val="single" w:color="auto" w:sz="4" w:space="0"/>
              <w:bottom w:val="single" w:color="auto" w:sz="4" w:space="0"/>
            </w:tcBorders>
            <w:vAlign w:val="center"/>
          </w:tcPr>
          <w:p w14:paraId="5523F9E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83" w:type="dxa"/>
            <w:tcBorders>
              <w:top w:val="single" w:color="auto" w:sz="4" w:space="0"/>
              <w:bottom w:val="single" w:color="auto" w:sz="4" w:space="0"/>
            </w:tcBorders>
            <w:vAlign w:val="center"/>
          </w:tcPr>
          <w:p w14:paraId="6036634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936" w:type="dxa"/>
            <w:tcBorders>
              <w:top w:val="single" w:color="auto" w:sz="4" w:space="0"/>
              <w:bottom w:val="single" w:color="auto" w:sz="4" w:space="0"/>
            </w:tcBorders>
            <w:vAlign w:val="center"/>
          </w:tcPr>
          <w:p w14:paraId="218AED7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2317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254" w:type="dxa"/>
            <w:tcBorders>
              <w:top w:val="single" w:color="auto" w:sz="4" w:space="0"/>
              <w:bottom w:val="single" w:color="auto" w:sz="4" w:space="0"/>
            </w:tcBorders>
            <w:vAlign w:val="center"/>
          </w:tcPr>
          <w:p w14:paraId="381A875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796" w:type="dxa"/>
            <w:gridSpan w:val="4"/>
            <w:tcBorders>
              <w:top w:val="single" w:color="auto" w:sz="4" w:space="0"/>
            </w:tcBorders>
            <w:vAlign w:val="center"/>
          </w:tcPr>
          <w:p w14:paraId="1B27D56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一般工业固废暂存于一般固废暂存间，定期交由物资回收单位回收利用；危险废物</w:t>
            </w:r>
            <w:r>
              <w:rPr>
                <w:rFonts w:hint="eastAsia" w:cs="Times New Roman"/>
                <w:color w:val="auto"/>
                <w:sz w:val="21"/>
                <w:szCs w:val="21"/>
                <w:highlight w:val="none"/>
                <w:lang w:val="en-US" w:eastAsia="zh-CN"/>
              </w:rPr>
              <w:t>暂存于危废暂存间，定期</w:t>
            </w:r>
            <w:r>
              <w:rPr>
                <w:rFonts w:ascii="Times New Roman" w:hAnsi="Times New Roman" w:eastAsia="宋体" w:cs="Times New Roman"/>
                <w:color w:val="auto"/>
                <w:sz w:val="21"/>
                <w:szCs w:val="21"/>
                <w:highlight w:val="none"/>
              </w:rPr>
              <w:t>委托资质单位外运处置；生活垃圾交由环卫部门统一清运处理</w:t>
            </w:r>
          </w:p>
        </w:tc>
      </w:tr>
      <w:tr w14:paraId="19247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1254" w:type="dxa"/>
            <w:tcBorders>
              <w:top w:val="single" w:color="auto" w:sz="4" w:space="0"/>
              <w:bottom w:val="single" w:color="auto" w:sz="4" w:space="0"/>
            </w:tcBorders>
            <w:vAlign w:val="center"/>
          </w:tcPr>
          <w:p w14:paraId="1EDF1DD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796" w:type="dxa"/>
            <w:gridSpan w:val="4"/>
            <w:tcBorders>
              <w:top w:val="single" w:color="auto" w:sz="4" w:space="0"/>
              <w:bottom w:val="single" w:color="auto" w:sz="4" w:space="0"/>
            </w:tcBorders>
            <w:vAlign w:val="center"/>
          </w:tcPr>
          <w:p w14:paraId="130657D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①源头控制措施：主要包括提出各类废物循环利用的具体方案，减少污染物的排放量；提出工艺、管道、设备储存应采取的污染控制措施，制定渗漏监测方案，将污染物跑、冒、滴、漏降到最低限度。</w:t>
            </w:r>
          </w:p>
          <w:p w14:paraId="68C6C2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②分区防控措施：</w:t>
            </w:r>
            <w:r>
              <w:rPr>
                <w:rFonts w:hint="default" w:ascii="Times New Roman" w:hAnsi="Times New Roman" w:eastAsia="宋体" w:cs="Times New Roman"/>
                <w:color w:val="auto"/>
                <w:sz w:val="21"/>
                <w:szCs w:val="21"/>
                <w:highlight w:val="none"/>
                <w:lang w:eastAsia="zh-CN"/>
              </w:rPr>
              <w:t>按照划分的</w:t>
            </w:r>
            <w:r>
              <w:rPr>
                <w:rFonts w:hint="default" w:ascii="Times New Roman" w:hAnsi="Times New Roman" w:eastAsia="宋体" w:cs="Times New Roman"/>
                <w:color w:val="auto"/>
                <w:sz w:val="21"/>
                <w:szCs w:val="21"/>
                <w:highlight w:val="none"/>
              </w:rPr>
              <w:t>简单防渗区、一般防渗区、重点防渗区</w:t>
            </w:r>
            <w:r>
              <w:rPr>
                <w:rFonts w:hint="default" w:ascii="Times New Roman" w:hAnsi="Times New Roman" w:eastAsia="宋体" w:cs="Times New Roman"/>
                <w:color w:val="auto"/>
                <w:sz w:val="21"/>
                <w:szCs w:val="21"/>
                <w:highlight w:val="none"/>
                <w:lang w:eastAsia="zh-CN"/>
              </w:rPr>
              <w:t>的要求</w:t>
            </w:r>
            <w:r>
              <w:rPr>
                <w:rFonts w:hint="default" w:ascii="Times New Roman" w:hAnsi="Times New Roman" w:eastAsia="宋体" w:cs="Times New Roman"/>
                <w:color w:val="auto"/>
                <w:sz w:val="21"/>
                <w:szCs w:val="21"/>
                <w:highlight w:val="none"/>
              </w:rPr>
              <w:t>采取不同等级的防渗措施</w:t>
            </w:r>
            <w:r>
              <w:rPr>
                <w:rFonts w:hint="default" w:ascii="Times New Roman" w:hAnsi="Times New Roman" w:eastAsia="宋体" w:cs="Times New Roman"/>
                <w:color w:val="auto"/>
                <w:sz w:val="21"/>
                <w:szCs w:val="21"/>
                <w:highlight w:val="none"/>
                <w:lang w:eastAsia="zh-CN"/>
              </w:rPr>
              <w:t>。</w:t>
            </w:r>
          </w:p>
          <w:p w14:paraId="100D7616">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lang w:eastAsia="zh-CN"/>
              </w:rPr>
              <w:t>加强巡查，</w:t>
            </w:r>
            <w:r>
              <w:rPr>
                <w:rFonts w:hint="default" w:ascii="Times New Roman" w:hAnsi="Times New Roman" w:cs="Times New Roman"/>
                <w:color w:val="auto"/>
                <w:sz w:val="21"/>
                <w:szCs w:val="21"/>
                <w:highlight w:val="none"/>
              </w:rPr>
              <w:t>定期对</w:t>
            </w:r>
            <w:r>
              <w:rPr>
                <w:rFonts w:hint="default" w:ascii="Times New Roman" w:hAnsi="Times New Roman" w:cs="Times New Roman"/>
                <w:color w:val="auto"/>
                <w:sz w:val="21"/>
                <w:szCs w:val="21"/>
                <w:highlight w:val="none"/>
                <w:lang w:eastAsia="zh-CN"/>
              </w:rPr>
              <w:t>各生产</w:t>
            </w:r>
            <w:r>
              <w:rPr>
                <w:rFonts w:hint="default" w:ascii="Times New Roman" w:hAnsi="Times New Roman" w:cs="Times New Roman"/>
                <w:color w:val="auto"/>
                <w:sz w:val="21"/>
                <w:szCs w:val="21"/>
                <w:highlight w:val="none"/>
              </w:rPr>
              <w:t>设备</w:t>
            </w:r>
            <w:r>
              <w:rPr>
                <w:rFonts w:hint="default" w:ascii="Times New Roman" w:hAnsi="Times New Roman" w:cs="Times New Roman"/>
                <w:color w:val="auto"/>
                <w:sz w:val="21"/>
                <w:szCs w:val="21"/>
                <w:highlight w:val="none"/>
                <w:lang w:eastAsia="zh-CN"/>
              </w:rPr>
              <w:t>、废气处理设备</w:t>
            </w:r>
            <w:r>
              <w:rPr>
                <w:rFonts w:hint="default" w:ascii="Times New Roman" w:hAnsi="Times New Roman" w:cs="Times New Roman"/>
                <w:color w:val="auto"/>
                <w:sz w:val="21"/>
                <w:szCs w:val="21"/>
                <w:highlight w:val="none"/>
              </w:rPr>
              <w:t>等进行检修，防止跑、冒、滴、漏现象发生。</w:t>
            </w:r>
          </w:p>
        </w:tc>
      </w:tr>
      <w:tr w14:paraId="460C3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54" w:type="dxa"/>
            <w:tcBorders>
              <w:top w:val="single" w:color="auto" w:sz="4" w:space="0"/>
              <w:bottom w:val="single" w:color="auto" w:sz="4" w:space="0"/>
            </w:tcBorders>
            <w:vAlign w:val="center"/>
          </w:tcPr>
          <w:p w14:paraId="2622053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796" w:type="dxa"/>
            <w:gridSpan w:val="4"/>
            <w:tcBorders>
              <w:top w:val="single" w:color="auto" w:sz="4" w:space="0"/>
              <w:bottom w:val="single" w:color="auto" w:sz="4" w:space="0"/>
            </w:tcBorders>
            <w:vAlign w:val="center"/>
          </w:tcPr>
          <w:p w14:paraId="022E51FE">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125A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254" w:type="dxa"/>
            <w:tcBorders>
              <w:top w:val="single" w:color="auto" w:sz="4" w:space="0"/>
              <w:bottom w:val="single" w:color="auto" w:sz="4" w:space="0"/>
            </w:tcBorders>
            <w:vAlign w:val="center"/>
          </w:tcPr>
          <w:p w14:paraId="5D8BBDD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p w14:paraId="54FF468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防范措施</w:t>
            </w:r>
          </w:p>
        </w:tc>
        <w:tc>
          <w:tcPr>
            <w:tcW w:w="7796" w:type="dxa"/>
            <w:gridSpan w:val="4"/>
            <w:tcBorders>
              <w:top w:val="single" w:color="auto" w:sz="4" w:space="0"/>
              <w:bottom w:val="single" w:color="auto" w:sz="4" w:space="0"/>
            </w:tcBorders>
            <w:vAlign w:val="center"/>
          </w:tcPr>
          <w:p w14:paraId="58D49930">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建立健全的环保机构，对管理人员和技术人员进行岗位培训；</w:t>
            </w:r>
          </w:p>
          <w:p w14:paraId="6F059C14">
            <w:pPr>
              <w:pStyle w:val="29"/>
              <w:keepNext w:val="0"/>
              <w:keepLines w:val="0"/>
              <w:pageBreakBefore w:val="0"/>
              <w:widowControl w:val="0"/>
              <w:kinsoku/>
              <w:wordWrap/>
              <w:overflowPunct/>
              <w:topLinePunct w:val="0"/>
              <w:bidi w:val="0"/>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配备应急物资，制定应急预案，定期</w:t>
            </w:r>
            <w:r>
              <w:rPr>
                <w:rFonts w:hint="eastAsia" w:ascii="Times New Roman"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演练；</w:t>
            </w:r>
          </w:p>
          <w:p w14:paraId="45419CB5">
            <w:pPr>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设置防渗、截流措施。</w:t>
            </w:r>
          </w:p>
        </w:tc>
      </w:tr>
      <w:tr w14:paraId="10ED4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1254" w:type="dxa"/>
            <w:tcBorders>
              <w:top w:val="single" w:color="auto" w:sz="4" w:space="0"/>
              <w:bottom w:val="single" w:color="auto" w:sz="8" w:space="0"/>
            </w:tcBorders>
            <w:vAlign w:val="center"/>
          </w:tcPr>
          <w:p w14:paraId="1C5A096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其他环境</w:t>
            </w:r>
          </w:p>
          <w:p w14:paraId="452670C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管理要求</w:t>
            </w:r>
          </w:p>
        </w:tc>
        <w:tc>
          <w:tcPr>
            <w:tcW w:w="7796" w:type="dxa"/>
            <w:gridSpan w:val="4"/>
            <w:tcBorders>
              <w:top w:val="single" w:color="auto" w:sz="4" w:space="0"/>
              <w:bottom w:val="single" w:color="auto" w:sz="8" w:space="0"/>
            </w:tcBorders>
            <w:vAlign w:val="center"/>
          </w:tcPr>
          <w:p w14:paraId="64669697">
            <w:pPr>
              <w:pStyle w:val="2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建设单位应当依照《排污许可管理条例》规定申请取得排污许可证，未取得排污</w:t>
            </w:r>
            <w:r>
              <w:rPr>
                <w:rFonts w:hint="default" w:ascii="Times New Roman" w:cs="Times New Roman"/>
                <w:color w:val="auto"/>
                <w:sz w:val="21"/>
                <w:szCs w:val="21"/>
                <w:highlight w:val="none"/>
                <w:lang w:eastAsia="zh-CN"/>
              </w:rPr>
              <w:t>许可证</w:t>
            </w:r>
            <w:r>
              <w:rPr>
                <w:rFonts w:hint="default" w:ascii="Times New Roman" w:hAnsi="Times New Roman" w:eastAsia="宋体" w:cs="Times New Roman"/>
                <w:color w:val="auto"/>
                <w:sz w:val="21"/>
                <w:szCs w:val="21"/>
                <w:highlight w:val="none"/>
              </w:rPr>
              <w:t>的，不得排放污染物。项目建成后，环保设施调试前，建设单位应向社会公开并向环保部门报送竣工、环保设施调试日期，并在投入调试前取得相关许可证。调试期3个月内建设单位按照《建设项目竣工环境保护验收暂行办法》自行组织验收，建设单位应当在出具验收合格的意见后5个工作日内，通过网站或者其他便于公众知悉的方式，依法向社会公开验收报告和验收意见，公开的期限不得少于20个工作日。公开结束后5个工作日内，建设单位应当</w:t>
            </w:r>
            <w:r>
              <w:rPr>
                <w:rFonts w:hint="default" w:ascii="Times New Roman" w:cs="Times New Roman"/>
                <w:color w:val="auto"/>
                <w:sz w:val="21"/>
                <w:szCs w:val="21"/>
                <w:highlight w:val="none"/>
                <w:lang w:eastAsia="zh-CN"/>
              </w:rPr>
              <w:t>登录</w:t>
            </w:r>
            <w:r>
              <w:rPr>
                <w:rFonts w:hint="default" w:ascii="Times New Roman" w:hAnsi="Times New Roman" w:eastAsia="宋体" w:cs="Times New Roman"/>
                <w:color w:val="auto"/>
                <w:sz w:val="21"/>
                <w:szCs w:val="21"/>
                <w:highlight w:val="none"/>
              </w:rPr>
              <w:t>全国建设项目竣工环境保护验收信息平台，填报相关信息并对信息的真实性、准确性和完整性负责。</w:t>
            </w:r>
          </w:p>
        </w:tc>
      </w:tr>
    </w:tbl>
    <w:p w14:paraId="78F1FCC7">
      <w:pPr>
        <w:pStyle w:val="18"/>
        <w:spacing w:before="0" w:beforeAutospacing="0" w:after="0" w:afterAutospacing="0"/>
        <w:jc w:val="center"/>
        <w:outlineLvl w:val="0"/>
        <w:rPr>
          <w:rFonts w:ascii="Times New Roman" w:hAnsi="Times New Roman"/>
          <w:snapToGrid w:val="0"/>
          <w:color w:val="auto"/>
          <w:sz w:val="30"/>
          <w:szCs w:val="30"/>
          <w:highlight w:val="none"/>
        </w:rPr>
      </w:pPr>
      <w:r>
        <w:rPr>
          <w:rFonts w:ascii="Times New Roman" w:hAnsi="Times New Roman"/>
          <w:snapToGrid w:val="0"/>
          <w:color w:val="auto"/>
          <w:highlight w:val="none"/>
        </w:rPr>
        <w:br w:type="page"/>
      </w:r>
      <w:bookmarkStart w:id="23" w:name="_Toc14023"/>
      <w:bookmarkStart w:id="24" w:name="_Toc3789"/>
      <w:r>
        <w:rPr>
          <w:rFonts w:ascii="Times New Roman" w:hAnsi="Times New Roman"/>
          <w:b/>
          <w:snapToGrid w:val="0"/>
          <w:color w:val="auto"/>
          <w:sz w:val="30"/>
          <w:szCs w:val="30"/>
          <w:highlight w:val="none"/>
        </w:rPr>
        <w:t>六、结论</w:t>
      </w:r>
      <w:bookmarkEnd w:id="23"/>
      <w:bookmarkEnd w:id="24"/>
    </w:p>
    <w:tbl>
      <w:tblPr>
        <w:tblStyle w:val="20"/>
        <w:tblW w:w="92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25"/>
      </w:tblGrid>
      <w:tr w14:paraId="74B72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6" w:hRule="atLeast"/>
          <w:jc w:val="center"/>
        </w:trPr>
        <w:tc>
          <w:tcPr>
            <w:tcW w:w="9225" w:type="dxa"/>
          </w:tcPr>
          <w:p w14:paraId="4264086A">
            <w:pPr>
              <w:adjustRightInd w:val="0"/>
              <w:snapToGrid w:val="0"/>
              <w:spacing w:line="360" w:lineRule="auto"/>
              <w:ind w:firstLine="600" w:firstLineChars="250"/>
              <w:jc w:val="left"/>
              <w:rPr>
                <w:rFonts w:cs="Times New Roman"/>
                <w:color w:val="auto"/>
                <w:sz w:val="24"/>
                <w:szCs w:val="24"/>
                <w:highlight w:val="none"/>
              </w:rPr>
            </w:pPr>
            <w:r>
              <w:rPr>
                <w:rFonts w:cs="Times New Roman"/>
                <w:color w:val="auto"/>
                <w:sz w:val="24"/>
                <w:szCs w:val="24"/>
                <w:highlight w:val="none"/>
              </w:rPr>
              <w:t>通过对项目所在地区的环境现状评价以及项目的环境影响分析，认为本项目在投入使用后，切实加强安全和环境管理，落实本报告表提出的各项对策和要求，有效控制污染物排放，将对周围环境影响控制在较小的范围内；因此评价认为，项目具有环境可行性。</w:t>
            </w:r>
          </w:p>
          <w:p w14:paraId="638F0E8B">
            <w:pPr>
              <w:adjustRightInd w:val="0"/>
              <w:snapToGrid w:val="0"/>
              <w:spacing w:line="360" w:lineRule="auto"/>
              <w:ind w:firstLine="600" w:firstLineChars="250"/>
              <w:jc w:val="left"/>
              <w:rPr>
                <w:rFonts w:cs="Times New Roman"/>
                <w:color w:val="auto"/>
                <w:sz w:val="24"/>
                <w:szCs w:val="24"/>
                <w:highlight w:val="none"/>
              </w:rPr>
            </w:pPr>
            <w:r>
              <w:rPr>
                <w:rFonts w:cs="Times New Roman"/>
                <w:color w:val="auto"/>
                <w:sz w:val="24"/>
                <w:szCs w:val="24"/>
                <w:highlight w:val="none"/>
              </w:rPr>
              <w:t>综上所述，本项目建成后，能落实各项环保措施和本报告表提出的各项建议和要求，投产后周围环境状态基本保持原有的水平，因此从环保角度来说该项目基本可行。</w:t>
            </w:r>
          </w:p>
          <w:p w14:paraId="28E58731">
            <w:pPr>
              <w:adjustRightInd w:val="0"/>
              <w:snapToGrid w:val="0"/>
              <w:spacing w:line="360" w:lineRule="auto"/>
              <w:jc w:val="left"/>
              <w:rPr>
                <w:color w:val="auto"/>
                <w:szCs w:val="21"/>
                <w:highlight w:val="none"/>
              </w:rPr>
            </w:pPr>
          </w:p>
          <w:p w14:paraId="4BC50732">
            <w:pPr>
              <w:adjustRightInd w:val="0"/>
              <w:snapToGrid w:val="0"/>
              <w:spacing w:line="360" w:lineRule="auto"/>
              <w:jc w:val="left"/>
              <w:rPr>
                <w:color w:val="auto"/>
                <w:szCs w:val="21"/>
                <w:highlight w:val="none"/>
              </w:rPr>
            </w:pPr>
          </w:p>
        </w:tc>
      </w:tr>
    </w:tbl>
    <w:p w14:paraId="093ED9D0">
      <w:pPr>
        <w:rPr>
          <w:color w:val="auto"/>
          <w:highlight w:val="none"/>
        </w:rPr>
        <w:sectPr>
          <w:pgSz w:w="11906" w:h="16838"/>
          <w:pgMar w:top="1440" w:right="1797" w:bottom="1440"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61591A84">
      <w:pPr>
        <w:pStyle w:val="18"/>
        <w:spacing w:before="0" w:beforeAutospacing="0" w:after="0" w:afterAutospacing="0"/>
        <w:outlineLvl w:val="0"/>
        <w:rPr>
          <w:rFonts w:ascii="Times New Roman" w:hAnsi="Times New Roman"/>
          <w:b/>
          <w:snapToGrid w:val="0"/>
          <w:color w:val="auto"/>
          <w:sz w:val="36"/>
          <w:szCs w:val="30"/>
          <w:highlight w:val="none"/>
        </w:rPr>
      </w:pPr>
      <w:bookmarkStart w:id="25" w:name="_Toc30349"/>
      <w:bookmarkStart w:id="26" w:name="_Toc7625"/>
      <w:r>
        <w:rPr>
          <w:rFonts w:ascii="Times New Roman" w:hAnsi="Times New Roman"/>
          <w:b/>
          <w:snapToGrid w:val="0"/>
          <w:color w:val="auto"/>
          <w:sz w:val="36"/>
          <w:szCs w:val="30"/>
          <w:highlight w:val="none"/>
        </w:rPr>
        <w:t>附表</w:t>
      </w:r>
      <w:bookmarkEnd w:id="25"/>
      <w:bookmarkEnd w:id="26"/>
    </w:p>
    <w:p w14:paraId="325B21CE">
      <w:pPr>
        <w:pStyle w:val="18"/>
        <w:spacing w:before="0" w:beforeAutospacing="0" w:after="0" w:afterAutospacing="0"/>
        <w:jc w:val="center"/>
        <w:outlineLvl w:val="0"/>
        <w:rPr>
          <w:rFonts w:ascii="Times New Roman" w:hAnsi="Times New Roman"/>
          <w:b/>
          <w:snapToGrid w:val="0"/>
          <w:color w:val="auto"/>
          <w:sz w:val="30"/>
          <w:szCs w:val="30"/>
          <w:highlight w:val="none"/>
        </w:rPr>
      </w:pPr>
      <w:bookmarkStart w:id="27" w:name="_Toc6538"/>
      <w:bookmarkStart w:id="28" w:name="_Toc17947"/>
      <w:r>
        <w:rPr>
          <w:rFonts w:ascii="Times New Roman" w:hAnsi="Times New Roman"/>
          <w:b/>
          <w:snapToGrid w:val="0"/>
          <w:color w:val="auto"/>
          <w:sz w:val="30"/>
          <w:szCs w:val="30"/>
          <w:highlight w:val="none"/>
        </w:rPr>
        <w:t>建设项目污染物排放量汇总表</w:t>
      </w:r>
      <w:bookmarkEnd w:id="27"/>
      <w:bookmarkEnd w:id="28"/>
    </w:p>
    <w:tbl>
      <w:tblPr>
        <w:tblStyle w:val="20"/>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457"/>
        <w:gridCol w:w="1426"/>
        <w:gridCol w:w="1933"/>
        <w:gridCol w:w="1205"/>
        <w:gridCol w:w="1868"/>
        <w:gridCol w:w="1727"/>
        <w:gridCol w:w="1822"/>
        <w:gridCol w:w="2202"/>
        <w:gridCol w:w="1228"/>
      </w:tblGrid>
      <w:tr w14:paraId="1DBA6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tcBorders>
              <w:tl2br w:val="single" w:color="auto" w:sz="4" w:space="0"/>
            </w:tcBorders>
            <w:tcMar>
              <w:left w:w="28" w:type="dxa"/>
              <w:right w:w="28" w:type="dxa"/>
            </w:tcMar>
            <w:vAlign w:val="center"/>
          </w:tcPr>
          <w:p w14:paraId="6D2CAC3B">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项目</w:t>
            </w:r>
          </w:p>
          <w:p w14:paraId="65D84FD0">
            <w:pPr>
              <w:pStyle w:val="36"/>
              <w:spacing w:beforeLines="0" w:afterLines="0" w:line="240" w:lineRule="auto"/>
              <w:ind w:left="0" w:leftChars="0" w:firstLine="0" w:firstLineChars="0"/>
              <w:jc w:val="both"/>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分类</w:t>
            </w:r>
          </w:p>
        </w:tc>
        <w:tc>
          <w:tcPr>
            <w:tcW w:w="647" w:type="pct"/>
            <w:gridSpan w:val="2"/>
            <w:tcBorders>
              <w:bottom w:val="single" w:color="auto" w:sz="4" w:space="0"/>
            </w:tcBorders>
            <w:tcMar>
              <w:left w:w="28" w:type="dxa"/>
              <w:right w:w="28" w:type="dxa"/>
            </w:tcMar>
            <w:vAlign w:val="center"/>
          </w:tcPr>
          <w:p w14:paraId="367ACC7C">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污染物名称</w:t>
            </w:r>
          </w:p>
        </w:tc>
        <w:tc>
          <w:tcPr>
            <w:tcW w:w="660" w:type="pct"/>
            <w:tcMar>
              <w:left w:w="28" w:type="dxa"/>
              <w:right w:w="28" w:type="dxa"/>
            </w:tcMar>
            <w:vAlign w:val="center"/>
          </w:tcPr>
          <w:p w14:paraId="3FE33B7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现有工程排放量（固体废物产生量）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1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kern w:val="21"/>
                <w:sz w:val="21"/>
                <w:szCs w:val="21"/>
                <w:highlight w:val="none"/>
              </w:rPr>
              <w:fldChar w:fldCharType="end"/>
            </w:r>
          </w:p>
        </w:tc>
        <w:tc>
          <w:tcPr>
            <w:tcW w:w="413" w:type="pct"/>
            <w:tcMar>
              <w:left w:w="28" w:type="dxa"/>
              <w:right w:w="28" w:type="dxa"/>
            </w:tcMar>
            <w:vAlign w:val="center"/>
          </w:tcPr>
          <w:p w14:paraId="34745B4A">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现有工程许可排放量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2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snapToGrid w:val="0"/>
                <w:color w:val="auto"/>
                <w:kern w:val="21"/>
                <w:sz w:val="21"/>
                <w:szCs w:val="21"/>
                <w:highlight w:val="none"/>
              </w:rPr>
              <w:t>②</w:t>
            </w:r>
            <w:r>
              <w:rPr>
                <w:rFonts w:hint="default" w:ascii="Times New Roman" w:hAnsi="Times New Roman" w:eastAsia="宋体" w:cs="Times New Roman"/>
                <w:snapToGrid w:val="0"/>
                <w:color w:val="auto"/>
                <w:kern w:val="21"/>
                <w:sz w:val="21"/>
                <w:szCs w:val="21"/>
                <w:highlight w:val="none"/>
              </w:rPr>
              <w:fldChar w:fldCharType="end"/>
            </w:r>
          </w:p>
        </w:tc>
        <w:tc>
          <w:tcPr>
            <w:tcW w:w="638" w:type="pct"/>
            <w:tcMar>
              <w:left w:w="28" w:type="dxa"/>
              <w:right w:w="28" w:type="dxa"/>
            </w:tcMar>
            <w:vAlign w:val="center"/>
          </w:tcPr>
          <w:p w14:paraId="77D21E3E">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在建工程排放量（固体废物产生量）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3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kern w:val="21"/>
                <w:sz w:val="21"/>
                <w:szCs w:val="21"/>
                <w:highlight w:val="none"/>
              </w:rPr>
              <w:fldChar w:fldCharType="end"/>
            </w:r>
          </w:p>
        </w:tc>
        <w:tc>
          <w:tcPr>
            <w:tcW w:w="590" w:type="pct"/>
            <w:tcMar>
              <w:left w:w="28" w:type="dxa"/>
              <w:right w:w="28" w:type="dxa"/>
            </w:tcMar>
            <w:vAlign w:val="center"/>
          </w:tcPr>
          <w:p w14:paraId="584E9674">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本项目排放量（固体废物产生量）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4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kern w:val="21"/>
                <w:sz w:val="21"/>
                <w:szCs w:val="21"/>
                <w:highlight w:val="none"/>
              </w:rPr>
              <w:fldChar w:fldCharType="end"/>
            </w:r>
          </w:p>
        </w:tc>
        <w:tc>
          <w:tcPr>
            <w:tcW w:w="622" w:type="pct"/>
            <w:tcMar>
              <w:left w:w="28" w:type="dxa"/>
              <w:right w:w="28" w:type="dxa"/>
            </w:tcMar>
            <w:vAlign w:val="center"/>
          </w:tcPr>
          <w:p w14:paraId="37393A28">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以新带老削减量（新建项目不填）</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5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kern w:val="21"/>
                <w:sz w:val="21"/>
                <w:szCs w:val="21"/>
                <w:highlight w:val="none"/>
              </w:rPr>
              <w:fldChar w:fldCharType="end"/>
            </w:r>
          </w:p>
        </w:tc>
        <w:tc>
          <w:tcPr>
            <w:tcW w:w="751" w:type="pct"/>
            <w:tcMar>
              <w:left w:w="28" w:type="dxa"/>
              <w:right w:w="28" w:type="dxa"/>
            </w:tcMar>
            <w:vAlign w:val="center"/>
          </w:tcPr>
          <w:p w14:paraId="1E5F74B6">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本项目建成后全厂排放量（固体废物产生量）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6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kern w:val="21"/>
                <w:sz w:val="21"/>
                <w:szCs w:val="21"/>
                <w:highlight w:val="none"/>
              </w:rPr>
              <w:fldChar w:fldCharType="end"/>
            </w:r>
          </w:p>
        </w:tc>
        <w:tc>
          <w:tcPr>
            <w:tcW w:w="381" w:type="pct"/>
            <w:tcMar>
              <w:left w:w="28" w:type="dxa"/>
              <w:right w:w="28" w:type="dxa"/>
            </w:tcMar>
            <w:vAlign w:val="center"/>
          </w:tcPr>
          <w:p w14:paraId="4982105C">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变化量</w:t>
            </w:r>
            <w:r>
              <w:rPr>
                <w:rFonts w:hint="default" w:ascii="Times New Roman" w:hAnsi="Times New Roman" w:eastAsia="宋体" w:cs="Times New Roman"/>
                <w:snapToGrid w:val="0"/>
                <w:color w:val="auto"/>
                <w:kern w:val="21"/>
                <w:sz w:val="21"/>
                <w:szCs w:val="21"/>
                <w:highlight w:val="none"/>
              </w:rPr>
              <w:fldChar w:fldCharType="begin"/>
            </w:r>
            <w:r>
              <w:rPr>
                <w:rFonts w:hint="default" w:ascii="Times New Roman" w:hAnsi="Times New Roman" w:eastAsia="宋体" w:cs="Times New Roman"/>
                <w:snapToGrid w:val="0"/>
                <w:color w:val="auto"/>
                <w:kern w:val="21"/>
                <w:sz w:val="21"/>
                <w:szCs w:val="21"/>
                <w:highlight w:val="none"/>
              </w:rPr>
              <w:instrText xml:space="preserve"> = 7 \* GB3 \* MERGEFORMAT </w:instrText>
            </w:r>
            <w:r>
              <w:rPr>
                <w:rFonts w:hint="default" w:ascii="Times New Roman" w:hAnsi="Times New Roman" w:eastAsia="宋体" w:cs="Times New Roman"/>
                <w:snapToGrid w:val="0"/>
                <w:color w:val="auto"/>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kern w:val="21"/>
                <w:sz w:val="21"/>
                <w:szCs w:val="21"/>
                <w:highlight w:val="none"/>
              </w:rPr>
              <w:fldChar w:fldCharType="end"/>
            </w:r>
          </w:p>
        </w:tc>
      </w:tr>
      <w:tr w14:paraId="28FD6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restart"/>
            <w:vAlign w:val="center"/>
          </w:tcPr>
          <w:p w14:paraId="14018D3B">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59" w:type="pct"/>
            <w:vMerge w:val="restart"/>
            <w:tcBorders>
              <w:top w:val="single" w:color="auto" w:sz="4" w:space="0"/>
            </w:tcBorders>
            <w:vAlign w:val="center"/>
          </w:tcPr>
          <w:p w14:paraId="348A13E4">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有</w:t>
            </w:r>
            <w:r>
              <w:rPr>
                <w:rFonts w:hint="default" w:ascii="Times New Roman" w:hAnsi="Times New Roman" w:eastAsia="宋体" w:cs="Times New Roman"/>
                <w:snapToGrid w:val="0"/>
                <w:color w:val="auto"/>
                <w:kern w:val="21"/>
                <w:sz w:val="21"/>
                <w:szCs w:val="21"/>
                <w:highlight w:val="none"/>
                <w:lang w:val="en-US" w:eastAsia="zh-CN"/>
              </w:rPr>
              <w:t>组织</w:t>
            </w:r>
          </w:p>
        </w:tc>
        <w:tc>
          <w:tcPr>
            <w:tcW w:w="487" w:type="pct"/>
            <w:tcBorders>
              <w:top w:val="single" w:color="auto" w:sz="4" w:space="0"/>
            </w:tcBorders>
            <w:vAlign w:val="center"/>
          </w:tcPr>
          <w:p w14:paraId="6EE0E337">
            <w:pPr>
              <w:pStyle w:val="31"/>
              <w:wordWrap/>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0" w:type="pct"/>
            <w:vAlign w:val="center"/>
          </w:tcPr>
          <w:p w14:paraId="3029E73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0.1253</w:t>
            </w:r>
          </w:p>
        </w:tc>
        <w:tc>
          <w:tcPr>
            <w:tcW w:w="413" w:type="pct"/>
            <w:vAlign w:val="center"/>
          </w:tcPr>
          <w:p w14:paraId="5299386C">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0.1253</w:t>
            </w:r>
          </w:p>
        </w:tc>
        <w:tc>
          <w:tcPr>
            <w:tcW w:w="638" w:type="pct"/>
            <w:vAlign w:val="center"/>
          </w:tcPr>
          <w:p w14:paraId="5B166D9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0676F1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622" w:type="pct"/>
            <w:shd w:val="clear" w:color="auto" w:fill="auto"/>
            <w:vAlign w:val="center"/>
          </w:tcPr>
          <w:p w14:paraId="1C2DDF89">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0.1253</w:t>
            </w:r>
          </w:p>
        </w:tc>
        <w:tc>
          <w:tcPr>
            <w:tcW w:w="2213" w:type="dxa"/>
            <w:vAlign w:val="center"/>
          </w:tcPr>
          <w:p w14:paraId="26E54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1123" w:type="dxa"/>
            <w:vAlign w:val="center"/>
          </w:tcPr>
          <w:p w14:paraId="4574B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-0.0013</w:t>
            </w:r>
          </w:p>
        </w:tc>
      </w:tr>
      <w:tr w14:paraId="04CC5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7EEA2BFB">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C080E21">
            <w:pPr>
              <w:pStyle w:val="31"/>
              <w:wordWrap/>
              <w:jc w:val="center"/>
              <w:rPr>
                <w:rFonts w:hint="eastAsia"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49E5DDCF">
            <w:pPr>
              <w:pStyle w:val="31"/>
              <w:wordWrap/>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TVOC</w:t>
            </w:r>
          </w:p>
        </w:tc>
        <w:tc>
          <w:tcPr>
            <w:tcW w:w="660" w:type="pct"/>
            <w:vAlign w:val="center"/>
          </w:tcPr>
          <w:p w14:paraId="3101B5C5">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413" w:type="pct"/>
            <w:vAlign w:val="center"/>
          </w:tcPr>
          <w:p w14:paraId="56AAFBB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638" w:type="pct"/>
            <w:vAlign w:val="center"/>
          </w:tcPr>
          <w:p w14:paraId="05D5D4BE">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316BE4D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622" w:type="pct"/>
            <w:shd w:val="clear" w:color="auto" w:fill="auto"/>
            <w:vAlign w:val="center"/>
          </w:tcPr>
          <w:p w14:paraId="13FA6A9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p>
        </w:tc>
        <w:tc>
          <w:tcPr>
            <w:tcW w:w="2213" w:type="dxa"/>
            <w:vAlign w:val="center"/>
          </w:tcPr>
          <w:p w14:paraId="174D4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1123" w:type="dxa"/>
            <w:vAlign w:val="center"/>
          </w:tcPr>
          <w:p w14:paraId="78563C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0.124</w:t>
            </w:r>
          </w:p>
        </w:tc>
      </w:tr>
      <w:tr w14:paraId="33F57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6E3AA17">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EA5156B">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03CDF19F">
            <w:pPr>
              <w:pStyle w:val="31"/>
              <w:wordWrap/>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660" w:type="pct"/>
            <w:vAlign w:val="center"/>
          </w:tcPr>
          <w:p w14:paraId="4A46AABD">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0.0974</w:t>
            </w:r>
          </w:p>
        </w:tc>
        <w:tc>
          <w:tcPr>
            <w:tcW w:w="413" w:type="pct"/>
            <w:vAlign w:val="center"/>
          </w:tcPr>
          <w:p w14:paraId="7422A704">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0.0974</w:t>
            </w:r>
          </w:p>
        </w:tc>
        <w:tc>
          <w:tcPr>
            <w:tcW w:w="638" w:type="pct"/>
            <w:vAlign w:val="center"/>
          </w:tcPr>
          <w:p w14:paraId="35F13268">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7423E4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0.1716</w:t>
            </w:r>
          </w:p>
        </w:tc>
        <w:tc>
          <w:tcPr>
            <w:tcW w:w="622" w:type="pct"/>
            <w:shd w:val="clear" w:color="auto" w:fill="auto"/>
            <w:vAlign w:val="center"/>
          </w:tcPr>
          <w:p w14:paraId="24E7C16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0.0974</w:t>
            </w:r>
          </w:p>
        </w:tc>
        <w:tc>
          <w:tcPr>
            <w:tcW w:w="2213" w:type="dxa"/>
            <w:vAlign w:val="center"/>
          </w:tcPr>
          <w:p w14:paraId="491D08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0.1716</w:t>
            </w:r>
          </w:p>
        </w:tc>
        <w:tc>
          <w:tcPr>
            <w:tcW w:w="1123" w:type="dxa"/>
            <w:vAlign w:val="center"/>
          </w:tcPr>
          <w:p w14:paraId="7E6DF6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0.0742</w:t>
            </w:r>
          </w:p>
        </w:tc>
      </w:tr>
      <w:tr w14:paraId="363177FC">
        <w:tblPrEx>
          <w:tblCellMar>
            <w:top w:w="0" w:type="dxa"/>
            <w:left w:w="108" w:type="dxa"/>
            <w:bottom w:w="0" w:type="dxa"/>
            <w:right w:w="108" w:type="dxa"/>
          </w:tblCellMar>
        </w:tblPrEx>
        <w:tc>
          <w:tcPr>
            <w:tcW w:w="295" w:type="pct"/>
            <w:vMerge w:val="continue"/>
            <w:vAlign w:val="center"/>
          </w:tcPr>
          <w:p w14:paraId="72D4FCFF">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75E83315">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5A4E9296">
            <w:pPr>
              <w:pStyle w:val="31"/>
              <w:wordWrap/>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660" w:type="pct"/>
            <w:vAlign w:val="center"/>
          </w:tcPr>
          <w:p w14:paraId="0A0581D5">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0.14</w:t>
            </w:r>
          </w:p>
        </w:tc>
        <w:tc>
          <w:tcPr>
            <w:tcW w:w="413" w:type="pct"/>
            <w:vAlign w:val="center"/>
          </w:tcPr>
          <w:p w14:paraId="61B81738">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0.14</w:t>
            </w:r>
          </w:p>
        </w:tc>
        <w:tc>
          <w:tcPr>
            <w:tcW w:w="638" w:type="pct"/>
            <w:vAlign w:val="center"/>
          </w:tcPr>
          <w:p w14:paraId="2CC09FD0">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583B93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622" w:type="pct"/>
            <w:shd w:val="clear" w:color="auto" w:fill="auto"/>
            <w:vAlign w:val="center"/>
          </w:tcPr>
          <w:p w14:paraId="16706877">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0.14</w:t>
            </w:r>
          </w:p>
        </w:tc>
        <w:tc>
          <w:tcPr>
            <w:tcW w:w="2213" w:type="dxa"/>
            <w:vAlign w:val="center"/>
          </w:tcPr>
          <w:p w14:paraId="5B0743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1123" w:type="dxa"/>
            <w:vAlign w:val="center"/>
          </w:tcPr>
          <w:p w14:paraId="08255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-0.113</w:t>
            </w:r>
          </w:p>
        </w:tc>
      </w:tr>
      <w:tr w14:paraId="4EA62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5640B2A">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4BC34D8">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4B7AEB68">
            <w:pPr>
              <w:pStyle w:val="31"/>
              <w:wordWrap/>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660" w:type="pct"/>
            <w:vAlign w:val="center"/>
          </w:tcPr>
          <w:p w14:paraId="746C3932">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0.0748</w:t>
            </w:r>
          </w:p>
        </w:tc>
        <w:tc>
          <w:tcPr>
            <w:tcW w:w="413" w:type="pct"/>
            <w:vAlign w:val="center"/>
          </w:tcPr>
          <w:p w14:paraId="18792384">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0.0748</w:t>
            </w:r>
          </w:p>
        </w:tc>
        <w:tc>
          <w:tcPr>
            <w:tcW w:w="638" w:type="pct"/>
            <w:vAlign w:val="center"/>
          </w:tcPr>
          <w:p w14:paraId="3150B6C5">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7F3AC1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0.2522</w:t>
            </w:r>
          </w:p>
        </w:tc>
        <w:tc>
          <w:tcPr>
            <w:tcW w:w="622" w:type="pct"/>
            <w:shd w:val="clear" w:color="auto" w:fill="auto"/>
            <w:vAlign w:val="center"/>
          </w:tcPr>
          <w:p w14:paraId="6F8E59CF">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0.0748</w:t>
            </w:r>
          </w:p>
        </w:tc>
        <w:tc>
          <w:tcPr>
            <w:tcW w:w="2213" w:type="dxa"/>
            <w:vAlign w:val="center"/>
          </w:tcPr>
          <w:p w14:paraId="5351EE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0.2522</w:t>
            </w:r>
          </w:p>
        </w:tc>
        <w:tc>
          <w:tcPr>
            <w:tcW w:w="1123" w:type="dxa"/>
            <w:vAlign w:val="center"/>
          </w:tcPr>
          <w:p w14:paraId="1A814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0.1774</w:t>
            </w:r>
          </w:p>
        </w:tc>
      </w:tr>
      <w:tr w14:paraId="6CBC2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E0BFE92">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186BF87">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0E329496">
            <w:pPr>
              <w:pStyle w:val="31"/>
              <w:wordWrap/>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0" w:type="pct"/>
            <w:vAlign w:val="center"/>
          </w:tcPr>
          <w:p w14:paraId="4DBEE01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0.0057</w:t>
            </w:r>
          </w:p>
        </w:tc>
        <w:tc>
          <w:tcPr>
            <w:tcW w:w="413" w:type="pct"/>
            <w:vAlign w:val="center"/>
          </w:tcPr>
          <w:p w14:paraId="777A4B64">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0.0057</w:t>
            </w:r>
          </w:p>
        </w:tc>
        <w:tc>
          <w:tcPr>
            <w:tcW w:w="638" w:type="pct"/>
            <w:vAlign w:val="center"/>
          </w:tcPr>
          <w:p w14:paraId="4689338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33F2DEC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622" w:type="pct"/>
            <w:shd w:val="clear" w:color="auto" w:fill="auto"/>
            <w:vAlign w:val="center"/>
          </w:tcPr>
          <w:p w14:paraId="208651A3">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0.0057</w:t>
            </w:r>
          </w:p>
        </w:tc>
        <w:tc>
          <w:tcPr>
            <w:tcW w:w="2213" w:type="dxa"/>
            <w:vAlign w:val="center"/>
          </w:tcPr>
          <w:p w14:paraId="32A362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1123" w:type="dxa"/>
            <w:vAlign w:val="center"/>
          </w:tcPr>
          <w:p w14:paraId="409189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0.0147</w:t>
            </w:r>
          </w:p>
        </w:tc>
      </w:tr>
      <w:tr w14:paraId="3ADA7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0D0E087D">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0D0CEEDE">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77E5D61A">
            <w:pPr>
              <w:pStyle w:val="31"/>
              <w:wordWrap/>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660" w:type="pct"/>
            <w:vAlign w:val="center"/>
          </w:tcPr>
          <w:p w14:paraId="405EA5DD">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0.0021</w:t>
            </w:r>
          </w:p>
        </w:tc>
        <w:tc>
          <w:tcPr>
            <w:tcW w:w="413" w:type="pct"/>
            <w:vAlign w:val="center"/>
          </w:tcPr>
          <w:p w14:paraId="4D0E946D">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0.0021</w:t>
            </w:r>
          </w:p>
        </w:tc>
        <w:tc>
          <w:tcPr>
            <w:tcW w:w="638" w:type="pct"/>
            <w:vAlign w:val="center"/>
          </w:tcPr>
          <w:p w14:paraId="17D4DA7D">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1BA7CA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0.0128</w:t>
            </w:r>
          </w:p>
        </w:tc>
        <w:tc>
          <w:tcPr>
            <w:tcW w:w="622" w:type="pct"/>
            <w:shd w:val="clear" w:color="auto" w:fill="auto"/>
            <w:vAlign w:val="center"/>
          </w:tcPr>
          <w:p w14:paraId="18CF8185">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0.0021</w:t>
            </w:r>
          </w:p>
        </w:tc>
        <w:tc>
          <w:tcPr>
            <w:tcW w:w="2213" w:type="dxa"/>
            <w:vAlign w:val="center"/>
          </w:tcPr>
          <w:p w14:paraId="3BCEC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0.0128</w:t>
            </w:r>
          </w:p>
        </w:tc>
        <w:tc>
          <w:tcPr>
            <w:tcW w:w="1123" w:type="dxa"/>
            <w:vAlign w:val="center"/>
          </w:tcPr>
          <w:p w14:paraId="1BA5AB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0.0107</w:t>
            </w:r>
          </w:p>
        </w:tc>
      </w:tr>
      <w:tr w14:paraId="7EBD7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7851A5C3">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restart"/>
            <w:tcBorders>
              <w:top w:val="single" w:color="auto" w:sz="4" w:space="0"/>
            </w:tcBorders>
            <w:vAlign w:val="center"/>
          </w:tcPr>
          <w:p w14:paraId="63C7419F">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无组织</w:t>
            </w:r>
          </w:p>
        </w:tc>
        <w:tc>
          <w:tcPr>
            <w:tcW w:w="487" w:type="pct"/>
            <w:tcBorders>
              <w:top w:val="single" w:color="auto" w:sz="4" w:space="0"/>
            </w:tcBorders>
            <w:vAlign w:val="center"/>
          </w:tcPr>
          <w:p w14:paraId="65D4D8AD">
            <w:pPr>
              <w:pStyle w:val="31"/>
              <w:wordWrap/>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0" w:type="pct"/>
            <w:vAlign w:val="center"/>
          </w:tcPr>
          <w:p w14:paraId="047C14F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0.139</w:t>
            </w:r>
          </w:p>
        </w:tc>
        <w:tc>
          <w:tcPr>
            <w:tcW w:w="413" w:type="pct"/>
            <w:vAlign w:val="center"/>
          </w:tcPr>
          <w:p w14:paraId="3B53831E">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0.139</w:t>
            </w:r>
          </w:p>
        </w:tc>
        <w:tc>
          <w:tcPr>
            <w:tcW w:w="638" w:type="pct"/>
            <w:vAlign w:val="center"/>
          </w:tcPr>
          <w:p w14:paraId="2DE65607">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4E16EA1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622" w:type="pct"/>
            <w:shd w:val="clear" w:color="auto" w:fill="auto"/>
            <w:vAlign w:val="center"/>
          </w:tcPr>
          <w:p w14:paraId="45E9FB40">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0.139</w:t>
            </w:r>
          </w:p>
        </w:tc>
        <w:tc>
          <w:tcPr>
            <w:tcW w:w="2213" w:type="dxa"/>
            <w:vAlign w:val="center"/>
          </w:tcPr>
          <w:p w14:paraId="4BF34B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0.2111</w:t>
            </w:r>
          </w:p>
        </w:tc>
        <w:tc>
          <w:tcPr>
            <w:tcW w:w="1123" w:type="dxa"/>
            <w:vAlign w:val="center"/>
          </w:tcPr>
          <w:p w14:paraId="3F972C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0.0721</w:t>
            </w:r>
          </w:p>
        </w:tc>
      </w:tr>
      <w:tr w14:paraId="1BA0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8366A68">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55B087E">
            <w:pPr>
              <w:pStyle w:val="31"/>
              <w:wordWrap/>
              <w:jc w:val="center"/>
              <w:rPr>
                <w:rFonts w:hint="eastAsia"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54767CB5">
            <w:pPr>
              <w:pStyle w:val="31"/>
              <w:wordWrap/>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660" w:type="pct"/>
            <w:vAlign w:val="center"/>
          </w:tcPr>
          <w:p w14:paraId="65125E03">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0.096</w:t>
            </w:r>
          </w:p>
        </w:tc>
        <w:tc>
          <w:tcPr>
            <w:tcW w:w="413" w:type="pct"/>
            <w:vAlign w:val="center"/>
          </w:tcPr>
          <w:p w14:paraId="33F8960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0.096</w:t>
            </w:r>
          </w:p>
        </w:tc>
        <w:tc>
          <w:tcPr>
            <w:tcW w:w="638" w:type="pct"/>
            <w:vAlign w:val="center"/>
          </w:tcPr>
          <w:p w14:paraId="62EFABC7">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1B4A39F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0.1443</w:t>
            </w:r>
          </w:p>
        </w:tc>
        <w:tc>
          <w:tcPr>
            <w:tcW w:w="622" w:type="pct"/>
            <w:shd w:val="clear" w:color="auto" w:fill="auto"/>
            <w:vAlign w:val="center"/>
          </w:tcPr>
          <w:p w14:paraId="364B2E0C">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0.096</w:t>
            </w:r>
          </w:p>
        </w:tc>
        <w:tc>
          <w:tcPr>
            <w:tcW w:w="2213" w:type="dxa"/>
            <w:vAlign w:val="center"/>
          </w:tcPr>
          <w:p w14:paraId="640FA0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0.1443</w:t>
            </w:r>
          </w:p>
        </w:tc>
        <w:tc>
          <w:tcPr>
            <w:tcW w:w="1123" w:type="dxa"/>
            <w:vAlign w:val="center"/>
          </w:tcPr>
          <w:p w14:paraId="528E14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0.0483</w:t>
            </w:r>
          </w:p>
        </w:tc>
      </w:tr>
      <w:tr w14:paraId="51076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314D8F9">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291205F1">
            <w:pPr>
              <w:pStyle w:val="31"/>
              <w:wordWrap/>
              <w:jc w:val="center"/>
              <w:rPr>
                <w:rFonts w:hint="eastAsia"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044C4222">
            <w:pPr>
              <w:pStyle w:val="31"/>
              <w:wordWrap/>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660" w:type="pct"/>
            <w:vAlign w:val="center"/>
          </w:tcPr>
          <w:p w14:paraId="598D81B0">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413" w:type="pct"/>
            <w:vAlign w:val="center"/>
          </w:tcPr>
          <w:p w14:paraId="29C7466D">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638" w:type="pct"/>
            <w:vAlign w:val="center"/>
          </w:tcPr>
          <w:p w14:paraId="3A7E96A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54424E8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622" w:type="pct"/>
            <w:shd w:val="clear" w:color="auto" w:fill="auto"/>
            <w:vAlign w:val="center"/>
          </w:tcPr>
          <w:p w14:paraId="2B084CA9">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p>
        </w:tc>
        <w:tc>
          <w:tcPr>
            <w:tcW w:w="2213" w:type="dxa"/>
            <w:vAlign w:val="center"/>
          </w:tcPr>
          <w:p w14:paraId="20CD29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123" w:type="dxa"/>
            <w:vAlign w:val="center"/>
          </w:tcPr>
          <w:p w14:paraId="650BB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0.003</w:t>
            </w:r>
          </w:p>
        </w:tc>
      </w:tr>
      <w:tr w14:paraId="512DC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A508A28">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419D6D7D">
            <w:pPr>
              <w:pStyle w:val="31"/>
              <w:wordWrap/>
              <w:jc w:val="center"/>
              <w:rPr>
                <w:rFonts w:hint="eastAsia"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3EE69CCC">
            <w:pPr>
              <w:pStyle w:val="31"/>
              <w:wordWrap/>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660" w:type="pct"/>
            <w:vAlign w:val="center"/>
          </w:tcPr>
          <w:p w14:paraId="0B3154E3">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413" w:type="pct"/>
            <w:vAlign w:val="center"/>
          </w:tcPr>
          <w:p w14:paraId="75732A6B">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638" w:type="pct"/>
            <w:vAlign w:val="center"/>
          </w:tcPr>
          <w:p w14:paraId="7FBD139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0E02FD8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622" w:type="pct"/>
            <w:shd w:val="clear" w:color="auto" w:fill="auto"/>
            <w:vAlign w:val="center"/>
          </w:tcPr>
          <w:p w14:paraId="4E5D19A9">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p>
        </w:tc>
        <w:tc>
          <w:tcPr>
            <w:tcW w:w="2213" w:type="dxa"/>
            <w:vAlign w:val="center"/>
          </w:tcPr>
          <w:p w14:paraId="0763AC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0.0283</w:t>
            </w:r>
          </w:p>
        </w:tc>
        <w:tc>
          <w:tcPr>
            <w:tcW w:w="1123" w:type="dxa"/>
            <w:vAlign w:val="center"/>
          </w:tcPr>
          <w:p w14:paraId="6B510D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0.0283</w:t>
            </w:r>
          </w:p>
        </w:tc>
      </w:tr>
      <w:tr w14:paraId="7CA2D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6AE474F7">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21C65502">
            <w:pPr>
              <w:pStyle w:val="31"/>
              <w:wordWrap/>
              <w:jc w:val="center"/>
              <w:rPr>
                <w:rFonts w:hint="eastAsia"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5FDE3D50">
            <w:pPr>
              <w:pStyle w:val="31"/>
              <w:wordWrap/>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0" w:type="pct"/>
            <w:vAlign w:val="center"/>
          </w:tcPr>
          <w:p w14:paraId="3DCBD146">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0.0063</w:t>
            </w:r>
          </w:p>
        </w:tc>
        <w:tc>
          <w:tcPr>
            <w:tcW w:w="413" w:type="pct"/>
            <w:vAlign w:val="center"/>
          </w:tcPr>
          <w:p w14:paraId="516E2BA9">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0.0063</w:t>
            </w:r>
          </w:p>
        </w:tc>
        <w:tc>
          <w:tcPr>
            <w:tcW w:w="638" w:type="pct"/>
            <w:vAlign w:val="center"/>
          </w:tcPr>
          <w:p w14:paraId="5A00A2CC">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3C556A4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622" w:type="pct"/>
            <w:shd w:val="clear" w:color="auto" w:fill="auto"/>
            <w:vAlign w:val="center"/>
          </w:tcPr>
          <w:p w14:paraId="345D8965">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0.0063</w:t>
            </w:r>
          </w:p>
        </w:tc>
        <w:tc>
          <w:tcPr>
            <w:tcW w:w="2213" w:type="dxa"/>
            <w:vAlign w:val="center"/>
          </w:tcPr>
          <w:p w14:paraId="4E4B2E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123" w:type="dxa"/>
            <w:vAlign w:val="center"/>
          </w:tcPr>
          <w:p w14:paraId="0C05BF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0.005</w:t>
            </w:r>
          </w:p>
        </w:tc>
      </w:tr>
      <w:tr w14:paraId="282C2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3163E3FF">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329A115A">
            <w:pPr>
              <w:pStyle w:val="31"/>
              <w:wordWrap/>
              <w:jc w:val="center"/>
              <w:rPr>
                <w:rFonts w:hint="default" w:ascii="Times New Roman" w:hAnsi="Times New Roman" w:eastAsia="宋体" w:cs="Times New Roman"/>
                <w:snapToGrid w:val="0"/>
                <w:color w:val="auto"/>
                <w:kern w:val="21"/>
                <w:sz w:val="21"/>
                <w:szCs w:val="21"/>
                <w:highlight w:val="none"/>
                <w:lang w:val="en-US" w:eastAsia="zh-CN"/>
              </w:rPr>
            </w:pPr>
          </w:p>
        </w:tc>
        <w:tc>
          <w:tcPr>
            <w:tcW w:w="487" w:type="pct"/>
            <w:tcBorders>
              <w:top w:val="single" w:color="auto" w:sz="4" w:space="0"/>
            </w:tcBorders>
            <w:vAlign w:val="center"/>
          </w:tcPr>
          <w:p w14:paraId="58D62630">
            <w:pPr>
              <w:pStyle w:val="31"/>
              <w:wordWrap/>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660" w:type="pct"/>
            <w:vAlign w:val="center"/>
          </w:tcPr>
          <w:p w14:paraId="2CAA834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0.0023</w:t>
            </w:r>
          </w:p>
        </w:tc>
        <w:tc>
          <w:tcPr>
            <w:tcW w:w="413" w:type="pct"/>
            <w:vAlign w:val="center"/>
          </w:tcPr>
          <w:p w14:paraId="5060EF18">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0.0023</w:t>
            </w:r>
          </w:p>
        </w:tc>
        <w:tc>
          <w:tcPr>
            <w:tcW w:w="638" w:type="pct"/>
            <w:vAlign w:val="center"/>
          </w:tcPr>
          <w:p w14:paraId="0864F534">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w:t>
            </w:r>
          </w:p>
        </w:tc>
        <w:tc>
          <w:tcPr>
            <w:tcW w:w="1739" w:type="dxa"/>
            <w:vAlign w:val="center"/>
          </w:tcPr>
          <w:p w14:paraId="6CF380F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622" w:type="pct"/>
            <w:shd w:val="clear" w:color="auto" w:fill="auto"/>
            <w:vAlign w:val="center"/>
          </w:tcPr>
          <w:p w14:paraId="4D659B9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0.0023</w:t>
            </w:r>
          </w:p>
        </w:tc>
        <w:tc>
          <w:tcPr>
            <w:tcW w:w="2213" w:type="dxa"/>
            <w:vAlign w:val="center"/>
          </w:tcPr>
          <w:p w14:paraId="1A6B89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1123" w:type="dxa"/>
            <w:vAlign w:val="center"/>
          </w:tcPr>
          <w:p w14:paraId="719E78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0.0048</w:t>
            </w:r>
          </w:p>
        </w:tc>
      </w:tr>
      <w:tr w14:paraId="2FE80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5" w:type="pct"/>
            <w:vMerge w:val="restart"/>
            <w:vAlign w:val="center"/>
          </w:tcPr>
          <w:p w14:paraId="585CFDA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59" w:type="pct"/>
            <w:vMerge w:val="restart"/>
            <w:tcBorders>
              <w:top w:val="single" w:color="auto" w:sz="4" w:space="0"/>
            </w:tcBorders>
            <w:vAlign w:val="center"/>
          </w:tcPr>
          <w:p w14:paraId="42FC3652">
            <w:pPr>
              <w:pStyle w:val="36"/>
              <w:spacing w:beforeLines="0" w:afterLines="0" w:line="240" w:lineRule="auto"/>
              <w:ind w:left="0" w:leftChars="0" w:firstLine="0" w:firstLineChars="0"/>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eastAsia="宋体" w:cs="Times New Roman"/>
                <w:snapToGrid w:val="0"/>
                <w:color w:val="auto"/>
                <w:kern w:val="21"/>
                <w:sz w:val="21"/>
                <w:szCs w:val="21"/>
                <w:highlight w:val="none"/>
                <w:lang w:val="en-US" w:eastAsia="zh-CN"/>
              </w:rPr>
              <w:t>生活污水</w:t>
            </w:r>
          </w:p>
        </w:tc>
        <w:tc>
          <w:tcPr>
            <w:tcW w:w="487" w:type="pct"/>
            <w:tcBorders>
              <w:top w:val="single" w:color="auto" w:sz="4" w:space="0"/>
            </w:tcBorders>
            <w:shd w:val="clear" w:color="auto" w:fill="auto"/>
            <w:vAlign w:val="center"/>
          </w:tcPr>
          <w:p w14:paraId="3ED4458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0"/>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废水量</w:t>
            </w:r>
          </w:p>
        </w:tc>
        <w:tc>
          <w:tcPr>
            <w:tcW w:w="660" w:type="pct"/>
            <w:vAlign w:val="center"/>
          </w:tcPr>
          <w:p w14:paraId="60BCC347">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1080</w:t>
            </w:r>
          </w:p>
        </w:tc>
        <w:tc>
          <w:tcPr>
            <w:tcW w:w="413" w:type="pct"/>
            <w:shd w:val="clear" w:color="auto" w:fill="auto"/>
            <w:vAlign w:val="center"/>
          </w:tcPr>
          <w:p w14:paraId="449C635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1080</w:t>
            </w:r>
          </w:p>
        </w:tc>
        <w:tc>
          <w:tcPr>
            <w:tcW w:w="638" w:type="pct"/>
            <w:vAlign w:val="center"/>
          </w:tcPr>
          <w:p w14:paraId="3E9B032D">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tcBorders>
              <w:top w:val="single" w:color="auto" w:sz="6" w:space="0"/>
              <w:left w:val="single" w:color="auto" w:sz="6" w:space="0"/>
              <w:bottom w:val="single" w:color="auto" w:sz="6" w:space="0"/>
              <w:right w:val="single" w:color="auto" w:sz="6" w:space="0"/>
            </w:tcBorders>
            <w:vAlign w:val="center"/>
          </w:tcPr>
          <w:p w14:paraId="5BD5ACA3">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2F4CDA82">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tcBorders>
              <w:top w:val="single" w:color="auto" w:sz="6" w:space="0"/>
              <w:left w:val="single" w:color="auto" w:sz="6" w:space="0"/>
              <w:bottom w:val="single" w:color="auto" w:sz="6" w:space="0"/>
              <w:right w:val="single" w:color="auto" w:sz="6" w:space="0"/>
            </w:tcBorders>
            <w:vAlign w:val="center"/>
          </w:tcPr>
          <w:p w14:paraId="32677948">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1080</w:t>
            </w:r>
          </w:p>
        </w:tc>
        <w:tc>
          <w:tcPr>
            <w:tcW w:w="1123" w:type="dxa"/>
            <w:vAlign w:val="center"/>
          </w:tcPr>
          <w:p w14:paraId="46A480A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4106A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73E1819F">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23726509">
            <w:pPr>
              <w:autoSpaceDE w:val="0"/>
              <w:autoSpaceDN w:val="0"/>
              <w:jc w:val="center"/>
              <w:rPr>
                <w:rFonts w:hint="default" w:ascii="Times New Roman" w:hAnsi="Times New Roman" w:eastAsia="宋体" w:cs="Times New Roman"/>
                <w:color w:val="auto"/>
                <w:sz w:val="21"/>
                <w:szCs w:val="21"/>
                <w:highlight w:val="none"/>
              </w:rPr>
            </w:pPr>
          </w:p>
        </w:tc>
        <w:tc>
          <w:tcPr>
            <w:tcW w:w="487" w:type="pct"/>
            <w:shd w:val="clear" w:color="auto" w:fill="auto"/>
            <w:vAlign w:val="center"/>
          </w:tcPr>
          <w:p w14:paraId="71C8ABF5">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660" w:type="pct"/>
            <w:vAlign w:val="center"/>
          </w:tcPr>
          <w:p w14:paraId="769ACC5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0.372</w:t>
            </w:r>
          </w:p>
        </w:tc>
        <w:tc>
          <w:tcPr>
            <w:tcW w:w="413" w:type="pct"/>
            <w:shd w:val="clear" w:color="auto" w:fill="auto"/>
            <w:vAlign w:val="center"/>
          </w:tcPr>
          <w:p w14:paraId="2B9EA0D7">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0.372</w:t>
            </w:r>
          </w:p>
        </w:tc>
        <w:tc>
          <w:tcPr>
            <w:tcW w:w="638" w:type="pct"/>
            <w:vAlign w:val="center"/>
          </w:tcPr>
          <w:p w14:paraId="7F8D3397">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67011FBD">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312B877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6DF929C9">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0.372</w:t>
            </w:r>
          </w:p>
        </w:tc>
        <w:tc>
          <w:tcPr>
            <w:tcW w:w="1123" w:type="dxa"/>
            <w:vAlign w:val="center"/>
          </w:tcPr>
          <w:p w14:paraId="0AC4F5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5E605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37B6EC26">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0E656D61">
            <w:pPr>
              <w:autoSpaceDE w:val="0"/>
              <w:autoSpaceDN w:val="0"/>
              <w:jc w:val="center"/>
              <w:rPr>
                <w:rFonts w:hint="default" w:ascii="Times New Roman" w:hAnsi="Times New Roman" w:eastAsia="宋体" w:cs="Times New Roman"/>
                <w:color w:val="auto"/>
                <w:sz w:val="21"/>
                <w:szCs w:val="21"/>
                <w:highlight w:val="none"/>
              </w:rPr>
            </w:pPr>
          </w:p>
        </w:tc>
        <w:tc>
          <w:tcPr>
            <w:tcW w:w="487" w:type="pct"/>
            <w:shd w:val="clear" w:color="auto" w:fill="auto"/>
            <w:vAlign w:val="center"/>
          </w:tcPr>
          <w:p w14:paraId="0A1DC737">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660" w:type="pct"/>
            <w:vAlign w:val="center"/>
          </w:tcPr>
          <w:p w14:paraId="6421D1D1">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0.24</w:t>
            </w:r>
          </w:p>
        </w:tc>
        <w:tc>
          <w:tcPr>
            <w:tcW w:w="413" w:type="pct"/>
            <w:shd w:val="clear" w:color="auto" w:fill="auto"/>
            <w:vAlign w:val="center"/>
          </w:tcPr>
          <w:p w14:paraId="007B25E2">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0.24</w:t>
            </w:r>
          </w:p>
        </w:tc>
        <w:tc>
          <w:tcPr>
            <w:tcW w:w="638" w:type="pct"/>
            <w:vAlign w:val="center"/>
          </w:tcPr>
          <w:p w14:paraId="0F68F23F">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482215A2">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5EA4B66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6FF6D879">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0.24</w:t>
            </w:r>
          </w:p>
        </w:tc>
        <w:tc>
          <w:tcPr>
            <w:tcW w:w="1123" w:type="dxa"/>
            <w:vAlign w:val="center"/>
          </w:tcPr>
          <w:p w14:paraId="6BDB7D3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1D3B4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317F1237">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2E51A6D5">
            <w:pPr>
              <w:autoSpaceDE w:val="0"/>
              <w:autoSpaceDN w:val="0"/>
              <w:jc w:val="center"/>
              <w:rPr>
                <w:rFonts w:hint="default" w:ascii="Times New Roman" w:hAnsi="Times New Roman" w:eastAsia="宋体" w:cs="Times New Roman"/>
                <w:color w:val="auto"/>
                <w:sz w:val="21"/>
                <w:szCs w:val="21"/>
                <w:highlight w:val="none"/>
              </w:rPr>
            </w:pPr>
          </w:p>
        </w:tc>
        <w:tc>
          <w:tcPr>
            <w:tcW w:w="487" w:type="pct"/>
            <w:shd w:val="clear" w:color="auto" w:fill="auto"/>
            <w:vAlign w:val="center"/>
          </w:tcPr>
          <w:p w14:paraId="5267C6A5">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660" w:type="pct"/>
            <w:vAlign w:val="center"/>
          </w:tcPr>
          <w:p w14:paraId="0D7A0EB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0.0348</w:t>
            </w:r>
          </w:p>
        </w:tc>
        <w:tc>
          <w:tcPr>
            <w:tcW w:w="413" w:type="pct"/>
            <w:shd w:val="clear" w:color="auto" w:fill="auto"/>
            <w:vAlign w:val="center"/>
          </w:tcPr>
          <w:p w14:paraId="1E93A4C7">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0.0348</w:t>
            </w:r>
          </w:p>
        </w:tc>
        <w:tc>
          <w:tcPr>
            <w:tcW w:w="638" w:type="pct"/>
            <w:vAlign w:val="center"/>
          </w:tcPr>
          <w:p w14:paraId="21252A68">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29D88F88">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74070D4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4D953176">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0.0348</w:t>
            </w:r>
          </w:p>
        </w:tc>
        <w:tc>
          <w:tcPr>
            <w:tcW w:w="1123" w:type="dxa"/>
            <w:vAlign w:val="center"/>
          </w:tcPr>
          <w:p w14:paraId="6F975F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1BB0D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054712B5">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EF8FAF4">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shd w:val="clear" w:color="auto" w:fill="auto"/>
            <w:vAlign w:val="center"/>
          </w:tcPr>
          <w:p w14:paraId="3F6EF4A7">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P</w:t>
            </w:r>
          </w:p>
        </w:tc>
        <w:tc>
          <w:tcPr>
            <w:tcW w:w="660" w:type="pct"/>
            <w:vAlign w:val="center"/>
          </w:tcPr>
          <w:p w14:paraId="60C059A0">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0.00528</w:t>
            </w:r>
          </w:p>
        </w:tc>
        <w:tc>
          <w:tcPr>
            <w:tcW w:w="413" w:type="pct"/>
            <w:shd w:val="clear" w:color="auto" w:fill="auto"/>
            <w:vAlign w:val="center"/>
          </w:tcPr>
          <w:p w14:paraId="4E3B3A0C">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0.00528</w:t>
            </w:r>
          </w:p>
        </w:tc>
        <w:tc>
          <w:tcPr>
            <w:tcW w:w="638" w:type="pct"/>
            <w:vAlign w:val="center"/>
          </w:tcPr>
          <w:p w14:paraId="512EBFEA">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098560E2">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5CE26EA7">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75BBF17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0.00528</w:t>
            </w:r>
          </w:p>
        </w:tc>
        <w:tc>
          <w:tcPr>
            <w:tcW w:w="1123" w:type="dxa"/>
            <w:vAlign w:val="center"/>
          </w:tcPr>
          <w:p w14:paraId="462BDC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1A6F6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6AEA84E0">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tcBorders>
              <w:bottom w:val="single" w:color="auto" w:sz="4" w:space="0"/>
            </w:tcBorders>
            <w:vAlign w:val="center"/>
          </w:tcPr>
          <w:p w14:paraId="728BBA27">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483FB031">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N</w:t>
            </w:r>
          </w:p>
        </w:tc>
        <w:tc>
          <w:tcPr>
            <w:tcW w:w="660" w:type="pct"/>
            <w:vAlign w:val="center"/>
          </w:tcPr>
          <w:p w14:paraId="75716127">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0.0486</w:t>
            </w:r>
          </w:p>
        </w:tc>
        <w:tc>
          <w:tcPr>
            <w:tcW w:w="413" w:type="pct"/>
            <w:shd w:val="clear" w:color="auto" w:fill="auto"/>
            <w:vAlign w:val="center"/>
          </w:tcPr>
          <w:p w14:paraId="19A90018">
            <w:pPr>
              <w:pStyle w:val="4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p>
        </w:tc>
        <w:tc>
          <w:tcPr>
            <w:tcW w:w="638" w:type="pct"/>
            <w:vAlign w:val="center"/>
          </w:tcPr>
          <w:p w14:paraId="037553FE">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4723DE63">
            <w:pPr>
              <w:pStyle w:val="47"/>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p>
        </w:tc>
        <w:tc>
          <w:tcPr>
            <w:tcW w:w="622" w:type="pct"/>
            <w:vAlign w:val="center"/>
          </w:tcPr>
          <w:p w14:paraId="46174EC3">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07355DAB">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0.0486</w:t>
            </w:r>
          </w:p>
        </w:tc>
        <w:tc>
          <w:tcPr>
            <w:tcW w:w="1123" w:type="dxa"/>
            <w:vAlign w:val="center"/>
          </w:tcPr>
          <w:p w14:paraId="25571FE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72834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51508DD3">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restart"/>
            <w:vAlign w:val="center"/>
          </w:tcPr>
          <w:p w14:paraId="5DD7DBD7">
            <w:pPr>
              <w:autoSpaceDE w:val="0"/>
              <w:autoSpaceDN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工业废水</w:t>
            </w:r>
          </w:p>
        </w:tc>
        <w:tc>
          <w:tcPr>
            <w:tcW w:w="487" w:type="pct"/>
            <w:tcBorders>
              <w:bottom w:val="single" w:color="auto" w:sz="4" w:space="0"/>
            </w:tcBorders>
            <w:shd w:val="clear" w:color="auto" w:fill="auto"/>
            <w:vAlign w:val="center"/>
          </w:tcPr>
          <w:p w14:paraId="65BB6FB7">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0"/>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废水量</w:t>
            </w:r>
          </w:p>
        </w:tc>
        <w:tc>
          <w:tcPr>
            <w:tcW w:w="660" w:type="pct"/>
            <w:shd w:val="clear" w:color="auto" w:fill="auto"/>
            <w:vAlign w:val="center"/>
          </w:tcPr>
          <w:p w14:paraId="1E006268">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1000</w:t>
            </w:r>
          </w:p>
        </w:tc>
        <w:tc>
          <w:tcPr>
            <w:tcW w:w="413" w:type="pct"/>
            <w:shd w:val="clear" w:color="auto" w:fill="auto"/>
            <w:vAlign w:val="center"/>
          </w:tcPr>
          <w:p w14:paraId="0542F4E6">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1000</w:t>
            </w:r>
          </w:p>
        </w:tc>
        <w:tc>
          <w:tcPr>
            <w:tcW w:w="638" w:type="pct"/>
            <w:vAlign w:val="center"/>
          </w:tcPr>
          <w:p w14:paraId="0AF28E22">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174AA14F">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16765.236</w:t>
            </w:r>
          </w:p>
        </w:tc>
        <w:tc>
          <w:tcPr>
            <w:tcW w:w="622" w:type="pct"/>
            <w:shd w:val="clear" w:color="auto" w:fill="auto"/>
            <w:vAlign w:val="center"/>
          </w:tcPr>
          <w:p w14:paraId="14D6FA40">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1000</w:t>
            </w:r>
          </w:p>
        </w:tc>
        <w:tc>
          <w:tcPr>
            <w:tcW w:w="2213" w:type="dxa"/>
            <w:shd w:val="clear" w:color="auto" w:fill="auto"/>
            <w:vAlign w:val="center"/>
          </w:tcPr>
          <w:p w14:paraId="2FDE6161">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16765.236</w:t>
            </w:r>
          </w:p>
        </w:tc>
        <w:tc>
          <w:tcPr>
            <w:tcW w:w="1123" w:type="dxa"/>
            <w:vAlign w:val="center"/>
          </w:tcPr>
          <w:p w14:paraId="503B9BDE">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15765.236</w:t>
            </w:r>
          </w:p>
        </w:tc>
      </w:tr>
      <w:tr w14:paraId="74968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0F78ECAE">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6E12173">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28D869C2">
            <w:pPr>
              <w:autoSpaceDE w:val="0"/>
              <w:autoSpaceDN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660" w:type="pct"/>
            <w:shd w:val="clear" w:color="auto" w:fill="auto"/>
            <w:vAlign w:val="center"/>
          </w:tcPr>
          <w:p w14:paraId="44D915CB">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0.2</w:t>
            </w:r>
          </w:p>
        </w:tc>
        <w:tc>
          <w:tcPr>
            <w:tcW w:w="413" w:type="pct"/>
            <w:shd w:val="clear" w:color="auto" w:fill="auto"/>
            <w:vAlign w:val="center"/>
          </w:tcPr>
          <w:p w14:paraId="39ACC288">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0.2</w:t>
            </w:r>
          </w:p>
        </w:tc>
        <w:tc>
          <w:tcPr>
            <w:tcW w:w="638" w:type="pct"/>
            <w:vAlign w:val="center"/>
          </w:tcPr>
          <w:p w14:paraId="71976FE3">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7B03DB98">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1.5141</w:t>
            </w:r>
          </w:p>
        </w:tc>
        <w:tc>
          <w:tcPr>
            <w:tcW w:w="622" w:type="pct"/>
            <w:shd w:val="clear" w:color="auto" w:fill="auto"/>
            <w:vAlign w:val="center"/>
          </w:tcPr>
          <w:p w14:paraId="6C6E6C25">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w:t>
            </w:r>
          </w:p>
        </w:tc>
        <w:tc>
          <w:tcPr>
            <w:tcW w:w="2213" w:type="dxa"/>
            <w:shd w:val="clear" w:color="auto" w:fill="auto"/>
            <w:vAlign w:val="center"/>
          </w:tcPr>
          <w:p w14:paraId="3909897E">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1.5141</w:t>
            </w:r>
          </w:p>
        </w:tc>
        <w:tc>
          <w:tcPr>
            <w:tcW w:w="1123" w:type="dxa"/>
            <w:vAlign w:val="center"/>
          </w:tcPr>
          <w:p w14:paraId="32322AC9">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1.3141</w:t>
            </w:r>
          </w:p>
        </w:tc>
      </w:tr>
      <w:tr w14:paraId="2C86D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6DFD1092">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06F7813F">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0B576FF6">
            <w:pPr>
              <w:autoSpaceDE w:val="0"/>
              <w:autoSpaceDN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660" w:type="pct"/>
            <w:shd w:val="clear" w:color="auto" w:fill="auto"/>
            <w:vAlign w:val="center"/>
          </w:tcPr>
          <w:p w14:paraId="17BD853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0.2</w:t>
            </w:r>
          </w:p>
        </w:tc>
        <w:tc>
          <w:tcPr>
            <w:tcW w:w="413" w:type="pct"/>
            <w:shd w:val="clear" w:color="auto" w:fill="auto"/>
            <w:vAlign w:val="center"/>
          </w:tcPr>
          <w:p w14:paraId="5EE796C6">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0.2</w:t>
            </w:r>
          </w:p>
        </w:tc>
        <w:tc>
          <w:tcPr>
            <w:tcW w:w="638" w:type="pct"/>
            <w:vAlign w:val="center"/>
          </w:tcPr>
          <w:p w14:paraId="20D3E14B">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0C8BFA29">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1.4029</w:t>
            </w:r>
          </w:p>
        </w:tc>
        <w:tc>
          <w:tcPr>
            <w:tcW w:w="622" w:type="pct"/>
            <w:shd w:val="clear" w:color="auto" w:fill="auto"/>
            <w:vAlign w:val="center"/>
          </w:tcPr>
          <w:p w14:paraId="03114DDA">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w:t>
            </w:r>
          </w:p>
        </w:tc>
        <w:tc>
          <w:tcPr>
            <w:tcW w:w="2213" w:type="dxa"/>
            <w:shd w:val="clear" w:color="auto" w:fill="auto"/>
            <w:vAlign w:val="center"/>
          </w:tcPr>
          <w:p w14:paraId="12C58856">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1.4029</w:t>
            </w:r>
          </w:p>
        </w:tc>
        <w:tc>
          <w:tcPr>
            <w:tcW w:w="1123" w:type="dxa"/>
            <w:vAlign w:val="center"/>
          </w:tcPr>
          <w:p w14:paraId="6FF9B9F9">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1.2029</w:t>
            </w:r>
          </w:p>
        </w:tc>
      </w:tr>
      <w:tr w14:paraId="240F1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4A783DA1">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67601FA">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12F8933C">
            <w:pPr>
              <w:autoSpaceDE w:val="0"/>
              <w:autoSpaceDN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660" w:type="pct"/>
            <w:shd w:val="clear" w:color="auto" w:fill="auto"/>
            <w:vAlign w:val="center"/>
          </w:tcPr>
          <w:p w14:paraId="683FBC28">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413" w:type="pct"/>
            <w:shd w:val="clear" w:color="auto" w:fill="auto"/>
            <w:vAlign w:val="center"/>
          </w:tcPr>
          <w:p w14:paraId="22596EA7">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vAlign w:val="center"/>
          </w:tcPr>
          <w:p w14:paraId="23F3B50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5FBF479E">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0.0016</w:t>
            </w:r>
          </w:p>
        </w:tc>
        <w:tc>
          <w:tcPr>
            <w:tcW w:w="622" w:type="pct"/>
            <w:shd w:val="clear" w:color="auto" w:fill="auto"/>
            <w:vAlign w:val="center"/>
          </w:tcPr>
          <w:p w14:paraId="3104BFA9">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2213" w:type="dxa"/>
            <w:shd w:val="clear" w:color="auto" w:fill="auto"/>
            <w:vAlign w:val="center"/>
          </w:tcPr>
          <w:p w14:paraId="6879BBD5">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0.0016</w:t>
            </w:r>
          </w:p>
        </w:tc>
        <w:tc>
          <w:tcPr>
            <w:tcW w:w="1123" w:type="dxa"/>
            <w:vAlign w:val="center"/>
          </w:tcPr>
          <w:p w14:paraId="300B0BA0">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0.0016</w:t>
            </w:r>
          </w:p>
        </w:tc>
      </w:tr>
      <w:tr w14:paraId="5ADE3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3846DF3A">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51EA097A">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755FE645">
            <w:pPr>
              <w:autoSpaceDE w:val="0"/>
              <w:autoSpaceDN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N</w:t>
            </w:r>
          </w:p>
        </w:tc>
        <w:tc>
          <w:tcPr>
            <w:tcW w:w="660" w:type="pct"/>
            <w:shd w:val="clear" w:color="auto" w:fill="auto"/>
            <w:vAlign w:val="center"/>
          </w:tcPr>
          <w:p w14:paraId="00D7B2A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413" w:type="pct"/>
            <w:shd w:val="clear" w:color="auto" w:fill="auto"/>
            <w:vAlign w:val="center"/>
          </w:tcPr>
          <w:p w14:paraId="66A9DFF4">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vAlign w:val="center"/>
          </w:tcPr>
          <w:p w14:paraId="237D9472">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5321ABF2">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0.0025</w:t>
            </w:r>
          </w:p>
        </w:tc>
        <w:tc>
          <w:tcPr>
            <w:tcW w:w="622" w:type="pct"/>
            <w:shd w:val="clear" w:color="auto" w:fill="auto"/>
            <w:vAlign w:val="center"/>
          </w:tcPr>
          <w:p w14:paraId="703E2F08">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2213" w:type="dxa"/>
            <w:shd w:val="clear" w:color="auto" w:fill="auto"/>
            <w:vAlign w:val="center"/>
          </w:tcPr>
          <w:p w14:paraId="2DDC0397">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0.0025</w:t>
            </w:r>
          </w:p>
        </w:tc>
        <w:tc>
          <w:tcPr>
            <w:tcW w:w="1123" w:type="dxa"/>
            <w:vAlign w:val="center"/>
          </w:tcPr>
          <w:p w14:paraId="13DCAB91">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0.0025</w:t>
            </w:r>
          </w:p>
        </w:tc>
      </w:tr>
      <w:tr w14:paraId="20C40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0C66726E">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69229EF">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2186E963">
            <w:pPr>
              <w:autoSpaceDE w:val="0"/>
              <w:autoSpaceDN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eastAsia" w:cs="Times New Roman"/>
                <w:color w:val="auto"/>
                <w:sz w:val="21"/>
                <w:szCs w:val="21"/>
                <w:highlight w:val="none"/>
                <w:lang w:val="en-US" w:eastAsia="zh-CN"/>
              </w:rPr>
              <w:t>P</w:t>
            </w:r>
          </w:p>
        </w:tc>
        <w:tc>
          <w:tcPr>
            <w:tcW w:w="660" w:type="pct"/>
            <w:shd w:val="clear" w:color="auto" w:fill="auto"/>
            <w:vAlign w:val="center"/>
          </w:tcPr>
          <w:p w14:paraId="494D1535">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413" w:type="pct"/>
            <w:shd w:val="clear" w:color="auto" w:fill="auto"/>
            <w:vAlign w:val="center"/>
          </w:tcPr>
          <w:p w14:paraId="2154CFF5">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vAlign w:val="center"/>
          </w:tcPr>
          <w:p w14:paraId="591DDD1C">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18C85A0C">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0.00021</w:t>
            </w:r>
          </w:p>
        </w:tc>
        <w:tc>
          <w:tcPr>
            <w:tcW w:w="622" w:type="pct"/>
            <w:shd w:val="clear" w:color="auto" w:fill="auto"/>
            <w:vAlign w:val="center"/>
          </w:tcPr>
          <w:p w14:paraId="62C3BDE0">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2213" w:type="dxa"/>
            <w:shd w:val="clear" w:color="auto" w:fill="auto"/>
            <w:vAlign w:val="center"/>
          </w:tcPr>
          <w:p w14:paraId="02A10642">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0.00021</w:t>
            </w:r>
          </w:p>
        </w:tc>
        <w:tc>
          <w:tcPr>
            <w:tcW w:w="1123" w:type="dxa"/>
            <w:vAlign w:val="center"/>
          </w:tcPr>
          <w:p w14:paraId="2906EB82">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0.00021</w:t>
            </w:r>
          </w:p>
        </w:tc>
      </w:tr>
      <w:tr w14:paraId="0D7A3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44C8EBCF">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2BB78E1">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21C6E38A">
            <w:pPr>
              <w:jc w:val="center"/>
              <w:rPr>
                <w:rFonts w:hint="eastAsia" w:ascii="Times New Roman" w:hAnsi="Times New Roman" w:eastAsia="宋体" w:cs="Times New Roman"/>
                <w:color w:val="auto"/>
                <w:lang w:val="en-US" w:eastAsia="zh-CN" w:bidi="ar"/>
              </w:rPr>
            </w:pPr>
            <w:r>
              <w:rPr>
                <w:rFonts w:hint="eastAsia" w:cs="Times New Roman"/>
                <w:color w:val="auto"/>
                <w:lang w:val="en-US" w:eastAsia="zh-CN" w:bidi="ar"/>
              </w:rPr>
              <w:t>石油类</w:t>
            </w:r>
          </w:p>
        </w:tc>
        <w:tc>
          <w:tcPr>
            <w:tcW w:w="660" w:type="pct"/>
            <w:shd w:val="clear" w:color="auto" w:fill="auto"/>
            <w:vAlign w:val="center"/>
          </w:tcPr>
          <w:p w14:paraId="36E01368">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413" w:type="pct"/>
            <w:shd w:val="clear" w:color="auto" w:fill="auto"/>
            <w:vAlign w:val="center"/>
          </w:tcPr>
          <w:p w14:paraId="033D14D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vAlign w:val="center"/>
          </w:tcPr>
          <w:p w14:paraId="7F3DAAC2">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3AF79E2B">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0.0999</w:t>
            </w:r>
          </w:p>
        </w:tc>
        <w:tc>
          <w:tcPr>
            <w:tcW w:w="622" w:type="pct"/>
            <w:shd w:val="clear" w:color="auto" w:fill="auto"/>
            <w:vAlign w:val="center"/>
          </w:tcPr>
          <w:p w14:paraId="08517BAE">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2213" w:type="dxa"/>
            <w:shd w:val="clear" w:color="auto" w:fill="auto"/>
            <w:vAlign w:val="center"/>
          </w:tcPr>
          <w:p w14:paraId="6F83D776">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0.0999</w:t>
            </w:r>
          </w:p>
        </w:tc>
        <w:tc>
          <w:tcPr>
            <w:tcW w:w="1123" w:type="dxa"/>
            <w:vAlign w:val="center"/>
          </w:tcPr>
          <w:p w14:paraId="1064356A">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0.0999</w:t>
            </w:r>
          </w:p>
        </w:tc>
      </w:tr>
      <w:tr w14:paraId="31E17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vMerge w:val="continue"/>
            <w:vAlign w:val="center"/>
          </w:tcPr>
          <w:p w14:paraId="13585A4F">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rPr>
            </w:pPr>
          </w:p>
        </w:tc>
        <w:tc>
          <w:tcPr>
            <w:tcW w:w="159" w:type="pct"/>
            <w:vMerge w:val="continue"/>
            <w:vAlign w:val="center"/>
          </w:tcPr>
          <w:p w14:paraId="60768FCB">
            <w:pPr>
              <w:autoSpaceDE w:val="0"/>
              <w:autoSpaceDN w:val="0"/>
              <w:jc w:val="center"/>
              <w:rPr>
                <w:rFonts w:hint="eastAsia" w:ascii="Times New Roman" w:hAnsi="Times New Roman" w:eastAsia="宋体" w:cs="Times New Roman"/>
                <w:color w:val="auto"/>
                <w:sz w:val="21"/>
                <w:szCs w:val="21"/>
                <w:highlight w:val="none"/>
                <w:lang w:eastAsia="zh-CN"/>
              </w:rPr>
            </w:pPr>
          </w:p>
        </w:tc>
        <w:tc>
          <w:tcPr>
            <w:tcW w:w="487" w:type="pct"/>
            <w:tcBorders>
              <w:bottom w:val="single" w:color="auto" w:sz="4" w:space="0"/>
            </w:tcBorders>
            <w:shd w:val="clear" w:color="auto" w:fill="auto"/>
            <w:vAlign w:val="center"/>
          </w:tcPr>
          <w:p w14:paraId="5DCA657E">
            <w:pPr>
              <w:jc w:val="center"/>
              <w:rPr>
                <w:rFonts w:hint="eastAsia" w:ascii="Times New Roman" w:hAnsi="Times New Roman" w:eastAsia="宋体" w:cs="Times New Roman"/>
                <w:color w:val="auto"/>
                <w:lang w:val="en-US" w:eastAsia="zh-CN" w:bidi="ar"/>
              </w:rPr>
            </w:pPr>
            <w:r>
              <w:rPr>
                <w:rFonts w:hint="eastAsia" w:cs="Times New Roman"/>
                <w:color w:val="auto"/>
                <w:lang w:val="en-US" w:eastAsia="zh-CN" w:bidi="ar"/>
              </w:rPr>
              <w:t>LAS</w:t>
            </w:r>
          </w:p>
        </w:tc>
        <w:tc>
          <w:tcPr>
            <w:tcW w:w="660" w:type="pct"/>
            <w:shd w:val="clear" w:color="auto" w:fill="auto"/>
            <w:vAlign w:val="center"/>
          </w:tcPr>
          <w:p w14:paraId="32AE85CC">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413" w:type="pct"/>
            <w:shd w:val="clear" w:color="auto" w:fill="auto"/>
            <w:vAlign w:val="center"/>
          </w:tcPr>
          <w:p w14:paraId="09001E5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vAlign w:val="center"/>
          </w:tcPr>
          <w:p w14:paraId="7BC38645">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1739" w:type="dxa"/>
            <w:vAlign w:val="center"/>
          </w:tcPr>
          <w:p w14:paraId="5B6B3CA9">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0.086</w:t>
            </w:r>
          </w:p>
        </w:tc>
        <w:tc>
          <w:tcPr>
            <w:tcW w:w="622" w:type="pct"/>
            <w:shd w:val="clear" w:color="auto" w:fill="auto"/>
            <w:vAlign w:val="center"/>
          </w:tcPr>
          <w:p w14:paraId="39293DD8">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2213" w:type="dxa"/>
            <w:shd w:val="clear" w:color="auto" w:fill="auto"/>
            <w:vAlign w:val="center"/>
          </w:tcPr>
          <w:p w14:paraId="5962D3C8">
            <w:pPr>
              <w:pStyle w:val="47"/>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0.086</w:t>
            </w:r>
          </w:p>
        </w:tc>
        <w:tc>
          <w:tcPr>
            <w:tcW w:w="1123" w:type="dxa"/>
            <w:vAlign w:val="center"/>
          </w:tcPr>
          <w:p w14:paraId="20567F30">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0.086</w:t>
            </w:r>
          </w:p>
        </w:tc>
      </w:tr>
      <w:tr w14:paraId="1EB25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restart"/>
            <w:vAlign w:val="center"/>
          </w:tcPr>
          <w:p w14:paraId="6E711B82">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一般工业固废</w:t>
            </w:r>
          </w:p>
        </w:tc>
        <w:tc>
          <w:tcPr>
            <w:tcW w:w="647" w:type="pct"/>
            <w:gridSpan w:val="2"/>
            <w:shd w:val="clear" w:color="auto" w:fill="auto"/>
            <w:vAlign w:val="center"/>
          </w:tcPr>
          <w:p w14:paraId="04393AD9">
            <w:pPr>
              <w:pStyle w:val="47"/>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废边角料</w:t>
            </w:r>
          </w:p>
        </w:tc>
        <w:tc>
          <w:tcPr>
            <w:tcW w:w="660" w:type="pct"/>
            <w:shd w:val="clear" w:color="auto" w:fill="auto"/>
            <w:vAlign w:val="center"/>
          </w:tcPr>
          <w:p w14:paraId="22934A9C">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4</w:t>
            </w:r>
          </w:p>
        </w:tc>
        <w:tc>
          <w:tcPr>
            <w:tcW w:w="413" w:type="pct"/>
            <w:vAlign w:val="center"/>
          </w:tcPr>
          <w:p w14:paraId="07A209DC">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6E60DF76">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1569A7F5">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622" w:type="pct"/>
            <w:shd w:val="clear" w:color="auto" w:fill="auto"/>
            <w:vAlign w:val="center"/>
          </w:tcPr>
          <w:p w14:paraId="115D1FAC">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4</w:t>
            </w:r>
          </w:p>
        </w:tc>
        <w:tc>
          <w:tcPr>
            <w:tcW w:w="751" w:type="pct"/>
            <w:shd w:val="clear" w:color="auto" w:fill="auto"/>
            <w:vAlign w:val="center"/>
          </w:tcPr>
          <w:p w14:paraId="3C94CFC5">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1123" w:type="dxa"/>
            <w:vAlign w:val="center"/>
          </w:tcPr>
          <w:p w14:paraId="33F37A9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6</w:t>
            </w:r>
          </w:p>
        </w:tc>
      </w:tr>
      <w:tr w14:paraId="3590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42195D3">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7FD25A0A">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回收粉尘</w:t>
            </w:r>
          </w:p>
        </w:tc>
        <w:tc>
          <w:tcPr>
            <w:tcW w:w="660" w:type="pct"/>
            <w:shd w:val="clear" w:color="auto" w:fill="auto"/>
            <w:vAlign w:val="center"/>
          </w:tcPr>
          <w:p w14:paraId="2C3D5017">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0.72</w:t>
            </w:r>
          </w:p>
        </w:tc>
        <w:tc>
          <w:tcPr>
            <w:tcW w:w="413" w:type="pct"/>
            <w:vAlign w:val="center"/>
          </w:tcPr>
          <w:p w14:paraId="6E65506F">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267B0CAE">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2B17C224">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6.</w:t>
            </w:r>
            <w:r>
              <w:rPr>
                <w:rFonts w:hint="eastAsia" w:cs="Times New Roman"/>
                <w:color w:val="auto"/>
                <w:kern w:val="0"/>
                <w:sz w:val="21"/>
                <w:szCs w:val="21"/>
                <w:lang w:val="en-US" w:eastAsia="zh-CN"/>
              </w:rPr>
              <w:t>517</w:t>
            </w:r>
          </w:p>
        </w:tc>
        <w:tc>
          <w:tcPr>
            <w:tcW w:w="622" w:type="pct"/>
            <w:shd w:val="clear" w:color="auto" w:fill="auto"/>
            <w:vAlign w:val="center"/>
          </w:tcPr>
          <w:p w14:paraId="0AA1F057">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0.72</w:t>
            </w:r>
          </w:p>
        </w:tc>
        <w:tc>
          <w:tcPr>
            <w:tcW w:w="751" w:type="pct"/>
            <w:shd w:val="clear" w:color="auto" w:fill="auto"/>
            <w:vAlign w:val="center"/>
          </w:tcPr>
          <w:p w14:paraId="2F7BC53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6.</w:t>
            </w:r>
            <w:r>
              <w:rPr>
                <w:rFonts w:hint="eastAsia" w:cs="Times New Roman"/>
                <w:color w:val="auto"/>
                <w:kern w:val="0"/>
                <w:sz w:val="21"/>
                <w:szCs w:val="21"/>
                <w:lang w:val="en-US" w:eastAsia="zh-CN"/>
              </w:rPr>
              <w:t>517</w:t>
            </w:r>
          </w:p>
        </w:tc>
        <w:tc>
          <w:tcPr>
            <w:tcW w:w="1123" w:type="dxa"/>
            <w:vAlign w:val="center"/>
          </w:tcPr>
          <w:p w14:paraId="54CA7D3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w:t>
            </w:r>
            <w:r>
              <w:rPr>
                <w:rFonts w:hint="eastAsia" w:cs="Times New Roman"/>
                <w:i w:val="0"/>
                <w:iCs w:val="0"/>
                <w:color w:val="auto"/>
                <w:kern w:val="0"/>
                <w:sz w:val="21"/>
                <w:szCs w:val="21"/>
                <w:u w:val="none"/>
                <w:lang w:val="en-US" w:eastAsia="zh-CN" w:bidi="ar"/>
              </w:rPr>
              <w:t>797</w:t>
            </w:r>
          </w:p>
        </w:tc>
      </w:tr>
      <w:tr w14:paraId="3481E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76124FF3">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24B2915E">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废包装材料</w:t>
            </w:r>
          </w:p>
        </w:tc>
        <w:tc>
          <w:tcPr>
            <w:tcW w:w="660" w:type="pct"/>
            <w:shd w:val="clear" w:color="auto" w:fill="auto"/>
            <w:vAlign w:val="center"/>
          </w:tcPr>
          <w:p w14:paraId="53A8065F">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0.5</w:t>
            </w:r>
          </w:p>
        </w:tc>
        <w:tc>
          <w:tcPr>
            <w:tcW w:w="413" w:type="pct"/>
            <w:vAlign w:val="center"/>
          </w:tcPr>
          <w:p w14:paraId="2487E5A9">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20EC0155">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51F94F09">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c>
          <w:tcPr>
            <w:tcW w:w="622" w:type="pct"/>
            <w:shd w:val="clear" w:color="auto" w:fill="auto"/>
            <w:vAlign w:val="center"/>
          </w:tcPr>
          <w:p w14:paraId="1BE4048F">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0.5</w:t>
            </w:r>
          </w:p>
        </w:tc>
        <w:tc>
          <w:tcPr>
            <w:tcW w:w="751" w:type="pct"/>
            <w:shd w:val="clear" w:color="auto" w:fill="auto"/>
            <w:vAlign w:val="center"/>
          </w:tcPr>
          <w:p w14:paraId="0E17123E">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w:t>
            </w:r>
          </w:p>
        </w:tc>
        <w:tc>
          <w:tcPr>
            <w:tcW w:w="1123" w:type="dxa"/>
            <w:vAlign w:val="center"/>
          </w:tcPr>
          <w:p w14:paraId="22272C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0.5</w:t>
            </w:r>
          </w:p>
        </w:tc>
      </w:tr>
      <w:tr w14:paraId="0E477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C22FDD5">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3850D596">
            <w:pPr>
              <w:pStyle w:val="47"/>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不合格品</w:t>
            </w:r>
          </w:p>
        </w:tc>
        <w:tc>
          <w:tcPr>
            <w:tcW w:w="660" w:type="pct"/>
            <w:shd w:val="clear" w:color="auto" w:fill="auto"/>
            <w:vAlign w:val="center"/>
          </w:tcPr>
          <w:p w14:paraId="5E04F62C">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413" w:type="pct"/>
            <w:vAlign w:val="center"/>
          </w:tcPr>
          <w:p w14:paraId="314BD00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76CF0A93">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352605A0">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1</w:t>
            </w:r>
          </w:p>
        </w:tc>
        <w:tc>
          <w:tcPr>
            <w:tcW w:w="622" w:type="pct"/>
            <w:shd w:val="clear" w:color="auto" w:fill="auto"/>
            <w:vAlign w:val="center"/>
          </w:tcPr>
          <w:p w14:paraId="4ED2130A">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751" w:type="pct"/>
            <w:shd w:val="clear" w:color="auto" w:fill="auto"/>
            <w:vAlign w:val="center"/>
          </w:tcPr>
          <w:p w14:paraId="24EFFB4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1</w:t>
            </w:r>
          </w:p>
        </w:tc>
        <w:tc>
          <w:tcPr>
            <w:tcW w:w="1123" w:type="dxa"/>
            <w:vAlign w:val="center"/>
          </w:tcPr>
          <w:p w14:paraId="092E3C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3791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FC1673E">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67DFEE86">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废滤材</w:t>
            </w:r>
          </w:p>
        </w:tc>
        <w:tc>
          <w:tcPr>
            <w:tcW w:w="660" w:type="pct"/>
            <w:shd w:val="clear" w:color="auto" w:fill="auto"/>
            <w:vAlign w:val="center"/>
          </w:tcPr>
          <w:p w14:paraId="00FD0DBE">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413" w:type="pct"/>
            <w:vAlign w:val="center"/>
          </w:tcPr>
          <w:p w14:paraId="211E9EBB">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30FFFD4A">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43BFFAF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0.5</w:t>
            </w:r>
          </w:p>
        </w:tc>
        <w:tc>
          <w:tcPr>
            <w:tcW w:w="622" w:type="pct"/>
            <w:shd w:val="clear" w:color="auto" w:fill="auto"/>
            <w:vAlign w:val="center"/>
          </w:tcPr>
          <w:p w14:paraId="44602B70">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751" w:type="pct"/>
            <w:shd w:val="clear" w:color="auto" w:fill="auto"/>
            <w:vAlign w:val="center"/>
          </w:tcPr>
          <w:p w14:paraId="6121360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0.5</w:t>
            </w:r>
          </w:p>
        </w:tc>
        <w:tc>
          <w:tcPr>
            <w:tcW w:w="1123" w:type="dxa"/>
            <w:vAlign w:val="center"/>
          </w:tcPr>
          <w:p w14:paraId="11892E8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0.5</w:t>
            </w:r>
          </w:p>
        </w:tc>
      </w:tr>
      <w:tr w14:paraId="7533E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C206D4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6EB7821A">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沉降粉尘</w:t>
            </w:r>
          </w:p>
        </w:tc>
        <w:tc>
          <w:tcPr>
            <w:tcW w:w="660" w:type="pct"/>
            <w:shd w:val="clear" w:color="auto" w:fill="auto"/>
            <w:vAlign w:val="center"/>
          </w:tcPr>
          <w:p w14:paraId="452CFB86">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413" w:type="pct"/>
            <w:vAlign w:val="center"/>
          </w:tcPr>
          <w:p w14:paraId="65EF32DB">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38" w:type="pct"/>
            <w:vAlign w:val="center"/>
          </w:tcPr>
          <w:p w14:paraId="251A2199">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90" w:type="pct"/>
            <w:shd w:val="clear" w:color="auto" w:fill="auto"/>
            <w:vAlign w:val="center"/>
          </w:tcPr>
          <w:p w14:paraId="4C7F3DC5">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0.21</w:t>
            </w:r>
          </w:p>
        </w:tc>
        <w:tc>
          <w:tcPr>
            <w:tcW w:w="622" w:type="pct"/>
            <w:shd w:val="clear" w:color="auto" w:fill="auto"/>
            <w:vAlign w:val="center"/>
          </w:tcPr>
          <w:p w14:paraId="1C6AA6C7">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751" w:type="pct"/>
            <w:shd w:val="clear" w:color="auto" w:fill="auto"/>
            <w:vAlign w:val="center"/>
          </w:tcPr>
          <w:p w14:paraId="209E0061">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0.21</w:t>
            </w:r>
          </w:p>
        </w:tc>
        <w:tc>
          <w:tcPr>
            <w:tcW w:w="1123" w:type="dxa"/>
            <w:vAlign w:val="center"/>
          </w:tcPr>
          <w:p w14:paraId="2F848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0.21</w:t>
            </w:r>
          </w:p>
        </w:tc>
      </w:tr>
      <w:tr w14:paraId="2D6CE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5F9B456">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rPr>
            </w:pPr>
          </w:p>
        </w:tc>
        <w:tc>
          <w:tcPr>
            <w:tcW w:w="647" w:type="pct"/>
            <w:gridSpan w:val="2"/>
            <w:shd w:val="clear" w:color="auto" w:fill="auto"/>
            <w:vAlign w:val="center"/>
          </w:tcPr>
          <w:p w14:paraId="7D4264A2">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废滤芯</w:t>
            </w:r>
          </w:p>
        </w:tc>
        <w:tc>
          <w:tcPr>
            <w:tcW w:w="660" w:type="pct"/>
            <w:shd w:val="clear" w:color="auto" w:fill="auto"/>
            <w:vAlign w:val="center"/>
          </w:tcPr>
          <w:p w14:paraId="47EC76D8">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413" w:type="pct"/>
            <w:vAlign w:val="center"/>
          </w:tcPr>
          <w:p w14:paraId="27A09802">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700C6A80">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2B0D1D39">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0.001</w:t>
            </w:r>
          </w:p>
        </w:tc>
        <w:tc>
          <w:tcPr>
            <w:tcW w:w="622" w:type="pct"/>
            <w:shd w:val="clear" w:color="auto" w:fill="auto"/>
            <w:vAlign w:val="center"/>
          </w:tcPr>
          <w:p w14:paraId="69BC8A32">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751" w:type="pct"/>
            <w:shd w:val="clear" w:color="auto" w:fill="auto"/>
            <w:vAlign w:val="center"/>
          </w:tcPr>
          <w:p w14:paraId="31C974B8">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0.001</w:t>
            </w:r>
          </w:p>
        </w:tc>
        <w:tc>
          <w:tcPr>
            <w:tcW w:w="1123" w:type="dxa"/>
            <w:vAlign w:val="center"/>
          </w:tcPr>
          <w:p w14:paraId="117EE05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0.001</w:t>
            </w:r>
          </w:p>
        </w:tc>
      </w:tr>
      <w:tr w14:paraId="5F176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restart"/>
            <w:vAlign w:val="center"/>
          </w:tcPr>
          <w:p w14:paraId="1045B35B">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危险废物</w:t>
            </w:r>
          </w:p>
        </w:tc>
        <w:tc>
          <w:tcPr>
            <w:tcW w:w="647" w:type="pct"/>
            <w:gridSpan w:val="2"/>
            <w:shd w:val="clear" w:color="auto" w:fill="auto"/>
            <w:vAlign w:val="center"/>
          </w:tcPr>
          <w:p w14:paraId="0F125149">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废液（脱脂、酸洗、硅烷化处理）</w:t>
            </w:r>
          </w:p>
        </w:tc>
        <w:tc>
          <w:tcPr>
            <w:tcW w:w="660" w:type="pct"/>
            <w:shd w:val="clear" w:color="auto" w:fill="auto"/>
            <w:vAlign w:val="center"/>
          </w:tcPr>
          <w:p w14:paraId="5BEB468B">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5</w:t>
            </w:r>
          </w:p>
        </w:tc>
        <w:tc>
          <w:tcPr>
            <w:tcW w:w="413" w:type="pct"/>
            <w:vAlign w:val="center"/>
          </w:tcPr>
          <w:p w14:paraId="36EA72BA">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0AF6DB33">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69EA7954">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22" w:type="pct"/>
            <w:shd w:val="clear" w:color="auto" w:fill="auto"/>
            <w:vAlign w:val="center"/>
          </w:tcPr>
          <w:p w14:paraId="17F31869">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5</w:t>
            </w:r>
          </w:p>
        </w:tc>
        <w:tc>
          <w:tcPr>
            <w:tcW w:w="751" w:type="pct"/>
            <w:shd w:val="clear" w:color="auto" w:fill="auto"/>
            <w:vAlign w:val="center"/>
          </w:tcPr>
          <w:p w14:paraId="0EC6608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1123" w:type="dxa"/>
            <w:vAlign w:val="center"/>
          </w:tcPr>
          <w:p w14:paraId="4DD536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r>
      <w:tr w14:paraId="4BD02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43AC825">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5E02875B">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槽渣</w:t>
            </w:r>
          </w:p>
        </w:tc>
        <w:tc>
          <w:tcPr>
            <w:tcW w:w="660" w:type="pct"/>
            <w:shd w:val="clear" w:color="auto" w:fill="auto"/>
            <w:vAlign w:val="center"/>
          </w:tcPr>
          <w:p w14:paraId="5A526882">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3</w:t>
            </w:r>
          </w:p>
        </w:tc>
        <w:tc>
          <w:tcPr>
            <w:tcW w:w="413" w:type="pct"/>
            <w:vAlign w:val="center"/>
          </w:tcPr>
          <w:p w14:paraId="46E5E26D">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270C13F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7D110097">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0.</w:t>
            </w:r>
            <w:r>
              <w:rPr>
                <w:rFonts w:hint="eastAsia" w:cs="Times New Roman"/>
                <w:color w:val="auto"/>
                <w:kern w:val="0"/>
                <w:sz w:val="21"/>
                <w:szCs w:val="21"/>
                <w:lang w:val="en-US" w:eastAsia="zh-CN"/>
              </w:rPr>
              <w:t>11138</w:t>
            </w:r>
          </w:p>
        </w:tc>
        <w:tc>
          <w:tcPr>
            <w:tcW w:w="622" w:type="pct"/>
            <w:shd w:val="clear" w:color="auto" w:fill="auto"/>
            <w:vAlign w:val="center"/>
          </w:tcPr>
          <w:p w14:paraId="483B5754">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3</w:t>
            </w:r>
          </w:p>
        </w:tc>
        <w:tc>
          <w:tcPr>
            <w:tcW w:w="2213" w:type="dxa"/>
            <w:shd w:val="clear" w:color="auto" w:fill="auto"/>
            <w:vAlign w:val="center"/>
          </w:tcPr>
          <w:p w14:paraId="1FDAD98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r>
              <w:rPr>
                <w:rFonts w:hint="eastAsia" w:cs="Times New Roman"/>
                <w:color w:val="auto"/>
                <w:kern w:val="0"/>
                <w:sz w:val="21"/>
                <w:szCs w:val="21"/>
                <w:lang w:val="en-US" w:eastAsia="zh-CN"/>
              </w:rPr>
              <w:t>11138</w:t>
            </w:r>
          </w:p>
        </w:tc>
        <w:tc>
          <w:tcPr>
            <w:tcW w:w="1123" w:type="dxa"/>
            <w:vAlign w:val="center"/>
          </w:tcPr>
          <w:p w14:paraId="6E104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88862</w:t>
            </w:r>
          </w:p>
        </w:tc>
      </w:tr>
      <w:tr w14:paraId="77121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7880F80">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4F52304D">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污泥</w:t>
            </w:r>
          </w:p>
        </w:tc>
        <w:tc>
          <w:tcPr>
            <w:tcW w:w="660" w:type="pct"/>
            <w:shd w:val="clear" w:color="auto" w:fill="auto"/>
            <w:vAlign w:val="center"/>
          </w:tcPr>
          <w:p w14:paraId="4BE6E6D3">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30</w:t>
            </w:r>
          </w:p>
        </w:tc>
        <w:tc>
          <w:tcPr>
            <w:tcW w:w="413" w:type="pct"/>
            <w:vAlign w:val="center"/>
          </w:tcPr>
          <w:p w14:paraId="5DC36B6B">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4B51DDB8">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0486BA38">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38.25</w:t>
            </w:r>
          </w:p>
        </w:tc>
        <w:tc>
          <w:tcPr>
            <w:tcW w:w="622" w:type="pct"/>
            <w:shd w:val="clear" w:color="auto" w:fill="auto"/>
            <w:vAlign w:val="center"/>
          </w:tcPr>
          <w:p w14:paraId="44E33BA0">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30</w:t>
            </w:r>
          </w:p>
        </w:tc>
        <w:tc>
          <w:tcPr>
            <w:tcW w:w="2213" w:type="dxa"/>
            <w:shd w:val="clear" w:color="auto" w:fill="auto"/>
            <w:vAlign w:val="center"/>
          </w:tcPr>
          <w:p w14:paraId="4611BE1D">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38.25</w:t>
            </w:r>
          </w:p>
        </w:tc>
        <w:tc>
          <w:tcPr>
            <w:tcW w:w="1123" w:type="dxa"/>
            <w:vAlign w:val="center"/>
          </w:tcPr>
          <w:p w14:paraId="312BBE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8.25</w:t>
            </w:r>
          </w:p>
        </w:tc>
      </w:tr>
      <w:tr w14:paraId="22907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A709ABA">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13AE48F1">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废活性炭</w:t>
            </w:r>
          </w:p>
        </w:tc>
        <w:tc>
          <w:tcPr>
            <w:tcW w:w="660" w:type="pct"/>
            <w:shd w:val="clear" w:color="auto" w:fill="auto"/>
            <w:vAlign w:val="center"/>
          </w:tcPr>
          <w:p w14:paraId="4D27539C">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4.5</w:t>
            </w:r>
          </w:p>
        </w:tc>
        <w:tc>
          <w:tcPr>
            <w:tcW w:w="413" w:type="pct"/>
            <w:vAlign w:val="center"/>
          </w:tcPr>
          <w:p w14:paraId="1F88290F">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0CF22119">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4061B0A9">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13.2237</w:t>
            </w:r>
          </w:p>
        </w:tc>
        <w:tc>
          <w:tcPr>
            <w:tcW w:w="622" w:type="pct"/>
            <w:shd w:val="clear" w:color="auto" w:fill="auto"/>
            <w:vAlign w:val="center"/>
          </w:tcPr>
          <w:p w14:paraId="3B054402">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4.5</w:t>
            </w:r>
          </w:p>
        </w:tc>
        <w:tc>
          <w:tcPr>
            <w:tcW w:w="2213" w:type="dxa"/>
            <w:shd w:val="clear" w:color="auto" w:fill="auto"/>
            <w:vAlign w:val="center"/>
          </w:tcPr>
          <w:p w14:paraId="6EC20F72">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13.2237</w:t>
            </w:r>
          </w:p>
        </w:tc>
        <w:tc>
          <w:tcPr>
            <w:tcW w:w="1123" w:type="dxa"/>
            <w:vAlign w:val="center"/>
          </w:tcPr>
          <w:p w14:paraId="70FD4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8.7237</w:t>
            </w:r>
          </w:p>
        </w:tc>
      </w:tr>
      <w:tr w14:paraId="1F322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4FBF11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400E9324">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蒸发结晶盐</w:t>
            </w:r>
          </w:p>
        </w:tc>
        <w:tc>
          <w:tcPr>
            <w:tcW w:w="660" w:type="pct"/>
            <w:shd w:val="clear" w:color="auto" w:fill="auto"/>
            <w:vAlign w:val="center"/>
          </w:tcPr>
          <w:p w14:paraId="55A3448B">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3</w:t>
            </w:r>
          </w:p>
        </w:tc>
        <w:tc>
          <w:tcPr>
            <w:tcW w:w="413" w:type="pct"/>
            <w:vAlign w:val="center"/>
          </w:tcPr>
          <w:p w14:paraId="5AA6E81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729014EB">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4229AC7F">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0</w:t>
            </w:r>
          </w:p>
        </w:tc>
        <w:tc>
          <w:tcPr>
            <w:tcW w:w="622" w:type="pct"/>
            <w:shd w:val="clear" w:color="auto" w:fill="auto"/>
            <w:vAlign w:val="center"/>
          </w:tcPr>
          <w:p w14:paraId="23FD0D31">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3</w:t>
            </w:r>
          </w:p>
        </w:tc>
        <w:tc>
          <w:tcPr>
            <w:tcW w:w="2213" w:type="dxa"/>
            <w:shd w:val="clear" w:color="auto" w:fill="auto"/>
            <w:vAlign w:val="center"/>
          </w:tcPr>
          <w:p w14:paraId="17D974DD">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p>
        </w:tc>
        <w:tc>
          <w:tcPr>
            <w:tcW w:w="1123" w:type="dxa"/>
            <w:vAlign w:val="center"/>
          </w:tcPr>
          <w:p w14:paraId="4600B5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r>
      <w:tr w14:paraId="7B5CD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5AD770D2">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16D82FDE">
            <w:pPr>
              <w:pStyle w:val="47"/>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喷淋废液</w:t>
            </w:r>
          </w:p>
        </w:tc>
        <w:tc>
          <w:tcPr>
            <w:tcW w:w="660" w:type="pct"/>
            <w:shd w:val="clear" w:color="auto" w:fill="auto"/>
            <w:vAlign w:val="center"/>
          </w:tcPr>
          <w:p w14:paraId="368C40B6">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1</w:t>
            </w:r>
          </w:p>
        </w:tc>
        <w:tc>
          <w:tcPr>
            <w:tcW w:w="413" w:type="pct"/>
            <w:vAlign w:val="center"/>
          </w:tcPr>
          <w:p w14:paraId="61D7F63F">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3EF92E20">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77548C00">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1</w:t>
            </w:r>
          </w:p>
        </w:tc>
        <w:tc>
          <w:tcPr>
            <w:tcW w:w="622" w:type="pct"/>
            <w:shd w:val="clear" w:color="auto" w:fill="auto"/>
            <w:vAlign w:val="center"/>
          </w:tcPr>
          <w:p w14:paraId="43F6B232">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1</w:t>
            </w:r>
          </w:p>
        </w:tc>
        <w:tc>
          <w:tcPr>
            <w:tcW w:w="2213" w:type="dxa"/>
            <w:shd w:val="clear" w:color="auto" w:fill="auto"/>
            <w:vAlign w:val="center"/>
          </w:tcPr>
          <w:p w14:paraId="286E5F5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1</w:t>
            </w:r>
          </w:p>
        </w:tc>
        <w:tc>
          <w:tcPr>
            <w:tcW w:w="1123" w:type="dxa"/>
            <w:vAlign w:val="center"/>
          </w:tcPr>
          <w:p w14:paraId="55DDD1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06AFD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07BA43F7">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728E92DA">
            <w:pPr>
              <w:pStyle w:val="47"/>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脱脂废液</w:t>
            </w:r>
          </w:p>
        </w:tc>
        <w:tc>
          <w:tcPr>
            <w:tcW w:w="660" w:type="pct"/>
            <w:shd w:val="clear" w:color="auto" w:fill="auto"/>
            <w:vAlign w:val="center"/>
          </w:tcPr>
          <w:p w14:paraId="43313D77">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413" w:type="pct"/>
            <w:vAlign w:val="center"/>
          </w:tcPr>
          <w:p w14:paraId="270662F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25696592">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1A2FBA5B">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21</w:t>
            </w:r>
          </w:p>
        </w:tc>
        <w:tc>
          <w:tcPr>
            <w:tcW w:w="622" w:type="pct"/>
            <w:shd w:val="clear" w:color="auto" w:fill="auto"/>
            <w:vAlign w:val="center"/>
          </w:tcPr>
          <w:p w14:paraId="6A7AF61D">
            <w:pPr>
              <w:pStyle w:val="47"/>
              <w:rPr>
                <w:rFonts w:hint="default" w:ascii="Times New Roman" w:hAnsi="Times New Roman" w:eastAsia="宋体" w:cs="Times New Roman"/>
                <w:bCs w:val="0"/>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0475616B">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21</w:t>
            </w:r>
          </w:p>
        </w:tc>
        <w:tc>
          <w:tcPr>
            <w:tcW w:w="1123" w:type="dxa"/>
            <w:vAlign w:val="center"/>
          </w:tcPr>
          <w:p w14:paraId="0FBBBD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w:t>
            </w:r>
          </w:p>
        </w:tc>
      </w:tr>
      <w:tr w14:paraId="7D05A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0C2A50A2">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078827F6">
            <w:pPr>
              <w:pStyle w:val="47"/>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酸洗废液</w:t>
            </w:r>
          </w:p>
        </w:tc>
        <w:tc>
          <w:tcPr>
            <w:tcW w:w="660" w:type="pct"/>
            <w:vAlign w:val="center"/>
          </w:tcPr>
          <w:p w14:paraId="4DEF9AB0">
            <w:pPr>
              <w:pStyle w:val="47"/>
              <w:rPr>
                <w:rFonts w:hint="default" w:ascii="Times New Roman" w:hAnsi="Times New Roman" w:eastAsia="宋体"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61D55D43">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bidi="ar-SA"/>
              </w:rPr>
              <w:t>0</w:t>
            </w:r>
          </w:p>
        </w:tc>
        <w:tc>
          <w:tcPr>
            <w:tcW w:w="638" w:type="pct"/>
            <w:vAlign w:val="center"/>
          </w:tcPr>
          <w:p w14:paraId="073497A1">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shd w:val="clear" w:color="auto" w:fill="auto"/>
            <w:vAlign w:val="center"/>
          </w:tcPr>
          <w:p w14:paraId="3BC45C09">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21</w:t>
            </w:r>
          </w:p>
        </w:tc>
        <w:tc>
          <w:tcPr>
            <w:tcW w:w="622" w:type="pct"/>
            <w:shd w:val="clear" w:color="auto" w:fill="auto"/>
            <w:vAlign w:val="center"/>
          </w:tcPr>
          <w:p w14:paraId="1F10B096">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07ED40E2">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21</w:t>
            </w:r>
          </w:p>
        </w:tc>
        <w:tc>
          <w:tcPr>
            <w:tcW w:w="1123" w:type="dxa"/>
            <w:vAlign w:val="center"/>
          </w:tcPr>
          <w:p w14:paraId="77B17E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21</w:t>
            </w:r>
          </w:p>
        </w:tc>
      </w:tr>
      <w:tr w14:paraId="5C36F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57DEBFBA">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44C3F2E0">
            <w:pPr>
              <w:pStyle w:val="47"/>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中和废液</w:t>
            </w:r>
          </w:p>
        </w:tc>
        <w:tc>
          <w:tcPr>
            <w:tcW w:w="660" w:type="pct"/>
            <w:vAlign w:val="center"/>
          </w:tcPr>
          <w:p w14:paraId="13DDBC08">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33C7B22F">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4561F2D0">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634E9004">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8.24</w:t>
            </w:r>
          </w:p>
        </w:tc>
        <w:tc>
          <w:tcPr>
            <w:tcW w:w="622" w:type="pct"/>
            <w:shd w:val="clear" w:color="auto" w:fill="auto"/>
            <w:vAlign w:val="center"/>
          </w:tcPr>
          <w:p w14:paraId="7E54686F">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319C3700">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8.24</w:t>
            </w:r>
          </w:p>
        </w:tc>
        <w:tc>
          <w:tcPr>
            <w:tcW w:w="1123" w:type="dxa"/>
            <w:vAlign w:val="center"/>
          </w:tcPr>
          <w:p w14:paraId="318BB4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8.24</w:t>
            </w:r>
          </w:p>
        </w:tc>
      </w:tr>
      <w:tr w14:paraId="06575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6954CC83">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77275459">
            <w:pPr>
              <w:pStyle w:val="47"/>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硅烷废液</w:t>
            </w:r>
          </w:p>
        </w:tc>
        <w:tc>
          <w:tcPr>
            <w:tcW w:w="660" w:type="pct"/>
            <w:vAlign w:val="center"/>
          </w:tcPr>
          <w:p w14:paraId="388A6F28">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779E0828">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6D4A3664">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627A2160">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14</w:t>
            </w:r>
          </w:p>
        </w:tc>
        <w:tc>
          <w:tcPr>
            <w:tcW w:w="622" w:type="pct"/>
            <w:shd w:val="clear" w:color="auto" w:fill="auto"/>
            <w:vAlign w:val="center"/>
          </w:tcPr>
          <w:p w14:paraId="61FF3A9D">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41331151">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14</w:t>
            </w:r>
          </w:p>
        </w:tc>
        <w:tc>
          <w:tcPr>
            <w:tcW w:w="1123" w:type="dxa"/>
            <w:vAlign w:val="center"/>
          </w:tcPr>
          <w:p w14:paraId="079206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14</w:t>
            </w:r>
          </w:p>
        </w:tc>
      </w:tr>
      <w:tr w14:paraId="3155B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37C63BFA">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77616A16">
            <w:pPr>
              <w:pStyle w:val="47"/>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废超滤膜</w:t>
            </w:r>
          </w:p>
        </w:tc>
        <w:tc>
          <w:tcPr>
            <w:tcW w:w="660" w:type="pct"/>
            <w:vAlign w:val="center"/>
          </w:tcPr>
          <w:p w14:paraId="62214C24">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78AEB64C">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5278B08C">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15DD0459">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0.005</w:t>
            </w:r>
          </w:p>
        </w:tc>
        <w:tc>
          <w:tcPr>
            <w:tcW w:w="622" w:type="pct"/>
            <w:shd w:val="clear" w:color="auto" w:fill="auto"/>
            <w:vAlign w:val="center"/>
          </w:tcPr>
          <w:p w14:paraId="1DB35E3D">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2D650963">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0.005</w:t>
            </w:r>
          </w:p>
        </w:tc>
        <w:tc>
          <w:tcPr>
            <w:tcW w:w="1123" w:type="dxa"/>
            <w:vAlign w:val="center"/>
          </w:tcPr>
          <w:p w14:paraId="7FB56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0.005</w:t>
            </w:r>
          </w:p>
        </w:tc>
      </w:tr>
      <w:tr w14:paraId="68638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E089FE0">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2D37766D">
            <w:pPr>
              <w:pStyle w:val="47"/>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表调废液</w:t>
            </w:r>
          </w:p>
        </w:tc>
        <w:tc>
          <w:tcPr>
            <w:tcW w:w="660" w:type="pct"/>
            <w:vAlign w:val="center"/>
          </w:tcPr>
          <w:p w14:paraId="652982A0">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046DCEF1">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2DE13557">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445DC715">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5.76</w:t>
            </w:r>
          </w:p>
        </w:tc>
        <w:tc>
          <w:tcPr>
            <w:tcW w:w="622" w:type="pct"/>
            <w:shd w:val="clear" w:color="auto" w:fill="auto"/>
            <w:vAlign w:val="center"/>
          </w:tcPr>
          <w:p w14:paraId="12D82637">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63EF0672">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5.76</w:t>
            </w:r>
          </w:p>
        </w:tc>
        <w:tc>
          <w:tcPr>
            <w:tcW w:w="1123" w:type="dxa"/>
            <w:vAlign w:val="center"/>
          </w:tcPr>
          <w:p w14:paraId="131FC8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5.76</w:t>
            </w:r>
          </w:p>
        </w:tc>
      </w:tr>
      <w:tr w14:paraId="39DE8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285AF866">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41F3409A">
            <w:pPr>
              <w:pStyle w:val="47"/>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废包装容器</w:t>
            </w:r>
          </w:p>
        </w:tc>
        <w:tc>
          <w:tcPr>
            <w:tcW w:w="660" w:type="pct"/>
            <w:vAlign w:val="center"/>
          </w:tcPr>
          <w:p w14:paraId="0B8E1E37">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79ACBE91">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5B711766">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4E32CE10">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3.</w:t>
            </w:r>
            <w:r>
              <w:rPr>
                <w:rFonts w:hint="eastAsia" w:cs="Times New Roman"/>
                <w:color w:val="auto"/>
                <w:kern w:val="0"/>
                <w:sz w:val="21"/>
                <w:szCs w:val="21"/>
                <w:lang w:val="en-US" w:eastAsia="zh-CN" w:bidi="ar-SA"/>
              </w:rPr>
              <w:t>22</w:t>
            </w:r>
          </w:p>
        </w:tc>
        <w:tc>
          <w:tcPr>
            <w:tcW w:w="622" w:type="pct"/>
            <w:shd w:val="clear" w:color="auto" w:fill="auto"/>
            <w:vAlign w:val="center"/>
          </w:tcPr>
          <w:p w14:paraId="409D6206">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368157D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3.</w:t>
            </w:r>
            <w:r>
              <w:rPr>
                <w:rFonts w:hint="eastAsia" w:cs="Times New Roman"/>
                <w:color w:val="auto"/>
                <w:kern w:val="0"/>
                <w:sz w:val="21"/>
                <w:szCs w:val="21"/>
                <w:lang w:val="en-US" w:eastAsia="zh-CN" w:bidi="ar-SA"/>
              </w:rPr>
              <w:t>22</w:t>
            </w:r>
          </w:p>
        </w:tc>
        <w:tc>
          <w:tcPr>
            <w:tcW w:w="1123" w:type="dxa"/>
            <w:vAlign w:val="center"/>
          </w:tcPr>
          <w:p w14:paraId="3C7912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3.22</w:t>
            </w:r>
          </w:p>
        </w:tc>
      </w:tr>
      <w:tr w14:paraId="2CCF1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442380F5">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4A4F6203">
            <w:pPr>
              <w:pStyle w:val="47"/>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w:t>
            </w:r>
            <w:r>
              <w:rPr>
                <w:rFonts w:hint="eastAsia" w:ascii="Times New Roman" w:hAnsi="Times New Roman" w:eastAsia="宋体" w:cs="Times New Roman"/>
                <w:color w:val="auto"/>
                <w:kern w:val="0"/>
                <w:sz w:val="21"/>
                <w:szCs w:val="21"/>
                <w:lang w:val="en-US" w:eastAsia="zh-CN" w:bidi="ar-SA"/>
              </w:rPr>
              <w:t>润滑油</w:t>
            </w:r>
          </w:p>
        </w:tc>
        <w:tc>
          <w:tcPr>
            <w:tcW w:w="660" w:type="pct"/>
            <w:vAlign w:val="center"/>
          </w:tcPr>
          <w:p w14:paraId="3A885360">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6109FADB">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2C9D2504">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7EF68CF9">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0.01</w:t>
            </w:r>
          </w:p>
        </w:tc>
        <w:tc>
          <w:tcPr>
            <w:tcW w:w="622" w:type="pct"/>
            <w:shd w:val="clear" w:color="auto" w:fill="auto"/>
            <w:vAlign w:val="center"/>
          </w:tcPr>
          <w:p w14:paraId="5D75007B">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2B0F691F">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0.01</w:t>
            </w:r>
          </w:p>
        </w:tc>
        <w:tc>
          <w:tcPr>
            <w:tcW w:w="1123" w:type="dxa"/>
            <w:vAlign w:val="center"/>
          </w:tcPr>
          <w:p w14:paraId="40D80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w:t>
            </w:r>
          </w:p>
        </w:tc>
      </w:tr>
      <w:tr w14:paraId="07B83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7260F6C">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2DA14B5A">
            <w:pPr>
              <w:pStyle w:val="47"/>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含油抹布</w:t>
            </w:r>
          </w:p>
        </w:tc>
        <w:tc>
          <w:tcPr>
            <w:tcW w:w="660" w:type="pct"/>
            <w:vAlign w:val="center"/>
          </w:tcPr>
          <w:p w14:paraId="5D32389E">
            <w:pPr>
              <w:pStyle w:val="47"/>
              <w:rPr>
                <w:rFonts w:hint="default" w:cs="Times New Roman"/>
                <w:color w:val="auto"/>
                <w:kern w:val="0"/>
                <w:sz w:val="21"/>
                <w:szCs w:val="21"/>
                <w:lang w:val="en-US" w:eastAsia="zh-CN"/>
              </w:rPr>
            </w:pPr>
            <w:r>
              <w:rPr>
                <w:rFonts w:hint="default" w:cs="Times New Roman"/>
                <w:bCs w:val="0"/>
                <w:color w:val="auto"/>
                <w:kern w:val="0"/>
                <w:sz w:val="21"/>
                <w:szCs w:val="21"/>
                <w:lang w:val="en-US" w:eastAsia="zh-CN" w:bidi="ar-SA"/>
              </w:rPr>
              <w:t>0</w:t>
            </w:r>
          </w:p>
        </w:tc>
        <w:tc>
          <w:tcPr>
            <w:tcW w:w="413" w:type="pct"/>
            <w:vAlign w:val="center"/>
          </w:tcPr>
          <w:p w14:paraId="3B0A6C69">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bidi="ar-SA"/>
              </w:rPr>
              <w:t>0</w:t>
            </w:r>
          </w:p>
        </w:tc>
        <w:tc>
          <w:tcPr>
            <w:tcW w:w="638" w:type="pct"/>
            <w:vAlign w:val="center"/>
          </w:tcPr>
          <w:p w14:paraId="546C9AAE">
            <w:pPr>
              <w:pStyle w:val="47"/>
              <w:rPr>
                <w:rFonts w:hint="default" w:cs="Times New Roman"/>
                <w:color w:val="auto"/>
                <w:kern w:val="0"/>
                <w:sz w:val="21"/>
                <w:szCs w:val="21"/>
                <w:lang w:val="en-US" w:eastAsia="zh-CN"/>
              </w:rPr>
            </w:pPr>
            <w:r>
              <w:rPr>
                <w:rFonts w:hint="default" w:cs="Times New Roman"/>
                <w:color w:val="auto"/>
                <w:kern w:val="0"/>
                <w:sz w:val="21"/>
                <w:szCs w:val="21"/>
                <w:lang w:val="en-US" w:eastAsia="zh-CN"/>
              </w:rPr>
              <w:t>/</w:t>
            </w:r>
          </w:p>
        </w:tc>
        <w:tc>
          <w:tcPr>
            <w:tcW w:w="590" w:type="pct"/>
            <w:shd w:val="clear" w:color="auto" w:fill="auto"/>
            <w:vAlign w:val="center"/>
          </w:tcPr>
          <w:p w14:paraId="59733BA4">
            <w:pPr>
              <w:pStyle w:val="47"/>
              <w:rPr>
                <w:rFonts w:hint="default" w:cs="Times New Roman"/>
                <w:color w:val="auto"/>
                <w:kern w:val="0"/>
                <w:sz w:val="21"/>
                <w:szCs w:val="21"/>
                <w:lang w:val="en-US" w:eastAsia="zh-CN" w:bidi="ar-SA"/>
              </w:rPr>
            </w:pPr>
            <w:r>
              <w:rPr>
                <w:rFonts w:hint="default" w:cs="Times New Roman"/>
                <w:color w:val="auto"/>
                <w:kern w:val="0"/>
                <w:sz w:val="21"/>
                <w:szCs w:val="21"/>
                <w:lang w:val="en-US" w:eastAsia="zh-CN" w:bidi="ar-SA"/>
              </w:rPr>
              <w:t>0.02</w:t>
            </w:r>
          </w:p>
        </w:tc>
        <w:tc>
          <w:tcPr>
            <w:tcW w:w="622" w:type="pct"/>
            <w:shd w:val="clear" w:color="auto" w:fill="auto"/>
            <w:vAlign w:val="center"/>
          </w:tcPr>
          <w:p w14:paraId="67DBF306">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233764E6">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0.02</w:t>
            </w:r>
          </w:p>
        </w:tc>
        <w:tc>
          <w:tcPr>
            <w:tcW w:w="1123" w:type="dxa"/>
            <w:vAlign w:val="center"/>
          </w:tcPr>
          <w:p w14:paraId="6363E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w:t>
            </w:r>
          </w:p>
        </w:tc>
      </w:tr>
      <w:tr w14:paraId="63693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59586D5B">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08C39F3B">
            <w:pPr>
              <w:pStyle w:val="47"/>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废油桶</w:t>
            </w:r>
          </w:p>
        </w:tc>
        <w:tc>
          <w:tcPr>
            <w:tcW w:w="660" w:type="pct"/>
            <w:shd w:val="clear" w:color="auto" w:fill="auto"/>
            <w:vAlign w:val="center"/>
          </w:tcPr>
          <w:p w14:paraId="57C6CFA2">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413" w:type="pct"/>
            <w:shd w:val="clear" w:color="auto" w:fill="auto"/>
            <w:vAlign w:val="center"/>
          </w:tcPr>
          <w:p w14:paraId="243C2AF5">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w:t>
            </w:r>
          </w:p>
        </w:tc>
        <w:tc>
          <w:tcPr>
            <w:tcW w:w="638" w:type="pct"/>
            <w:shd w:val="clear" w:color="auto" w:fill="auto"/>
            <w:vAlign w:val="center"/>
          </w:tcPr>
          <w:p w14:paraId="5A27839E">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w:t>
            </w:r>
          </w:p>
        </w:tc>
        <w:tc>
          <w:tcPr>
            <w:tcW w:w="590" w:type="pct"/>
            <w:shd w:val="clear" w:color="auto" w:fill="auto"/>
            <w:vAlign w:val="center"/>
          </w:tcPr>
          <w:p w14:paraId="33692EA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0.1</w:t>
            </w:r>
          </w:p>
        </w:tc>
        <w:tc>
          <w:tcPr>
            <w:tcW w:w="622" w:type="pct"/>
            <w:shd w:val="clear" w:color="auto" w:fill="auto"/>
            <w:vAlign w:val="center"/>
          </w:tcPr>
          <w:p w14:paraId="681F3324">
            <w:pPr>
              <w:pStyle w:val="47"/>
              <w:rPr>
                <w:rFonts w:hint="default" w:ascii="Times New Roman" w:hAnsi="Times New Roman" w:eastAsia="宋体" w:cs="Times New Roman"/>
                <w:color w:val="auto"/>
                <w:kern w:val="0"/>
                <w:sz w:val="21"/>
                <w:szCs w:val="21"/>
                <w:lang w:val="en-US" w:eastAsia="zh-CN" w:bidi="ar-SA"/>
              </w:rPr>
            </w:pPr>
            <w:r>
              <w:rPr>
                <w:rFonts w:hint="default" w:cs="Times New Roman"/>
                <w:bCs w:val="0"/>
                <w:color w:val="auto"/>
                <w:kern w:val="0"/>
                <w:sz w:val="21"/>
                <w:szCs w:val="21"/>
                <w:lang w:val="en-US" w:eastAsia="zh-CN" w:bidi="ar-SA"/>
              </w:rPr>
              <w:t>0</w:t>
            </w:r>
          </w:p>
        </w:tc>
        <w:tc>
          <w:tcPr>
            <w:tcW w:w="2213" w:type="dxa"/>
            <w:shd w:val="clear" w:color="auto" w:fill="auto"/>
            <w:vAlign w:val="center"/>
          </w:tcPr>
          <w:p w14:paraId="4022B839">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bidi="ar-SA"/>
              </w:rPr>
              <w:t>0.1</w:t>
            </w:r>
          </w:p>
        </w:tc>
        <w:tc>
          <w:tcPr>
            <w:tcW w:w="1123" w:type="dxa"/>
            <w:shd w:val="clear" w:color="auto" w:fill="auto"/>
            <w:vAlign w:val="center"/>
          </w:tcPr>
          <w:p w14:paraId="445CA0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w:t>
            </w:r>
          </w:p>
        </w:tc>
      </w:tr>
      <w:tr w14:paraId="07D11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668D8C31">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74498995">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废过滤棉</w:t>
            </w:r>
          </w:p>
        </w:tc>
        <w:tc>
          <w:tcPr>
            <w:tcW w:w="660" w:type="pct"/>
            <w:shd w:val="clear" w:color="auto" w:fill="auto"/>
            <w:vAlign w:val="center"/>
          </w:tcPr>
          <w:p w14:paraId="68BD7CB8">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413" w:type="pct"/>
            <w:shd w:val="clear" w:color="auto" w:fill="auto"/>
            <w:vAlign w:val="center"/>
          </w:tcPr>
          <w:p w14:paraId="736961FC">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38" w:type="pct"/>
            <w:shd w:val="clear" w:color="auto" w:fill="auto"/>
            <w:vAlign w:val="center"/>
          </w:tcPr>
          <w:p w14:paraId="78A434B7">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90" w:type="pct"/>
            <w:shd w:val="clear" w:color="auto" w:fill="auto"/>
            <w:vAlign w:val="center"/>
          </w:tcPr>
          <w:p w14:paraId="712D76DF">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0.01</w:t>
            </w:r>
          </w:p>
        </w:tc>
        <w:tc>
          <w:tcPr>
            <w:tcW w:w="622" w:type="pct"/>
            <w:shd w:val="clear" w:color="auto" w:fill="auto"/>
            <w:vAlign w:val="center"/>
          </w:tcPr>
          <w:p w14:paraId="0ECF298E">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2213" w:type="dxa"/>
            <w:shd w:val="clear" w:color="auto" w:fill="auto"/>
            <w:vAlign w:val="center"/>
          </w:tcPr>
          <w:p w14:paraId="4DD7E176">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0.01</w:t>
            </w:r>
          </w:p>
        </w:tc>
        <w:tc>
          <w:tcPr>
            <w:tcW w:w="1123" w:type="dxa"/>
            <w:shd w:val="clear" w:color="auto" w:fill="auto"/>
            <w:vAlign w:val="center"/>
          </w:tcPr>
          <w:p w14:paraId="4504808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w:t>
            </w:r>
          </w:p>
        </w:tc>
      </w:tr>
      <w:tr w14:paraId="2628E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04E41540">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6895C2EB">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废RO膜</w:t>
            </w:r>
          </w:p>
        </w:tc>
        <w:tc>
          <w:tcPr>
            <w:tcW w:w="660" w:type="pct"/>
            <w:shd w:val="clear" w:color="auto" w:fill="auto"/>
            <w:vAlign w:val="center"/>
          </w:tcPr>
          <w:p w14:paraId="534CA5FC">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413" w:type="pct"/>
            <w:shd w:val="clear" w:color="auto" w:fill="auto"/>
            <w:vAlign w:val="center"/>
          </w:tcPr>
          <w:p w14:paraId="592ADE36">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638" w:type="pct"/>
            <w:shd w:val="clear" w:color="auto" w:fill="auto"/>
            <w:vAlign w:val="center"/>
          </w:tcPr>
          <w:p w14:paraId="7714318B">
            <w:pPr>
              <w:pStyle w:val="47"/>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90" w:type="pct"/>
            <w:shd w:val="clear" w:color="auto" w:fill="auto"/>
            <w:vAlign w:val="center"/>
          </w:tcPr>
          <w:p w14:paraId="5105101C">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c>
          <w:tcPr>
            <w:tcW w:w="622" w:type="pct"/>
            <w:shd w:val="clear" w:color="auto" w:fill="auto"/>
            <w:vAlign w:val="center"/>
          </w:tcPr>
          <w:p w14:paraId="601624FF">
            <w:pPr>
              <w:pStyle w:val="47"/>
              <w:rPr>
                <w:rFonts w:hint="default"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2213" w:type="dxa"/>
            <w:shd w:val="clear" w:color="auto" w:fill="auto"/>
            <w:vAlign w:val="center"/>
          </w:tcPr>
          <w:p w14:paraId="45FE421A">
            <w:pPr>
              <w:pStyle w:val="47"/>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w:t>
            </w:r>
          </w:p>
        </w:tc>
        <w:tc>
          <w:tcPr>
            <w:tcW w:w="1123" w:type="dxa"/>
            <w:shd w:val="clear" w:color="auto" w:fill="auto"/>
            <w:vAlign w:val="center"/>
          </w:tcPr>
          <w:p w14:paraId="5D8E899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0.05</w:t>
            </w:r>
          </w:p>
        </w:tc>
      </w:tr>
      <w:tr w14:paraId="26785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5" w:type="pct"/>
            <w:vMerge w:val="continue"/>
            <w:vAlign w:val="center"/>
          </w:tcPr>
          <w:p w14:paraId="1148107D">
            <w:pPr>
              <w:pStyle w:val="3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p>
        </w:tc>
        <w:tc>
          <w:tcPr>
            <w:tcW w:w="647" w:type="pct"/>
            <w:gridSpan w:val="2"/>
            <w:shd w:val="clear" w:color="auto" w:fill="auto"/>
            <w:vAlign w:val="center"/>
          </w:tcPr>
          <w:p w14:paraId="33886C73">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挂具废渣</w:t>
            </w:r>
          </w:p>
        </w:tc>
        <w:tc>
          <w:tcPr>
            <w:tcW w:w="660" w:type="pct"/>
            <w:vAlign w:val="center"/>
          </w:tcPr>
          <w:p w14:paraId="32CD3D5A">
            <w:pPr>
              <w:pStyle w:val="47"/>
              <w:rPr>
                <w:rFonts w:hint="default" w:ascii="Times New Roman" w:hAnsi="Times New Roman" w:eastAsia="宋体" w:cs="Times New Roman"/>
                <w:color w:val="auto"/>
                <w:kern w:val="0"/>
                <w:sz w:val="21"/>
                <w:szCs w:val="21"/>
                <w:lang w:val="en-US" w:eastAsia="zh-CN"/>
              </w:rPr>
            </w:pPr>
            <w:r>
              <w:rPr>
                <w:rFonts w:hint="eastAsia" w:cs="Times New Roman"/>
                <w:bCs w:val="0"/>
                <w:color w:val="auto"/>
                <w:kern w:val="0"/>
                <w:sz w:val="21"/>
                <w:szCs w:val="21"/>
                <w:lang w:val="en-US" w:eastAsia="zh-CN" w:bidi="ar-SA"/>
              </w:rPr>
              <w:t>0</w:t>
            </w:r>
          </w:p>
        </w:tc>
        <w:tc>
          <w:tcPr>
            <w:tcW w:w="413" w:type="pct"/>
            <w:vAlign w:val="center"/>
          </w:tcPr>
          <w:p w14:paraId="12A1722C">
            <w:pPr>
              <w:pStyle w:val="47"/>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0</w:t>
            </w:r>
          </w:p>
        </w:tc>
        <w:tc>
          <w:tcPr>
            <w:tcW w:w="638" w:type="pct"/>
            <w:vAlign w:val="center"/>
          </w:tcPr>
          <w:p w14:paraId="5838D972">
            <w:pPr>
              <w:pStyle w:val="47"/>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w:t>
            </w:r>
          </w:p>
        </w:tc>
        <w:tc>
          <w:tcPr>
            <w:tcW w:w="590" w:type="pct"/>
            <w:shd w:val="clear" w:color="auto" w:fill="auto"/>
            <w:vAlign w:val="center"/>
          </w:tcPr>
          <w:p w14:paraId="06A285BE">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0.20576</w:t>
            </w:r>
          </w:p>
        </w:tc>
        <w:tc>
          <w:tcPr>
            <w:tcW w:w="622" w:type="pct"/>
            <w:shd w:val="clear" w:color="auto" w:fill="auto"/>
            <w:vAlign w:val="center"/>
          </w:tcPr>
          <w:p w14:paraId="4356D7BF">
            <w:pPr>
              <w:pStyle w:val="47"/>
              <w:rPr>
                <w:rFonts w:hint="default" w:ascii="Times New Roman" w:hAnsi="Times New Roman" w:eastAsia="宋体" w:cs="Times New Roman"/>
                <w:color w:val="auto"/>
                <w:kern w:val="0"/>
                <w:sz w:val="21"/>
                <w:szCs w:val="21"/>
                <w:lang w:val="en-US" w:eastAsia="zh-CN" w:bidi="ar-SA"/>
              </w:rPr>
            </w:pPr>
            <w:r>
              <w:rPr>
                <w:rFonts w:hint="eastAsia" w:cs="Times New Roman"/>
                <w:bCs w:val="0"/>
                <w:color w:val="auto"/>
                <w:kern w:val="0"/>
                <w:sz w:val="21"/>
                <w:szCs w:val="21"/>
                <w:lang w:val="en-US" w:eastAsia="zh-CN" w:bidi="ar-SA"/>
              </w:rPr>
              <w:t>0</w:t>
            </w:r>
          </w:p>
        </w:tc>
        <w:tc>
          <w:tcPr>
            <w:tcW w:w="2213" w:type="dxa"/>
            <w:shd w:val="clear" w:color="auto" w:fill="auto"/>
            <w:vAlign w:val="center"/>
          </w:tcPr>
          <w:p w14:paraId="0FF29D0B">
            <w:pPr>
              <w:pStyle w:val="47"/>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0.20576</w:t>
            </w:r>
          </w:p>
        </w:tc>
        <w:tc>
          <w:tcPr>
            <w:tcW w:w="1123" w:type="dxa"/>
            <w:vAlign w:val="center"/>
          </w:tcPr>
          <w:p w14:paraId="2FA431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0.20576</w:t>
            </w:r>
          </w:p>
        </w:tc>
      </w:tr>
      <w:tr w14:paraId="1529F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2" w:type="pct"/>
            <w:gridSpan w:val="3"/>
            <w:vAlign w:val="center"/>
          </w:tcPr>
          <w:p w14:paraId="15BD4D7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生活垃圾</w:t>
            </w:r>
          </w:p>
        </w:tc>
        <w:tc>
          <w:tcPr>
            <w:tcW w:w="660" w:type="pct"/>
            <w:vAlign w:val="center"/>
          </w:tcPr>
          <w:p w14:paraId="271DBF09">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6</w:t>
            </w:r>
          </w:p>
        </w:tc>
        <w:tc>
          <w:tcPr>
            <w:tcW w:w="413" w:type="pct"/>
            <w:vAlign w:val="center"/>
          </w:tcPr>
          <w:p w14:paraId="6774333F">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638" w:type="pct"/>
            <w:vAlign w:val="center"/>
          </w:tcPr>
          <w:p w14:paraId="61016893">
            <w:pPr>
              <w:pStyle w:val="47"/>
              <w:rPr>
                <w:rFonts w:hint="default" w:ascii="Times New Roman" w:hAnsi="Times New Roman" w:eastAsia="宋体" w:cs="Times New Roman"/>
                <w:color w:val="auto"/>
                <w:kern w:val="0"/>
                <w:sz w:val="21"/>
                <w:szCs w:val="21"/>
              </w:rPr>
            </w:pPr>
            <w:r>
              <w:rPr>
                <w:rFonts w:hint="default" w:cs="Times New Roman"/>
                <w:color w:val="auto"/>
                <w:kern w:val="0"/>
                <w:sz w:val="21"/>
                <w:szCs w:val="21"/>
                <w:lang w:val="en-US" w:eastAsia="zh-CN"/>
              </w:rPr>
              <w:t>/</w:t>
            </w:r>
          </w:p>
        </w:tc>
        <w:tc>
          <w:tcPr>
            <w:tcW w:w="590" w:type="pct"/>
            <w:vAlign w:val="center"/>
          </w:tcPr>
          <w:p w14:paraId="2FDF67EA">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622" w:type="pct"/>
            <w:vAlign w:val="center"/>
          </w:tcPr>
          <w:p w14:paraId="4EA433F1">
            <w:pPr>
              <w:pStyle w:val="47"/>
              <w:rPr>
                <w:rFonts w:hint="default" w:ascii="Times New Roman" w:hAnsi="Times New Roman" w:eastAsia="宋体" w:cs="Times New Roman"/>
                <w:color w:val="auto"/>
                <w:kern w:val="0"/>
                <w:sz w:val="21"/>
                <w:szCs w:val="21"/>
                <w:lang w:val="en-US" w:eastAsia="zh-CN"/>
              </w:rPr>
            </w:pPr>
            <w:r>
              <w:rPr>
                <w:rFonts w:hint="default" w:cs="Times New Roman"/>
                <w:color w:val="auto"/>
                <w:kern w:val="0"/>
                <w:sz w:val="21"/>
                <w:szCs w:val="21"/>
                <w:lang w:val="en-US" w:eastAsia="zh-CN"/>
              </w:rPr>
              <w:t>0</w:t>
            </w:r>
          </w:p>
        </w:tc>
        <w:tc>
          <w:tcPr>
            <w:tcW w:w="751" w:type="pct"/>
            <w:vAlign w:val="center"/>
          </w:tcPr>
          <w:p w14:paraId="05AA3CD2">
            <w:pPr>
              <w:pStyle w:val="47"/>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c>
          <w:tcPr>
            <w:tcW w:w="381" w:type="pct"/>
            <w:shd w:val="clear" w:color="auto" w:fill="auto"/>
            <w:vAlign w:val="center"/>
          </w:tcPr>
          <w:p w14:paraId="35F208BA">
            <w:pPr>
              <w:pStyle w:val="47"/>
              <w:rPr>
                <w:rFonts w:hint="default" w:ascii="Times New Roman" w:hAnsi="Times New Roman" w:eastAsia="宋体" w:cs="Times New Roman"/>
                <w:color w:val="auto"/>
                <w:kern w:val="0"/>
                <w:sz w:val="21"/>
                <w:szCs w:val="21"/>
                <w:lang w:val="en-US" w:eastAsia="zh-CN" w:bidi="ar-SA"/>
              </w:rPr>
            </w:pPr>
            <w:r>
              <w:rPr>
                <w:rFonts w:hint="default" w:cs="Times New Roman"/>
                <w:color w:val="auto"/>
                <w:kern w:val="0"/>
                <w:sz w:val="21"/>
                <w:szCs w:val="21"/>
                <w:lang w:val="en-US" w:eastAsia="zh-CN"/>
              </w:rPr>
              <w:t>0</w:t>
            </w:r>
          </w:p>
        </w:tc>
      </w:tr>
    </w:tbl>
    <w:p w14:paraId="155E012B">
      <w:pPr>
        <w:pStyle w:val="36"/>
        <w:spacing w:beforeLines="0" w:afterLines="0" w:line="240" w:lineRule="auto"/>
        <w:jc w:val="left"/>
        <w:rPr>
          <w:rFonts w:ascii="Times New Roman"/>
          <w:snapToGrid w:val="0"/>
          <w:color w:val="auto"/>
          <w:kern w:val="21"/>
          <w:szCs w:val="21"/>
          <w:highlight w:val="none"/>
        </w:rPr>
        <w:sectPr>
          <w:footerReference r:id="rId6" w:type="default"/>
          <w:pgSz w:w="16838" w:h="11906" w:orient="landscape"/>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snapToGrid w:val="0"/>
          <w:color w:val="auto"/>
          <w:kern w:val="21"/>
          <w:szCs w:val="21"/>
          <w:highlight w:val="none"/>
        </w:rPr>
        <w:t>注：</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6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⑥</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1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①</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3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③</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4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④</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5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⑤</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7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⑦</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6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⑥</w:t>
      </w:r>
      <w:r>
        <w:rPr>
          <w:rFonts w:ascii="Times New Roman"/>
          <w:snapToGrid w:val="0"/>
          <w:color w:val="auto"/>
          <w:kern w:val="21"/>
          <w:szCs w:val="21"/>
          <w:highlight w:val="none"/>
        </w:rPr>
        <w:fldChar w:fldCharType="end"/>
      </w:r>
      <w:r>
        <w:rPr>
          <w:rFonts w:ascii="Times New Roman"/>
          <w:snapToGrid w:val="0"/>
          <w:color w:val="auto"/>
          <w:kern w:val="21"/>
          <w:szCs w:val="21"/>
          <w:highlight w:val="none"/>
        </w:rPr>
        <w:t>-</w:t>
      </w:r>
      <w:r>
        <w:rPr>
          <w:rFonts w:ascii="Times New Roman"/>
          <w:snapToGrid w:val="0"/>
          <w:color w:val="auto"/>
          <w:kern w:val="21"/>
          <w:szCs w:val="21"/>
          <w:highlight w:val="none"/>
        </w:rPr>
        <w:fldChar w:fldCharType="begin"/>
      </w:r>
      <w:r>
        <w:rPr>
          <w:rFonts w:ascii="Times New Roman"/>
          <w:snapToGrid w:val="0"/>
          <w:color w:val="auto"/>
          <w:kern w:val="21"/>
          <w:szCs w:val="21"/>
          <w:highlight w:val="none"/>
        </w:rPr>
        <w:instrText xml:space="preserve"> = 1 \* GB3 \* MERGEFORMAT </w:instrText>
      </w:r>
      <w:r>
        <w:rPr>
          <w:rFonts w:ascii="Times New Roman"/>
          <w:snapToGrid w:val="0"/>
          <w:color w:val="auto"/>
          <w:kern w:val="21"/>
          <w:szCs w:val="21"/>
          <w:highlight w:val="none"/>
        </w:rPr>
        <w:fldChar w:fldCharType="separate"/>
      </w:r>
      <w:r>
        <w:rPr>
          <w:rFonts w:hint="eastAsia" w:hAnsi="宋体" w:cs="宋体"/>
          <w:color w:val="auto"/>
          <w:szCs w:val="21"/>
          <w:highlight w:val="none"/>
        </w:rPr>
        <w:t>①</w:t>
      </w:r>
      <w:r>
        <w:rPr>
          <w:rFonts w:ascii="Times New Roman"/>
          <w:snapToGrid w:val="0"/>
          <w:color w:val="auto"/>
          <w:kern w:val="21"/>
          <w:szCs w:val="21"/>
          <w:highlight w:val="none"/>
        </w:rPr>
        <w:fldChar w:fldCharType="end"/>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33F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4" w:hRule="atLeast"/>
          <w:jc w:val="center"/>
        </w:trPr>
        <w:tc>
          <w:tcPr>
            <w:tcW w:w="5000" w:type="pct"/>
            <w:tcBorders>
              <w:top w:val="single" w:color="auto" w:sz="6" w:space="0"/>
              <w:left w:val="single" w:color="auto" w:sz="6" w:space="0"/>
              <w:bottom w:val="single" w:color="auto" w:sz="6" w:space="0"/>
              <w:right w:val="single" w:color="auto" w:sz="6" w:space="0"/>
            </w:tcBorders>
          </w:tcPr>
          <w:p w14:paraId="76960560">
            <w:pPr>
              <w:rPr>
                <w:color w:val="auto"/>
                <w:sz w:val="24"/>
                <w:highlight w:val="none"/>
              </w:rPr>
            </w:pPr>
            <w:r>
              <w:rPr>
                <w:color w:val="auto"/>
                <w:sz w:val="24"/>
                <w:highlight w:val="none"/>
              </w:rPr>
              <w:t>预审意见：</w:t>
            </w:r>
          </w:p>
          <w:p w14:paraId="00431594">
            <w:pPr>
              <w:rPr>
                <w:color w:val="auto"/>
                <w:sz w:val="24"/>
                <w:highlight w:val="none"/>
              </w:rPr>
            </w:pPr>
          </w:p>
          <w:p w14:paraId="151972B1">
            <w:pPr>
              <w:rPr>
                <w:color w:val="auto"/>
                <w:sz w:val="24"/>
                <w:highlight w:val="none"/>
              </w:rPr>
            </w:pPr>
          </w:p>
          <w:p w14:paraId="03883B0A">
            <w:pPr>
              <w:rPr>
                <w:color w:val="auto"/>
                <w:sz w:val="24"/>
                <w:highlight w:val="none"/>
              </w:rPr>
            </w:pPr>
          </w:p>
          <w:p w14:paraId="1808DA2D">
            <w:pPr>
              <w:rPr>
                <w:color w:val="auto"/>
                <w:sz w:val="24"/>
                <w:highlight w:val="none"/>
              </w:rPr>
            </w:pPr>
          </w:p>
          <w:p w14:paraId="2DE991E1">
            <w:pPr>
              <w:rPr>
                <w:color w:val="auto"/>
                <w:sz w:val="24"/>
                <w:highlight w:val="none"/>
              </w:rPr>
            </w:pPr>
          </w:p>
          <w:p w14:paraId="76465097">
            <w:pPr>
              <w:rPr>
                <w:color w:val="auto"/>
                <w:sz w:val="24"/>
                <w:highlight w:val="none"/>
              </w:rPr>
            </w:pPr>
          </w:p>
          <w:p w14:paraId="3950A41A">
            <w:pPr>
              <w:rPr>
                <w:color w:val="auto"/>
                <w:sz w:val="24"/>
                <w:highlight w:val="none"/>
              </w:rPr>
            </w:pPr>
          </w:p>
          <w:p w14:paraId="742FB4A6">
            <w:pPr>
              <w:jc w:val="left"/>
              <w:rPr>
                <w:color w:val="auto"/>
                <w:sz w:val="24"/>
                <w:highlight w:val="none"/>
              </w:rPr>
            </w:pPr>
          </w:p>
          <w:p w14:paraId="7C0AC3BD">
            <w:pPr>
              <w:rPr>
                <w:color w:val="auto"/>
                <w:sz w:val="24"/>
                <w:highlight w:val="none"/>
              </w:rPr>
            </w:pPr>
          </w:p>
          <w:p w14:paraId="02152D19">
            <w:pPr>
              <w:pStyle w:val="29"/>
              <w:rPr>
                <w:color w:val="auto"/>
                <w:highlight w:val="none"/>
              </w:rPr>
            </w:pPr>
          </w:p>
          <w:p w14:paraId="7EC22EEB">
            <w:pPr>
              <w:pStyle w:val="29"/>
              <w:rPr>
                <w:color w:val="auto"/>
                <w:highlight w:val="none"/>
              </w:rPr>
            </w:pPr>
          </w:p>
          <w:p w14:paraId="7B99C9FE">
            <w:pPr>
              <w:pStyle w:val="29"/>
              <w:rPr>
                <w:color w:val="auto"/>
                <w:highlight w:val="none"/>
              </w:rPr>
            </w:pPr>
          </w:p>
          <w:p w14:paraId="4D926A61">
            <w:pPr>
              <w:pStyle w:val="29"/>
              <w:rPr>
                <w:color w:val="auto"/>
                <w:highlight w:val="none"/>
              </w:rPr>
            </w:pPr>
          </w:p>
          <w:p w14:paraId="5859C46F">
            <w:pPr>
              <w:pStyle w:val="29"/>
              <w:rPr>
                <w:color w:val="auto"/>
                <w:highlight w:val="none"/>
              </w:rPr>
            </w:pPr>
          </w:p>
          <w:p w14:paraId="36200A6D">
            <w:pPr>
              <w:rPr>
                <w:color w:val="auto"/>
                <w:sz w:val="24"/>
                <w:highlight w:val="none"/>
              </w:rPr>
            </w:pPr>
          </w:p>
          <w:p w14:paraId="5C75322A">
            <w:pPr>
              <w:ind w:firstLine="7104" w:firstLineChars="2960"/>
              <w:rPr>
                <w:color w:val="auto"/>
                <w:sz w:val="24"/>
                <w:highlight w:val="none"/>
              </w:rPr>
            </w:pPr>
            <w:r>
              <w:rPr>
                <w:color w:val="auto"/>
                <w:sz w:val="24"/>
                <w:highlight w:val="none"/>
              </w:rPr>
              <w:t>公   章</w:t>
            </w:r>
          </w:p>
          <w:p w14:paraId="059BB1F5">
            <w:pPr>
              <w:ind w:firstLine="204" w:firstLineChars="85"/>
              <w:rPr>
                <w:color w:val="auto"/>
                <w:sz w:val="24"/>
                <w:highlight w:val="none"/>
              </w:rPr>
            </w:pPr>
            <w:r>
              <w:rPr>
                <w:color w:val="auto"/>
                <w:sz w:val="24"/>
                <w:highlight w:val="none"/>
              </w:rPr>
              <w:t xml:space="preserve">经办人：                              </w:t>
            </w:r>
            <w:r>
              <w:rPr>
                <w:rFonts w:hint="eastAsia"/>
                <w:color w:val="auto"/>
                <w:sz w:val="24"/>
                <w:highlight w:val="none"/>
              </w:rPr>
              <w:t xml:space="preserve">                </w:t>
            </w:r>
            <w:r>
              <w:rPr>
                <w:color w:val="auto"/>
                <w:sz w:val="24"/>
                <w:highlight w:val="none"/>
              </w:rPr>
              <w:t>年    月    日</w:t>
            </w:r>
          </w:p>
        </w:tc>
      </w:tr>
      <w:tr w14:paraId="308A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3" w:hRule="atLeast"/>
          <w:jc w:val="center"/>
        </w:trPr>
        <w:tc>
          <w:tcPr>
            <w:tcW w:w="5000" w:type="pct"/>
            <w:tcBorders>
              <w:top w:val="single" w:color="auto" w:sz="6" w:space="0"/>
              <w:left w:val="single" w:color="auto" w:sz="6" w:space="0"/>
              <w:bottom w:val="single" w:color="auto" w:sz="6" w:space="0"/>
              <w:right w:val="single" w:color="auto" w:sz="6" w:space="0"/>
            </w:tcBorders>
          </w:tcPr>
          <w:p w14:paraId="464A615C">
            <w:pPr>
              <w:rPr>
                <w:color w:val="auto"/>
                <w:sz w:val="24"/>
                <w:highlight w:val="none"/>
              </w:rPr>
            </w:pPr>
            <w:r>
              <w:rPr>
                <w:color w:val="auto"/>
                <w:sz w:val="24"/>
                <w:highlight w:val="none"/>
              </w:rPr>
              <w:t>下一级环境保护主管部门审查意见：</w:t>
            </w:r>
          </w:p>
          <w:p w14:paraId="3232EA15">
            <w:pPr>
              <w:rPr>
                <w:color w:val="auto"/>
                <w:sz w:val="24"/>
                <w:highlight w:val="none"/>
              </w:rPr>
            </w:pPr>
          </w:p>
          <w:p w14:paraId="44508159">
            <w:pPr>
              <w:rPr>
                <w:color w:val="auto"/>
                <w:sz w:val="24"/>
                <w:highlight w:val="none"/>
              </w:rPr>
            </w:pPr>
          </w:p>
          <w:p w14:paraId="61E95148">
            <w:pPr>
              <w:rPr>
                <w:color w:val="auto"/>
                <w:sz w:val="24"/>
                <w:highlight w:val="none"/>
              </w:rPr>
            </w:pPr>
          </w:p>
          <w:p w14:paraId="7EEBD06E">
            <w:pPr>
              <w:rPr>
                <w:color w:val="auto"/>
                <w:sz w:val="24"/>
                <w:highlight w:val="none"/>
              </w:rPr>
            </w:pPr>
          </w:p>
          <w:p w14:paraId="4D09B175">
            <w:pPr>
              <w:rPr>
                <w:color w:val="auto"/>
                <w:sz w:val="24"/>
                <w:highlight w:val="none"/>
              </w:rPr>
            </w:pPr>
          </w:p>
          <w:p w14:paraId="1398962B">
            <w:pPr>
              <w:rPr>
                <w:color w:val="auto"/>
                <w:sz w:val="24"/>
                <w:highlight w:val="none"/>
              </w:rPr>
            </w:pPr>
          </w:p>
          <w:p w14:paraId="5A24631F">
            <w:pPr>
              <w:rPr>
                <w:color w:val="auto"/>
                <w:sz w:val="24"/>
                <w:highlight w:val="none"/>
              </w:rPr>
            </w:pPr>
          </w:p>
          <w:p w14:paraId="2D320C57">
            <w:pPr>
              <w:ind w:firstLine="7200" w:firstLineChars="3000"/>
              <w:rPr>
                <w:color w:val="auto"/>
                <w:sz w:val="24"/>
                <w:highlight w:val="none"/>
              </w:rPr>
            </w:pPr>
            <w:r>
              <w:rPr>
                <w:color w:val="auto"/>
                <w:sz w:val="24"/>
                <w:highlight w:val="none"/>
              </w:rPr>
              <w:t xml:space="preserve">    章</w:t>
            </w:r>
          </w:p>
          <w:p w14:paraId="4EBE3841">
            <w:pPr>
              <w:ind w:firstLine="240" w:firstLineChars="100"/>
              <w:rPr>
                <w:color w:val="auto"/>
                <w:sz w:val="24"/>
                <w:highlight w:val="none"/>
              </w:rPr>
            </w:pPr>
            <w:r>
              <w:rPr>
                <w:color w:val="auto"/>
                <w:sz w:val="24"/>
                <w:highlight w:val="none"/>
              </w:rPr>
              <w:t xml:space="preserve">经办人：                              </w:t>
            </w:r>
            <w:r>
              <w:rPr>
                <w:rFonts w:hint="eastAsia"/>
                <w:color w:val="auto"/>
                <w:sz w:val="24"/>
                <w:highlight w:val="none"/>
              </w:rPr>
              <w:t xml:space="preserve">                </w:t>
            </w:r>
            <w:r>
              <w:rPr>
                <w:color w:val="auto"/>
                <w:sz w:val="24"/>
                <w:highlight w:val="none"/>
              </w:rPr>
              <w:t>年    月    日</w:t>
            </w:r>
          </w:p>
        </w:tc>
      </w:tr>
    </w:tbl>
    <w:p w14:paraId="1A08AB26">
      <w:pPr>
        <w:rPr>
          <w:color w:val="auto"/>
        </w:rPr>
      </w:pPr>
    </w:p>
    <w:sectPr>
      <w:footerReference r:id="rId7" w:type="default"/>
      <w:pgSz w:w="11906" w:h="16838"/>
      <w:pgMar w:top="1440" w:right="1797" w:bottom="1440" w:left="1797"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44801E-A21B-476B-A81E-3C6E73E9F514}"/>
  </w:font>
  <w:font w:name="黑体">
    <w:panose1 w:val="02010609060101010101"/>
    <w:charset w:val="86"/>
    <w:family w:val="auto"/>
    <w:pitch w:val="default"/>
    <w:sig w:usb0="800002BF" w:usb1="38CF7CFA" w:usb2="00000016" w:usb3="00000000" w:csb0="00040001" w:csb1="00000000"/>
    <w:embedRegular r:id="rId2" w:fontKey="{F311358E-05A2-4473-81E0-33B2844BED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C28106D0-83E7-4634-BC21-5E024D4269D4}"/>
  </w:font>
  <w:font w:name="楷体_GB2312">
    <w:panose1 w:val="02010609030101010101"/>
    <w:charset w:val="86"/>
    <w:family w:val="modern"/>
    <w:pitch w:val="default"/>
    <w:sig w:usb0="00000001" w:usb1="080E0000" w:usb2="00000000" w:usb3="00000000" w:csb0="00040000" w:csb1="00000000"/>
    <w:embedRegular r:id="rId4" w:fontKey="{CDC8E528-7046-421F-B82C-39F5811A559A}"/>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5" w:fontKey="{3FF75864-D507-4F0E-BE70-AD3674CF0502}"/>
  </w:font>
  <w:font w:name="仿宋_GB2312">
    <w:panose1 w:val="02010609030101010101"/>
    <w:charset w:val="86"/>
    <w:family w:val="modern"/>
    <w:pitch w:val="default"/>
    <w:sig w:usb0="00000001" w:usb1="080E0000" w:usb2="00000000" w:usb3="00000000" w:csb0="00040000" w:csb1="00000000"/>
    <w:embedRegular r:id="rId6" w:fontKey="{D88DEE07-76E6-4A72-9563-A3D06DEFDF95}"/>
  </w:font>
  <w:font w:name="方正小标宋_GBK">
    <w:panose1 w:val="02000000000000000000"/>
    <w:charset w:val="86"/>
    <w:family w:val="script"/>
    <w:pitch w:val="default"/>
    <w:sig w:usb0="A00002BF" w:usb1="38CF7CFA" w:usb2="00082016" w:usb3="00000000" w:csb0="00040001" w:csb1="00000000"/>
    <w:embedRegular r:id="rId7" w:fontKey="{503A893E-A9C2-47FE-B9C1-8D7B404A46BC}"/>
  </w:font>
  <w:font w:name="Wingdings 2">
    <w:panose1 w:val="05020102010507070707"/>
    <w:charset w:val="02"/>
    <w:family w:val="roman"/>
    <w:pitch w:val="default"/>
    <w:sig w:usb0="00000000" w:usb1="00000000" w:usb2="00000000" w:usb3="00000000" w:csb0="80000000" w:csb1="00000000"/>
    <w:embedRegular r:id="rId8" w:fontKey="{5B0173CE-A5DB-4898-AC1E-7C4801632C2A}"/>
  </w:font>
  <w:font w:name="微软雅黑">
    <w:panose1 w:val="020B0503020204020204"/>
    <w:charset w:val="86"/>
    <w:family w:val="auto"/>
    <w:pitch w:val="default"/>
    <w:sig w:usb0="80000287" w:usb1="2ACF3C50" w:usb2="00000016" w:usb3="00000000" w:csb0="0004001F" w:csb1="00000000"/>
    <w:embedRegular r:id="rId9" w:fontKey="{E9968960-04BF-4C1C-A815-B9DF28C47DF8}"/>
  </w:font>
  <w:font w:name="Times New Roman Regular">
    <w:altName w:val="Times New Roman"/>
    <w:panose1 w:val="00000000000000000000"/>
    <w:charset w:val="00"/>
    <w:family w:val="auto"/>
    <w:pitch w:val="default"/>
    <w:sig w:usb0="00000000" w:usb1="00000000" w:usb2="00000000" w:usb3="00000000" w:csb0="00040001" w:csb1="00000000"/>
    <w:embedRegular r:id="rId10" w:fontKey="{E6196E5C-F9C4-400D-8DDE-02205C10AB52}"/>
  </w:font>
  <w:font w:name="WPSEMBED3">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416A">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51756">
    <w:pPr>
      <w:pStyle w:val="10"/>
      <w:framePr w:wrap="around" w:vAnchor="text" w:hAnchor="margin" w:xAlign="center" w:y="1"/>
      <w:rPr>
        <w:rStyle w:val="23"/>
      </w:rPr>
    </w:pPr>
    <w:r>
      <w:fldChar w:fldCharType="begin"/>
    </w:r>
    <w:r>
      <w:rPr>
        <w:rStyle w:val="23"/>
      </w:rPr>
      <w:instrText xml:space="preserve">PAGE  </w:instrText>
    </w:r>
    <w:r>
      <w:fldChar w:fldCharType="separate"/>
    </w:r>
    <w:r>
      <w:rPr>
        <w:rStyle w:val="23"/>
      </w:rPr>
      <w:t>64</w:t>
    </w:r>
    <w:r>
      <w:fldChar w:fldCharType="end"/>
    </w:r>
  </w:p>
  <w:p w14:paraId="399CE787">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F647">
    <w:pPr>
      <w:pStyle w:val="1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293"/>
                            <w:docPartObj>
                              <w:docPartGallery w:val="autotext"/>
                            </w:docPartObj>
                          </w:sdtPr>
                          <w:sdtContent>
                            <w:p w14:paraId="47C2C31E">
                              <w:pPr>
                                <w:pStyle w:val="10"/>
                                <w:jc w:val="center"/>
                              </w:pPr>
                              <w:r>
                                <w:fldChar w:fldCharType="begin"/>
                              </w:r>
                              <w:r>
                                <w:instrText xml:space="preserve">PAGE   \* MERGEFORMAT</w:instrText>
                              </w:r>
                              <w:r>
                                <w:fldChar w:fldCharType="separate"/>
                              </w:r>
                              <w:r>
                                <w:rPr>
                                  <w:lang w:val="zh-CN"/>
                                </w:rPr>
                                <w:t>55</w:t>
                              </w:r>
                              <w:r>
                                <w:rPr>
                                  <w:lang w:val="zh-CN"/>
                                </w:rPr>
                                <w:fldChar w:fldCharType="end"/>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61293"/>
                      <w:docPartObj>
                        <w:docPartGallery w:val="autotext"/>
                      </w:docPartObj>
                    </w:sdtPr>
                    <w:sdtContent>
                      <w:p w14:paraId="47C2C31E">
                        <w:pPr>
                          <w:pStyle w:val="10"/>
                          <w:jc w:val="center"/>
                        </w:pPr>
                        <w:r>
                          <w:fldChar w:fldCharType="begin"/>
                        </w:r>
                        <w:r>
                          <w:instrText xml:space="preserve">PAGE   \* MERGEFORMAT</w:instrText>
                        </w:r>
                        <w:r>
                          <w:fldChar w:fldCharType="separate"/>
                        </w:r>
                        <w:r>
                          <w:rPr>
                            <w:lang w:val="zh-CN"/>
                          </w:rPr>
                          <w:t>55</w:t>
                        </w:r>
                        <w:r>
                          <w:rPr>
                            <w:lang w:val="zh-CN"/>
                          </w:rPr>
                          <w:fldChar w:fldCharType="end"/>
                        </w:r>
                      </w:p>
                    </w:sdtContent>
                  </w:sdt>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BF34">
    <w:pPr>
      <w:pStyle w:val="10"/>
      <w:ind w:right="360" w:firstLine="360"/>
      <w:jc w:val="center"/>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3976">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0473976">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sz w:val="18"/>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6E722">
                          <w:pPr>
                            <w:pStyle w:val="10"/>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3A6E722">
                    <w:pPr>
                      <w:pStyle w:val="10"/>
                      <w:rPr>
                        <w:rFonts w:hint="default" w:eastAsia="宋体"/>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88BD">
    <w:pPr>
      <w:pStyle w:val="10"/>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536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53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2154F">
                          <w:pPr>
                            <w:pStyle w:val="10"/>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1pt;width:144pt;mso-position-horizontal:center;mso-position-horizontal-relative:margin;mso-wrap-style:none;z-index:251662336;mso-width-relative:page;mso-height-relative:page;" filled="f" stroked="f" coordsize="21600,21600" o:gfxdata="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qCHe0wAAAAQBAAAPAAAAAAAAAAEAIAAAACIAAABkcnMvZG93bnJldi54bWxQ&#10;SwECFAAUAAAACACHTuJAGu1V3TUCAABgBAAADgAAAAAAAAABACAAAAAiAQAAZHJzL2Uyb0RvYy54&#10;bWxQSwUGAAAAAAYABgBZAQAAyQUAAAAA&#10;">
              <v:fill on="f" focussize="0,0"/>
              <v:stroke on="f" weight="0.5pt"/>
              <v:imagedata o:title=""/>
              <o:lock v:ext="edit" aspectratio="f"/>
              <v:textbox inset="0mm,0mm,0mm,0mm">
                <w:txbxContent>
                  <w:p w14:paraId="7B82154F">
                    <w:pPr>
                      <w:pStyle w:val="10"/>
                    </w:pPr>
                    <w:r>
                      <w:fldChar w:fldCharType="begin"/>
                    </w:r>
                    <w:r>
                      <w:instrText xml:space="preserve"> PAGE  \* MERGEFORMAT </w:instrText>
                    </w:r>
                    <w:r>
                      <w:fldChar w:fldCharType="separate"/>
                    </w:r>
                    <w:r>
                      <w:t>107</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C7B81">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4C7B81">
                    <w:pPr>
                      <w:pStyle w:val="10"/>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pStyle w:val="33"/>
      <w:lvlText w:val="表%1."/>
      <w:lvlJc w:val="left"/>
      <w:pPr>
        <w:ind w:left="420" w:hanging="420"/>
      </w:pPr>
      <w:rPr>
        <w:rFonts w:hint="eastAsia" w:ascii="Times New Roman" w:hAnsi="Times New Roman" w:eastAsia="Times New Roman"/>
        <w:b/>
        <w:sz w:val="24"/>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
    <w:nsid w:val="0952A3C5"/>
    <w:multiLevelType w:val="singleLevel"/>
    <w:tmpl w:val="0952A3C5"/>
    <w:lvl w:ilvl="0" w:tentative="0">
      <w:start w:val="1"/>
      <w:numFmt w:val="decimal"/>
      <w:suff w:val="space"/>
      <w:lvlText w:val="表2-%1 "/>
      <w:lvlJc w:val="center"/>
      <w:pPr>
        <w:tabs>
          <w:tab w:val="left" w:pos="0"/>
        </w:tabs>
        <w:ind w:left="0" w:firstLine="0"/>
      </w:pPr>
      <w:rPr>
        <w:rFonts w:hint="default" w:ascii="Times New Roman" w:hAnsi="Times New Roman" w:eastAsia="宋体" w:cs="Times New Roman"/>
        <w:b/>
        <w:bCs/>
        <w:sz w:val="24"/>
        <w:szCs w:val="24"/>
      </w:rPr>
    </w:lvl>
  </w:abstractNum>
  <w:abstractNum w:abstractNumId="2">
    <w:nsid w:val="32036C2B"/>
    <w:multiLevelType w:val="singleLevel"/>
    <w:tmpl w:val="32036C2B"/>
    <w:lvl w:ilvl="0" w:tentative="0">
      <w:start w:val="1"/>
      <w:numFmt w:val="decimal"/>
      <w:suff w:val="space"/>
      <w:lvlText w:val="表4-%1 "/>
      <w:lvlJc w:val="center"/>
      <w:pPr>
        <w:tabs>
          <w:tab w:val="left" w:pos="0"/>
        </w:tabs>
        <w:ind w:left="0" w:firstLine="0"/>
      </w:pPr>
      <w:rPr>
        <w:rFonts w:hint="default" w:ascii="Times New Roman" w:hAnsi="Times New Roman" w:eastAsia="宋体" w:cs="Times New Roman"/>
        <w:b/>
        <w:bCs/>
        <w:sz w:val="24"/>
        <w:szCs w:val="24"/>
      </w:rPr>
    </w:lvl>
  </w:abstractNum>
  <w:abstractNum w:abstractNumId="3">
    <w:nsid w:val="72F13A6A"/>
    <w:multiLevelType w:val="singleLevel"/>
    <w:tmpl w:val="72F13A6A"/>
    <w:lvl w:ilvl="0" w:tentative="0">
      <w:start w:val="1"/>
      <w:numFmt w:val="decimal"/>
      <w:suff w:val="space"/>
      <w:lvlText w:val="表3-%1 "/>
      <w:lvlJc w:val="center"/>
      <w:pPr>
        <w:tabs>
          <w:tab w:val="left" w:pos="0"/>
        </w:tabs>
        <w:ind w:left="0" w:firstLine="0"/>
      </w:pPr>
      <w:rPr>
        <w:rFonts w:hint="default" w:ascii="Times New Roman" w:hAnsi="Times New Roman" w:eastAsia="宋体" w:cs="Times New Roman"/>
        <w:b/>
        <w:bCs/>
        <w:sz w:val="24"/>
        <w:szCs w:val="24"/>
      </w:rPr>
    </w:lvl>
  </w:abstractNum>
  <w:abstractNum w:abstractNumId="4">
    <w:nsid w:val="7C21EAA2"/>
    <w:multiLevelType w:val="singleLevel"/>
    <w:tmpl w:val="7C21EAA2"/>
    <w:lvl w:ilvl="0" w:tentative="0">
      <w:start w:val="1"/>
      <w:numFmt w:val="bullet"/>
      <w:pStyle w:val="8"/>
      <w:lvlText w:val=""/>
      <w:lvlJc w:val="left"/>
      <w:pPr>
        <w:tabs>
          <w:tab w:val="left" w:pos="2040"/>
        </w:tabs>
        <w:ind w:left="2040" w:hanging="360"/>
      </w:pPr>
      <w:rPr>
        <w:rFonts w:hint="default" w:ascii="Wingdings" w:hAnsi="Wingdings"/>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61E"/>
    <w:rsid w:val="00044EF2"/>
    <w:rsid w:val="000942B7"/>
    <w:rsid w:val="000F5FA8"/>
    <w:rsid w:val="001B6A9F"/>
    <w:rsid w:val="002D6C65"/>
    <w:rsid w:val="002E23A7"/>
    <w:rsid w:val="00311532"/>
    <w:rsid w:val="00354024"/>
    <w:rsid w:val="00381040"/>
    <w:rsid w:val="003A17B7"/>
    <w:rsid w:val="00456366"/>
    <w:rsid w:val="00496DA9"/>
    <w:rsid w:val="004C0647"/>
    <w:rsid w:val="005C790E"/>
    <w:rsid w:val="005E12B5"/>
    <w:rsid w:val="00615F0B"/>
    <w:rsid w:val="00643BE3"/>
    <w:rsid w:val="00661709"/>
    <w:rsid w:val="007F0A1D"/>
    <w:rsid w:val="00867FFD"/>
    <w:rsid w:val="008B73C2"/>
    <w:rsid w:val="0094210E"/>
    <w:rsid w:val="009427E5"/>
    <w:rsid w:val="00950240"/>
    <w:rsid w:val="00991ADF"/>
    <w:rsid w:val="009E5347"/>
    <w:rsid w:val="00A77503"/>
    <w:rsid w:val="00B269F2"/>
    <w:rsid w:val="00B5443F"/>
    <w:rsid w:val="00BF0E19"/>
    <w:rsid w:val="00C603FA"/>
    <w:rsid w:val="00C621A8"/>
    <w:rsid w:val="00C80754"/>
    <w:rsid w:val="00CE3ECD"/>
    <w:rsid w:val="00DF14BB"/>
    <w:rsid w:val="00ED1E2A"/>
    <w:rsid w:val="00ED6E0D"/>
    <w:rsid w:val="00EF54D9"/>
    <w:rsid w:val="00F27441"/>
    <w:rsid w:val="00F76884"/>
    <w:rsid w:val="00F9432B"/>
    <w:rsid w:val="00FB1CC0"/>
    <w:rsid w:val="00FC10FE"/>
    <w:rsid w:val="00FF62D1"/>
    <w:rsid w:val="01011432"/>
    <w:rsid w:val="01027E5C"/>
    <w:rsid w:val="01062EEC"/>
    <w:rsid w:val="01090D59"/>
    <w:rsid w:val="010A478A"/>
    <w:rsid w:val="010F1DA1"/>
    <w:rsid w:val="010F4AB6"/>
    <w:rsid w:val="010F7497"/>
    <w:rsid w:val="01190727"/>
    <w:rsid w:val="011C44BE"/>
    <w:rsid w:val="011D6E67"/>
    <w:rsid w:val="01235B16"/>
    <w:rsid w:val="012629D3"/>
    <w:rsid w:val="012810B4"/>
    <w:rsid w:val="01287101"/>
    <w:rsid w:val="013637D1"/>
    <w:rsid w:val="0136732D"/>
    <w:rsid w:val="013D4B60"/>
    <w:rsid w:val="01437C9C"/>
    <w:rsid w:val="01457570"/>
    <w:rsid w:val="0147778C"/>
    <w:rsid w:val="014D4677"/>
    <w:rsid w:val="01510518"/>
    <w:rsid w:val="015302CD"/>
    <w:rsid w:val="01585620"/>
    <w:rsid w:val="015974C0"/>
    <w:rsid w:val="015B7B3A"/>
    <w:rsid w:val="01633E9B"/>
    <w:rsid w:val="016D6AC7"/>
    <w:rsid w:val="01763BCE"/>
    <w:rsid w:val="017E64C1"/>
    <w:rsid w:val="01822573"/>
    <w:rsid w:val="01892518"/>
    <w:rsid w:val="018A0F14"/>
    <w:rsid w:val="018D0F17"/>
    <w:rsid w:val="019127B6"/>
    <w:rsid w:val="019F652F"/>
    <w:rsid w:val="01A21021"/>
    <w:rsid w:val="01A7022B"/>
    <w:rsid w:val="01B141DD"/>
    <w:rsid w:val="01C66596"/>
    <w:rsid w:val="01CA3F1A"/>
    <w:rsid w:val="01D408F4"/>
    <w:rsid w:val="01D55085"/>
    <w:rsid w:val="01D6466C"/>
    <w:rsid w:val="01D866AD"/>
    <w:rsid w:val="01DD1E9F"/>
    <w:rsid w:val="01E943A0"/>
    <w:rsid w:val="01EA0118"/>
    <w:rsid w:val="01FF31C9"/>
    <w:rsid w:val="02005B8D"/>
    <w:rsid w:val="02021905"/>
    <w:rsid w:val="020B6A0C"/>
    <w:rsid w:val="021052EA"/>
    <w:rsid w:val="021109CB"/>
    <w:rsid w:val="021358C1"/>
    <w:rsid w:val="021D673F"/>
    <w:rsid w:val="022A679E"/>
    <w:rsid w:val="022E26FA"/>
    <w:rsid w:val="02331ABF"/>
    <w:rsid w:val="0233386D"/>
    <w:rsid w:val="023575E5"/>
    <w:rsid w:val="02357F37"/>
    <w:rsid w:val="02367383"/>
    <w:rsid w:val="02380E83"/>
    <w:rsid w:val="02386B05"/>
    <w:rsid w:val="02396688"/>
    <w:rsid w:val="023A5D4F"/>
    <w:rsid w:val="02450E6F"/>
    <w:rsid w:val="0248305A"/>
    <w:rsid w:val="025A2CBA"/>
    <w:rsid w:val="025D690F"/>
    <w:rsid w:val="025F1A63"/>
    <w:rsid w:val="025F28B4"/>
    <w:rsid w:val="026149DE"/>
    <w:rsid w:val="02667537"/>
    <w:rsid w:val="026954E1"/>
    <w:rsid w:val="026979C6"/>
    <w:rsid w:val="026B1259"/>
    <w:rsid w:val="027112CC"/>
    <w:rsid w:val="027427F8"/>
    <w:rsid w:val="027653BD"/>
    <w:rsid w:val="027D0247"/>
    <w:rsid w:val="028140C9"/>
    <w:rsid w:val="028400BA"/>
    <w:rsid w:val="028B75EF"/>
    <w:rsid w:val="0297204E"/>
    <w:rsid w:val="029C3585"/>
    <w:rsid w:val="02A46519"/>
    <w:rsid w:val="02A66735"/>
    <w:rsid w:val="02AB5AF9"/>
    <w:rsid w:val="02AF74E7"/>
    <w:rsid w:val="02B063CF"/>
    <w:rsid w:val="02B140E5"/>
    <w:rsid w:val="02BC3862"/>
    <w:rsid w:val="02BD75DA"/>
    <w:rsid w:val="02BE582C"/>
    <w:rsid w:val="02C02829"/>
    <w:rsid w:val="02C24E60"/>
    <w:rsid w:val="02CD06B4"/>
    <w:rsid w:val="02D212D8"/>
    <w:rsid w:val="02D92666"/>
    <w:rsid w:val="02DA563B"/>
    <w:rsid w:val="02DC3F04"/>
    <w:rsid w:val="02E560E8"/>
    <w:rsid w:val="02E856EB"/>
    <w:rsid w:val="02EB05EB"/>
    <w:rsid w:val="02EE59E6"/>
    <w:rsid w:val="02F41532"/>
    <w:rsid w:val="02F444B4"/>
    <w:rsid w:val="02FC6355"/>
    <w:rsid w:val="02FE7911"/>
    <w:rsid w:val="03012D45"/>
    <w:rsid w:val="03020A00"/>
    <w:rsid w:val="03045021"/>
    <w:rsid w:val="03045209"/>
    <w:rsid w:val="03074DDC"/>
    <w:rsid w:val="03103BAE"/>
    <w:rsid w:val="03105E59"/>
    <w:rsid w:val="031273D2"/>
    <w:rsid w:val="03141B37"/>
    <w:rsid w:val="031A4A2D"/>
    <w:rsid w:val="031F0BE5"/>
    <w:rsid w:val="03207415"/>
    <w:rsid w:val="03217B69"/>
    <w:rsid w:val="03232B43"/>
    <w:rsid w:val="032338E1"/>
    <w:rsid w:val="03247659"/>
    <w:rsid w:val="0328143D"/>
    <w:rsid w:val="032A2EC2"/>
    <w:rsid w:val="03343D40"/>
    <w:rsid w:val="03363203"/>
    <w:rsid w:val="033736CD"/>
    <w:rsid w:val="033A0C2B"/>
    <w:rsid w:val="033B1182"/>
    <w:rsid w:val="033B50CF"/>
    <w:rsid w:val="03433F84"/>
    <w:rsid w:val="0344564B"/>
    <w:rsid w:val="03450399"/>
    <w:rsid w:val="034A0DF4"/>
    <w:rsid w:val="034B4BE6"/>
    <w:rsid w:val="034F152E"/>
    <w:rsid w:val="034F46D6"/>
    <w:rsid w:val="035664DD"/>
    <w:rsid w:val="035717DD"/>
    <w:rsid w:val="03582C20"/>
    <w:rsid w:val="035C5045"/>
    <w:rsid w:val="0361265C"/>
    <w:rsid w:val="0361440A"/>
    <w:rsid w:val="03630182"/>
    <w:rsid w:val="03647119"/>
    <w:rsid w:val="0368705F"/>
    <w:rsid w:val="03726617"/>
    <w:rsid w:val="03747660"/>
    <w:rsid w:val="037800D1"/>
    <w:rsid w:val="03791753"/>
    <w:rsid w:val="037A226B"/>
    <w:rsid w:val="03850700"/>
    <w:rsid w:val="0385459C"/>
    <w:rsid w:val="038C0D3D"/>
    <w:rsid w:val="038E6A76"/>
    <w:rsid w:val="038F0F77"/>
    <w:rsid w:val="039A36A3"/>
    <w:rsid w:val="039A7BBC"/>
    <w:rsid w:val="039D18E6"/>
    <w:rsid w:val="039F78D2"/>
    <w:rsid w:val="03A04148"/>
    <w:rsid w:val="03AB4777"/>
    <w:rsid w:val="03AB6D62"/>
    <w:rsid w:val="03AC31C8"/>
    <w:rsid w:val="03AC7D7B"/>
    <w:rsid w:val="03AD58A1"/>
    <w:rsid w:val="03AF1065"/>
    <w:rsid w:val="03B5742C"/>
    <w:rsid w:val="03BA6178"/>
    <w:rsid w:val="03BE7AAE"/>
    <w:rsid w:val="03C76963"/>
    <w:rsid w:val="03C9261A"/>
    <w:rsid w:val="03CD1A9F"/>
    <w:rsid w:val="03CD7C49"/>
    <w:rsid w:val="03D031B4"/>
    <w:rsid w:val="03D32BD3"/>
    <w:rsid w:val="03E33071"/>
    <w:rsid w:val="03EA3B15"/>
    <w:rsid w:val="03EC7ADB"/>
    <w:rsid w:val="03EF5EB9"/>
    <w:rsid w:val="03F86B1C"/>
    <w:rsid w:val="03F90AE6"/>
    <w:rsid w:val="03FA6D38"/>
    <w:rsid w:val="03FC60BD"/>
    <w:rsid w:val="03FD5B9C"/>
    <w:rsid w:val="040000C7"/>
    <w:rsid w:val="0405748B"/>
    <w:rsid w:val="040A4AA1"/>
    <w:rsid w:val="040C05A4"/>
    <w:rsid w:val="040F03B0"/>
    <w:rsid w:val="040F43A0"/>
    <w:rsid w:val="0414147C"/>
    <w:rsid w:val="0415532F"/>
    <w:rsid w:val="041D4120"/>
    <w:rsid w:val="041D6583"/>
    <w:rsid w:val="041F679F"/>
    <w:rsid w:val="04212517"/>
    <w:rsid w:val="04247911"/>
    <w:rsid w:val="04275653"/>
    <w:rsid w:val="042C6499"/>
    <w:rsid w:val="042E253E"/>
    <w:rsid w:val="042F62B6"/>
    <w:rsid w:val="04366E94"/>
    <w:rsid w:val="0437200A"/>
    <w:rsid w:val="04392AE9"/>
    <w:rsid w:val="043B2EAD"/>
    <w:rsid w:val="043F0BEF"/>
    <w:rsid w:val="04402271"/>
    <w:rsid w:val="04406A5B"/>
    <w:rsid w:val="04445687"/>
    <w:rsid w:val="04461F7D"/>
    <w:rsid w:val="044A2CF5"/>
    <w:rsid w:val="044E2BE0"/>
    <w:rsid w:val="04501303"/>
    <w:rsid w:val="04502DF8"/>
    <w:rsid w:val="045B493D"/>
    <w:rsid w:val="045B70AB"/>
    <w:rsid w:val="046248DD"/>
    <w:rsid w:val="04673CA2"/>
    <w:rsid w:val="046B249C"/>
    <w:rsid w:val="046B5540"/>
    <w:rsid w:val="046C3066"/>
    <w:rsid w:val="046C4396"/>
    <w:rsid w:val="046C750A"/>
    <w:rsid w:val="046E3282"/>
    <w:rsid w:val="04732647"/>
    <w:rsid w:val="04736AA8"/>
    <w:rsid w:val="04766C29"/>
    <w:rsid w:val="047A39D5"/>
    <w:rsid w:val="047B12E1"/>
    <w:rsid w:val="047C0850"/>
    <w:rsid w:val="047D1717"/>
    <w:rsid w:val="0484789B"/>
    <w:rsid w:val="04853043"/>
    <w:rsid w:val="048C19AA"/>
    <w:rsid w:val="048C54B6"/>
    <w:rsid w:val="0495080F"/>
    <w:rsid w:val="049525BD"/>
    <w:rsid w:val="04976040"/>
    <w:rsid w:val="049B73AB"/>
    <w:rsid w:val="04AB1DE0"/>
    <w:rsid w:val="04AC0BD2"/>
    <w:rsid w:val="04B36EE7"/>
    <w:rsid w:val="04BB2116"/>
    <w:rsid w:val="04BC5D9C"/>
    <w:rsid w:val="04BD4BCE"/>
    <w:rsid w:val="04BE5FB8"/>
    <w:rsid w:val="04C74740"/>
    <w:rsid w:val="04C86C51"/>
    <w:rsid w:val="04CA223B"/>
    <w:rsid w:val="04D01847"/>
    <w:rsid w:val="04D65690"/>
    <w:rsid w:val="04DA4474"/>
    <w:rsid w:val="04DD3F64"/>
    <w:rsid w:val="04E15802"/>
    <w:rsid w:val="04E35A1E"/>
    <w:rsid w:val="04E50456"/>
    <w:rsid w:val="04E62991"/>
    <w:rsid w:val="04E81C32"/>
    <w:rsid w:val="04E92909"/>
    <w:rsid w:val="04F35535"/>
    <w:rsid w:val="04F97C2D"/>
    <w:rsid w:val="04FC6AE0"/>
    <w:rsid w:val="05046312"/>
    <w:rsid w:val="05094D59"/>
    <w:rsid w:val="050E236F"/>
    <w:rsid w:val="050F6813"/>
    <w:rsid w:val="051060E7"/>
    <w:rsid w:val="051D2C14"/>
    <w:rsid w:val="052120A3"/>
    <w:rsid w:val="052A4D3E"/>
    <w:rsid w:val="052B2F14"/>
    <w:rsid w:val="052E6856"/>
    <w:rsid w:val="05300538"/>
    <w:rsid w:val="05355B4E"/>
    <w:rsid w:val="053A3164"/>
    <w:rsid w:val="053B7182"/>
    <w:rsid w:val="053B7608"/>
    <w:rsid w:val="0545048F"/>
    <w:rsid w:val="054932AE"/>
    <w:rsid w:val="054A15F9"/>
    <w:rsid w:val="054E55EF"/>
    <w:rsid w:val="0550533E"/>
    <w:rsid w:val="05512AE0"/>
    <w:rsid w:val="055661F0"/>
    <w:rsid w:val="055B3806"/>
    <w:rsid w:val="055B464A"/>
    <w:rsid w:val="055E50A5"/>
    <w:rsid w:val="0560454A"/>
    <w:rsid w:val="05616943"/>
    <w:rsid w:val="056A57F8"/>
    <w:rsid w:val="056C2151"/>
    <w:rsid w:val="056E52E2"/>
    <w:rsid w:val="056F47F6"/>
    <w:rsid w:val="05701DE5"/>
    <w:rsid w:val="0572582A"/>
    <w:rsid w:val="058A03B9"/>
    <w:rsid w:val="058E3C0E"/>
    <w:rsid w:val="058F525E"/>
    <w:rsid w:val="05917228"/>
    <w:rsid w:val="05994FC3"/>
    <w:rsid w:val="059B00A7"/>
    <w:rsid w:val="05A86320"/>
    <w:rsid w:val="05AA0535"/>
    <w:rsid w:val="05B60A3D"/>
    <w:rsid w:val="05BB42A5"/>
    <w:rsid w:val="05C3236B"/>
    <w:rsid w:val="05C940A2"/>
    <w:rsid w:val="05CC0260"/>
    <w:rsid w:val="05CF7265"/>
    <w:rsid w:val="05D11D1B"/>
    <w:rsid w:val="05D67331"/>
    <w:rsid w:val="05D97E37"/>
    <w:rsid w:val="05DA377F"/>
    <w:rsid w:val="05DB04A3"/>
    <w:rsid w:val="05DD39A8"/>
    <w:rsid w:val="05E11832"/>
    <w:rsid w:val="05EA4B8A"/>
    <w:rsid w:val="05EC26B0"/>
    <w:rsid w:val="05EC2E44"/>
    <w:rsid w:val="05F15F19"/>
    <w:rsid w:val="05F91A40"/>
    <w:rsid w:val="05F94DCD"/>
    <w:rsid w:val="060043AE"/>
    <w:rsid w:val="060774EA"/>
    <w:rsid w:val="061567A2"/>
    <w:rsid w:val="06175254"/>
    <w:rsid w:val="061B7444"/>
    <w:rsid w:val="062260D2"/>
    <w:rsid w:val="06240172"/>
    <w:rsid w:val="06341C7B"/>
    <w:rsid w:val="063D115E"/>
    <w:rsid w:val="063D66E6"/>
    <w:rsid w:val="064222D0"/>
    <w:rsid w:val="06422F98"/>
    <w:rsid w:val="064C75F3"/>
    <w:rsid w:val="064E76A9"/>
    <w:rsid w:val="06514B7E"/>
    <w:rsid w:val="0653264B"/>
    <w:rsid w:val="065A1D10"/>
    <w:rsid w:val="0664493D"/>
    <w:rsid w:val="066466EB"/>
    <w:rsid w:val="066625FE"/>
    <w:rsid w:val="06693D01"/>
    <w:rsid w:val="066A1827"/>
    <w:rsid w:val="066D69F3"/>
    <w:rsid w:val="0670759D"/>
    <w:rsid w:val="06707C73"/>
    <w:rsid w:val="06733D9B"/>
    <w:rsid w:val="06750027"/>
    <w:rsid w:val="06755470"/>
    <w:rsid w:val="067D3B2C"/>
    <w:rsid w:val="067F20E5"/>
    <w:rsid w:val="06824DC3"/>
    <w:rsid w:val="068838F4"/>
    <w:rsid w:val="068B641C"/>
    <w:rsid w:val="068E0217"/>
    <w:rsid w:val="06913258"/>
    <w:rsid w:val="069468A4"/>
    <w:rsid w:val="069B740A"/>
    <w:rsid w:val="069D7E4F"/>
    <w:rsid w:val="06A046EE"/>
    <w:rsid w:val="06A64813"/>
    <w:rsid w:val="06B25C3E"/>
    <w:rsid w:val="06B55198"/>
    <w:rsid w:val="06B70F10"/>
    <w:rsid w:val="06BA455D"/>
    <w:rsid w:val="06BA6B91"/>
    <w:rsid w:val="06BC14B2"/>
    <w:rsid w:val="06BD041B"/>
    <w:rsid w:val="06C947A0"/>
    <w:rsid w:val="06CC603E"/>
    <w:rsid w:val="06CE1DB6"/>
    <w:rsid w:val="06CE5BFE"/>
    <w:rsid w:val="06D422A5"/>
    <w:rsid w:val="06D511C9"/>
    <w:rsid w:val="06D53145"/>
    <w:rsid w:val="06D66EBD"/>
    <w:rsid w:val="06DA4D29"/>
    <w:rsid w:val="06E415DA"/>
    <w:rsid w:val="06E67100"/>
    <w:rsid w:val="06E750D5"/>
    <w:rsid w:val="06EC66E0"/>
    <w:rsid w:val="06F061D0"/>
    <w:rsid w:val="06F16183"/>
    <w:rsid w:val="06F3181D"/>
    <w:rsid w:val="06FC2DC7"/>
    <w:rsid w:val="07000B16"/>
    <w:rsid w:val="07043A2A"/>
    <w:rsid w:val="07183108"/>
    <w:rsid w:val="071A324D"/>
    <w:rsid w:val="071A44D9"/>
    <w:rsid w:val="0721282E"/>
    <w:rsid w:val="072365A6"/>
    <w:rsid w:val="072551A7"/>
    <w:rsid w:val="07267E44"/>
    <w:rsid w:val="07286179"/>
    <w:rsid w:val="07293490"/>
    <w:rsid w:val="072B7A21"/>
    <w:rsid w:val="073C7C63"/>
    <w:rsid w:val="0744651C"/>
    <w:rsid w:val="07465DF0"/>
    <w:rsid w:val="074A1D85"/>
    <w:rsid w:val="074A2961"/>
    <w:rsid w:val="07520C39"/>
    <w:rsid w:val="075449B1"/>
    <w:rsid w:val="075633E6"/>
    <w:rsid w:val="075734E4"/>
    <w:rsid w:val="075954A1"/>
    <w:rsid w:val="075A189C"/>
    <w:rsid w:val="075A474A"/>
    <w:rsid w:val="075E313A"/>
    <w:rsid w:val="075F5E39"/>
    <w:rsid w:val="076B2344"/>
    <w:rsid w:val="076B5857"/>
    <w:rsid w:val="077216DE"/>
    <w:rsid w:val="07752148"/>
    <w:rsid w:val="07753BD7"/>
    <w:rsid w:val="077767F3"/>
    <w:rsid w:val="077A7270"/>
    <w:rsid w:val="077C1812"/>
    <w:rsid w:val="077E1A2E"/>
    <w:rsid w:val="07827A92"/>
    <w:rsid w:val="078441FF"/>
    <w:rsid w:val="078C54F9"/>
    <w:rsid w:val="078F7CD1"/>
    <w:rsid w:val="07911761"/>
    <w:rsid w:val="07921036"/>
    <w:rsid w:val="079B5DEA"/>
    <w:rsid w:val="079D5CF3"/>
    <w:rsid w:val="07A54CCF"/>
    <w:rsid w:val="07A55C8C"/>
    <w:rsid w:val="07AA2823"/>
    <w:rsid w:val="07BC60B3"/>
    <w:rsid w:val="07C338E5"/>
    <w:rsid w:val="07C75183"/>
    <w:rsid w:val="07CC3861"/>
    <w:rsid w:val="07D21289"/>
    <w:rsid w:val="07D258D6"/>
    <w:rsid w:val="07D57174"/>
    <w:rsid w:val="07E07FF3"/>
    <w:rsid w:val="07E15B19"/>
    <w:rsid w:val="07E757DD"/>
    <w:rsid w:val="07EF395F"/>
    <w:rsid w:val="07F97307"/>
    <w:rsid w:val="07FE2B6F"/>
    <w:rsid w:val="08017F69"/>
    <w:rsid w:val="080503FD"/>
    <w:rsid w:val="080737D2"/>
    <w:rsid w:val="080D74CB"/>
    <w:rsid w:val="081128A2"/>
    <w:rsid w:val="08123F24"/>
    <w:rsid w:val="08144141"/>
    <w:rsid w:val="08145EEF"/>
    <w:rsid w:val="081465A0"/>
    <w:rsid w:val="081C4DA3"/>
    <w:rsid w:val="081D2FF5"/>
    <w:rsid w:val="082223BA"/>
    <w:rsid w:val="082320BB"/>
    <w:rsid w:val="082B7418"/>
    <w:rsid w:val="08367AFD"/>
    <w:rsid w:val="08391C14"/>
    <w:rsid w:val="083C62CB"/>
    <w:rsid w:val="083D0A17"/>
    <w:rsid w:val="084139C6"/>
    <w:rsid w:val="08420CAE"/>
    <w:rsid w:val="0845254C"/>
    <w:rsid w:val="08452C11"/>
    <w:rsid w:val="084B6C7C"/>
    <w:rsid w:val="084B781B"/>
    <w:rsid w:val="08534C69"/>
    <w:rsid w:val="085409E1"/>
    <w:rsid w:val="08545B61"/>
    <w:rsid w:val="08564759"/>
    <w:rsid w:val="08674270"/>
    <w:rsid w:val="086C1887"/>
    <w:rsid w:val="086E1AA3"/>
    <w:rsid w:val="08710AAD"/>
    <w:rsid w:val="087239E6"/>
    <w:rsid w:val="08732C15"/>
    <w:rsid w:val="087457CF"/>
    <w:rsid w:val="08777C30"/>
    <w:rsid w:val="08873077"/>
    <w:rsid w:val="0889683A"/>
    <w:rsid w:val="088B2CA3"/>
    <w:rsid w:val="088B556C"/>
    <w:rsid w:val="088F791C"/>
    <w:rsid w:val="08966833"/>
    <w:rsid w:val="08986B20"/>
    <w:rsid w:val="089970C0"/>
    <w:rsid w:val="089F0C9C"/>
    <w:rsid w:val="08A52FEB"/>
    <w:rsid w:val="08A72A47"/>
    <w:rsid w:val="08AB5379"/>
    <w:rsid w:val="08B0518A"/>
    <w:rsid w:val="08B33B34"/>
    <w:rsid w:val="08B51480"/>
    <w:rsid w:val="08B5322E"/>
    <w:rsid w:val="08B64B4E"/>
    <w:rsid w:val="08BB636A"/>
    <w:rsid w:val="08BF40AC"/>
    <w:rsid w:val="08C33071"/>
    <w:rsid w:val="08C61F81"/>
    <w:rsid w:val="08CA47FF"/>
    <w:rsid w:val="08CA572C"/>
    <w:rsid w:val="08D613F6"/>
    <w:rsid w:val="08DA03F7"/>
    <w:rsid w:val="08DA2F68"/>
    <w:rsid w:val="08DF02AB"/>
    <w:rsid w:val="08DF474E"/>
    <w:rsid w:val="08E9686C"/>
    <w:rsid w:val="08EC29C7"/>
    <w:rsid w:val="08EE4992"/>
    <w:rsid w:val="08FB24E9"/>
    <w:rsid w:val="08FE04F3"/>
    <w:rsid w:val="08FF2615"/>
    <w:rsid w:val="08FF26FB"/>
    <w:rsid w:val="08FF6B9F"/>
    <w:rsid w:val="09067F2D"/>
    <w:rsid w:val="09095327"/>
    <w:rsid w:val="090B4829"/>
    <w:rsid w:val="090E0B90"/>
    <w:rsid w:val="09104908"/>
    <w:rsid w:val="0911242E"/>
    <w:rsid w:val="09216B15"/>
    <w:rsid w:val="09277B1C"/>
    <w:rsid w:val="092901AB"/>
    <w:rsid w:val="09297778"/>
    <w:rsid w:val="092C1016"/>
    <w:rsid w:val="092D144C"/>
    <w:rsid w:val="093323A4"/>
    <w:rsid w:val="093525C0"/>
    <w:rsid w:val="09363AA0"/>
    <w:rsid w:val="09412D13"/>
    <w:rsid w:val="09413CBC"/>
    <w:rsid w:val="09474723"/>
    <w:rsid w:val="094B1DE4"/>
    <w:rsid w:val="094E7F51"/>
    <w:rsid w:val="09502F56"/>
    <w:rsid w:val="095073FA"/>
    <w:rsid w:val="09565F9E"/>
    <w:rsid w:val="09567C0B"/>
    <w:rsid w:val="095A2027"/>
    <w:rsid w:val="09630EDC"/>
    <w:rsid w:val="09693010"/>
    <w:rsid w:val="096D087F"/>
    <w:rsid w:val="097035F9"/>
    <w:rsid w:val="097237E4"/>
    <w:rsid w:val="097652FC"/>
    <w:rsid w:val="0978549A"/>
    <w:rsid w:val="097909DF"/>
    <w:rsid w:val="097A6225"/>
    <w:rsid w:val="097F720C"/>
    <w:rsid w:val="098B21E0"/>
    <w:rsid w:val="098F0CBF"/>
    <w:rsid w:val="099159BD"/>
    <w:rsid w:val="09A17C56"/>
    <w:rsid w:val="09A60DC8"/>
    <w:rsid w:val="09A62FBE"/>
    <w:rsid w:val="09AC42D8"/>
    <w:rsid w:val="09AC5082"/>
    <w:rsid w:val="09AD03A9"/>
    <w:rsid w:val="09B43E53"/>
    <w:rsid w:val="09B80B68"/>
    <w:rsid w:val="09BC6747"/>
    <w:rsid w:val="09BC692F"/>
    <w:rsid w:val="09C556F2"/>
    <w:rsid w:val="09C75A8B"/>
    <w:rsid w:val="09CA7455"/>
    <w:rsid w:val="09CD45A7"/>
    <w:rsid w:val="09CF031F"/>
    <w:rsid w:val="09D27E0F"/>
    <w:rsid w:val="09D41DD9"/>
    <w:rsid w:val="09D43B87"/>
    <w:rsid w:val="09DA30B5"/>
    <w:rsid w:val="09E47B84"/>
    <w:rsid w:val="09E55D95"/>
    <w:rsid w:val="09EB0ED1"/>
    <w:rsid w:val="09EF276F"/>
    <w:rsid w:val="09F0750E"/>
    <w:rsid w:val="09F2400E"/>
    <w:rsid w:val="09F50871"/>
    <w:rsid w:val="09FE0C04"/>
    <w:rsid w:val="0A002BCE"/>
    <w:rsid w:val="0A03304E"/>
    <w:rsid w:val="0A037470"/>
    <w:rsid w:val="0A075D0B"/>
    <w:rsid w:val="0A082DB2"/>
    <w:rsid w:val="0A0B7231"/>
    <w:rsid w:val="0A0D0E47"/>
    <w:rsid w:val="0A1A247D"/>
    <w:rsid w:val="0A1B5312"/>
    <w:rsid w:val="0A1B60BD"/>
    <w:rsid w:val="0A206DCD"/>
    <w:rsid w:val="0A2A7852"/>
    <w:rsid w:val="0A2F22C5"/>
    <w:rsid w:val="0A2F247A"/>
    <w:rsid w:val="0A2F7010"/>
    <w:rsid w:val="0A3B7203"/>
    <w:rsid w:val="0A3C34DB"/>
    <w:rsid w:val="0A410AF1"/>
    <w:rsid w:val="0A416D7A"/>
    <w:rsid w:val="0A456833"/>
    <w:rsid w:val="0A474359"/>
    <w:rsid w:val="0A4A5BF8"/>
    <w:rsid w:val="0A5B6057"/>
    <w:rsid w:val="0A654A44"/>
    <w:rsid w:val="0A6A44EC"/>
    <w:rsid w:val="0A6E5D8A"/>
    <w:rsid w:val="0A764C3F"/>
    <w:rsid w:val="0A776860"/>
    <w:rsid w:val="0A7809B7"/>
    <w:rsid w:val="0A794C23"/>
    <w:rsid w:val="0A8729A8"/>
    <w:rsid w:val="0A886CD4"/>
    <w:rsid w:val="0A8A0F6A"/>
    <w:rsid w:val="0A8A3413"/>
    <w:rsid w:val="0A8B1561"/>
    <w:rsid w:val="0A8D0EB6"/>
    <w:rsid w:val="0A923F1A"/>
    <w:rsid w:val="0A980DA3"/>
    <w:rsid w:val="0A99092D"/>
    <w:rsid w:val="0A9E16FB"/>
    <w:rsid w:val="0A9F23E7"/>
    <w:rsid w:val="0AA35401"/>
    <w:rsid w:val="0AA413E9"/>
    <w:rsid w:val="0AA438A7"/>
    <w:rsid w:val="0AB00728"/>
    <w:rsid w:val="0AB3259A"/>
    <w:rsid w:val="0AB60A3E"/>
    <w:rsid w:val="0AB75314"/>
    <w:rsid w:val="0ABA468C"/>
    <w:rsid w:val="0AC0235E"/>
    <w:rsid w:val="0AC05D10"/>
    <w:rsid w:val="0AC27A0D"/>
    <w:rsid w:val="0AC57974"/>
    <w:rsid w:val="0ACA0AE6"/>
    <w:rsid w:val="0ACC0D02"/>
    <w:rsid w:val="0AD906E4"/>
    <w:rsid w:val="0ADA341F"/>
    <w:rsid w:val="0ADC570F"/>
    <w:rsid w:val="0ADD677E"/>
    <w:rsid w:val="0AE0030A"/>
    <w:rsid w:val="0AE42D62"/>
    <w:rsid w:val="0AE5002F"/>
    <w:rsid w:val="0AE95411"/>
    <w:rsid w:val="0AED75B7"/>
    <w:rsid w:val="0AF3662D"/>
    <w:rsid w:val="0AF65BAA"/>
    <w:rsid w:val="0AFB731B"/>
    <w:rsid w:val="0B065FC2"/>
    <w:rsid w:val="0B077F8D"/>
    <w:rsid w:val="0B14363B"/>
    <w:rsid w:val="0B163D2C"/>
    <w:rsid w:val="0B1C08E8"/>
    <w:rsid w:val="0B226B74"/>
    <w:rsid w:val="0B243AB7"/>
    <w:rsid w:val="0B246449"/>
    <w:rsid w:val="0B266665"/>
    <w:rsid w:val="0B27077E"/>
    <w:rsid w:val="0B2A7B18"/>
    <w:rsid w:val="0B3B3792"/>
    <w:rsid w:val="0B3B7803"/>
    <w:rsid w:val="0B45498C"/>
    <w:rsid w:val="0B4C09C6"/>
    <w:rsid w:val="0B5218A1"/>
    <w:rsid w:val="0B5807E8"/>
    <w:rsid w:val="0B582596"/>
    <w:rsid w:val="0B5C3E34"/>
    <w:rsid w:val="0B602C14"/>
    <w:rsid w:val="0B61201C"/>
    <w:rsid w:val="0B635D6A"/>
    <w:rsid w:val="0B666A61"/>
    <w:rsid w:val="0B6F7586"/>
    <w:rsid w:val="0B7D54E6"/>
    <w:rsid w:val="0B81389B"/>
    <w:rsid w:val="0B8D4C06"/>
    <w:rsid w:val="0B903ADE"/>
    <w:rsid w:val="0B9538A8"/>
    <w:rsid w:val="0B976F06"/>
    <w:rsid w:val="0B9A4B88"/>
    <w:rsid w:val="0BA63302"/>
    <w:rsid w:val="0BA94999"/>
    <w:rsid w:val="0BAD7858"/>
    <w:rsid w:val="0BB70D95"/>
    <w:rsid w:val="0BB973F1"/>
    <w:rsid w:val="0BBA0B5B"/>
    <w:rsid w:val="0BC419DA"/>
    <w:rsid w:val="0BC55E7E"/>
    <w:rsid w:val="0BC71F3A"/>
    <w:rsid w:val="0BCB720C"/>
    <w:rsid w:val="0BCE4606"/>
    <w:rsid w:val="0BD15D57"/>
    <w:rsid w:val="0BDC31C7"/>
    <w:rsid w:val="0BDE0CED"/>
    <w:rsid w:val="0BDF05C2"/>
    <w:rsid w:val="0BE34F3A"/>
    <w:rsid w:val="0BE502CE"/>
    <w:rsid w:val="0BE814E6"/>
    <w:rsid w:val="0BF40511"/>
    <w:rsid w:val="0BF56037"/>
    <w:rsid w:val="0BF71DAF"/>
    <w:rsid w:val="0BFE6C9A"/>
    <w:rsid w:val="0C016972"/>
    <w:rsid w:val="0C0D15D3"/>
    <w:rsid w:val="0C0E6D21"/>
    <w:rsid w:val="0C105DFF"/>
    <w:rsid w:val="0C114C55"/>
    <w:rsid w:val="0C1429D4"/>
    <w:rsid w:val="0C175FAD"/>
    <w:rsid w:val="0C211ED4"/>
    <w:rsid w:val="0C2410DF"/>
    <w:rsid w:val="0C2A7A8F"/>
    <w:rsid w:val="0C2D3A23"/>
    <w:rsid w:val="0C364685"/>
    <w:rsid w:val="0C3703FE"/>
    <w:rsid w:val="0C3B6140"/>
    <w:rsid w:val="0C3C4113"/>
    <w:rsid w:val="0C3D7288"/>
    <w:rsid w:val="0C41302A"/>
    <w:rsid w:val="0C4366F5"/>
    <w:rsid w:val="0C465358"/>
    <w:rsid w:val="0C48085D"/>
    <w:rsid w:val="0C492847"/>
    <w:rsid w:val="0C50246A"/>
    <w:rsid w:val="0C50326D"/>
    <w:rsid w:val="0C550884"/>
    <w:rsid w:val="0C564D28"/>
    <w:rsid w:val="0C580AA0"/>
    <w:rsid w:val="0C5E04CE"/>
    <w:rsid w:val="0C610326"/>
    <w:rsid w:val="0C61113C"/>
    <w:rsid w:val="0C645AF4"/>
    <w:rsid w:val="0C655B4C"/>
    <w:rsid w:val="0C6805B7"/>
    <w:rsid w:val="0C6A2581"/>
    <w:rsid w:val="0C6A2BAB"/>
    <w:rsid w:val="0C71390F"/>
    <w:rsid w:val="0C7451AE"/>
    <w:rsid w:val="0C765ED2"/>
    <w:rsid w:val="0C794EB2"/>
    <w:rsid w:val="0C82125C"/>
    <w:rsid w:val="0C840BD0"/>
    <w:rsid w:val="0C851169"/>
    <w:rsid w:val="0C857C6D"/>
    <w:rsid w:val="0C857FD9"/>
    <w:rsid w:val="0C8A677F"/>
    <w:rsid w:val="0C90115D"/>
    <w:rsid w:val="0C925225"/>
    <w:rsid w:val="0C994C14"/>
    <w:rsid w:val="0C9A7529"/>
    <w:rsid w:val="0CA85607"/>
    <w:rsid w:val="0CAE0BF3"/>
    <w:rsid w:val="0CB91AD0"/>
    <w:rsid w:val="0CBD0903"/>
    <w:rsid w:val="0CC13A5C"/>
    <w:rsid w:val="0CC8768B"/>
    <w:rsid w:val="0CCB5F18"/>
    <w:rsid w:val="0CCD3F68"/>
    <w:rsid w:val="0CE2031F"/>
    <w:rsid w:val="0CE20369"/>
    <w:rsid w:val="0CE2480D"/>
    <w:rsid w:val="0CE82491"/>
    <w:rsid w:val="0CEA36C2"/>
    <w:rsid w:val="0CEA70E2"/>
    <w:rsid w:val="0CF14A50"/>
    <w:rsid w:val="0CF167FE"/>
    <w:rsid w:val="0CF238BD"/>
    <w:rsid w:val="0CF26C99"/>
    <w:rsid w:val="0CF34325"/>
    <w:rsid w:val="0CF54541"/>
    <w:rsid w:val="0D0364DD"/>
    <w:rsid w:val="0D0D6495"/>
    <w:rsid w:val="0D110C4F"/>
    <w:rsid w:val="0D190642"/>
    <w:rsid w:val="0D1B6FF1"/>
    <w:rsid w:val="0D223EE4"/>
    <w:rsid w:val="0D29243C"/>
    <w:rsid w:val="0D305579"/>
    <w:rsid w:val="0D3B5CCB"/>
    <w:rsid w:val="0D3C30EC"/>
    <w:rsid w:val="0D4E0A83"/>
    <w:rsid w:val="0D5079C9"/>
    <w:rsid w:val="0D5412FC"/>
    <w:rsid w:val="0D5C439F"/>
    <w:rsid w:val="0D605732"/>
    <w:rsid w:val="0D613984"/>
    <w:rsid w:val="0D6268B1"/>
    <w:rsid w:val="0D6F3F37"/>
    <w:rsid w:val="0D70010A"/>
    <w:rsid w:val="0D774F56"/>
    <w:rsid w:val="0D784CA5"/>
    <w:rsid w:val="0D7A4A46"/>
    <w:rsid w:val="0D7C1107"/>
    <w:rsid w:val="0D7D0092"/>
    <w:rsid w:val="0D7F305A"/>
    <w:rsid w:val="0D806AA5"/>
    <w:rsid w:val="0D821B4C"/>
    <w:rsid w:val="0D870825"/>
    <w:rsid w:val="0D8D616E"/>
    <w:rsid w:val="0D907DC5"/>
    <w:rsid w:val="0D991370"/>
    <w:rsid w:val="0D9B051A"/>
    <w:rsid w:val="0D9C10BE"/>
    <w:rsid w:val="0D9C676A"/>
    <w:rsid w:val="0D9D1C5D"/>
    <w:rsid w:val="0D9D3E48"/>
    <w:rsid w:val="0D9F1A6C"/>
    <w:rsid w:val="0DA675E9"/>
    <w:rsid w:val="0DAB10A3"/>
    <w:rsid w:val="0DAD4E1B"/>
    <w:rsid w:val="0DAD574B"/>
    <w:rsid w:val="0DAE23EC"/>
    <w:rsid w:val="0DB53D50"/>
    <w:rsid w:val="0DBC030F"/>
    <w:rsid w:val="0DBF06AB"/>
    <w:rsid w:val="0DC36296"/>
    <w:rsid w:val="0DC432BA"/>
    <w:rsid w:val="0DC43F13"/>
    <w:rsid w:val="0DC63B91"/>
    <w:rsid w:val="0DC67C8B"/>
    <w:rsid w:val="0DC932D7"/>
    <w:rsid w:val="0DCE6B40"/>
    <w:rsid w:val="0DD03DB5"/>
    <w:rsid w:val="0DD1346B"/>
    <w:rsid w:val="0DD35A97"/>
    <w:rsid w:val="0DD405FA"/>
    <w:rsid w:val="0DDC125D"/>
    <w:rsid w:val="0DDD048E"/>
    <w:rsid w:val="0DE173BA"/>
    <w:rsid w:val="0DE325EB"/>
    <w:rsid w:val="0DE6032D"/>
    <w:rsid w:val="0DE6698C"/>
    <w:rsid w:val="0DEC0DC7"/>
    <w:rsid w:val="0DEE4240"/>
    <w:rsid w:val="0DF01CA5"/>
    <w:rsid w:val="0DF522C3"/>
    <w:rsid w:val="0DF90060"/>
    <w:rsid w:val="0E0802A4"/>
    <w:rsid w:val="0E085C7F"/>
    <w:rsid w:val="0E0D40F9"/>
    <w:rsid w:val="0E0D6C5F"/>
    <w:rsid w:val="0E0E518E"/>
    <w:rsid w:val="0E107158"/>
    <w:rsid w:val="0E1A6C88"/>
    <w:rsid w:val="0E1C5AFD"/>
    <w:rsid w:val="0E1D29F0"/>
    <w:rsid w:val="0E1D7271"/>
    <w:rsid w:val="0E280947"/>
    <w:rsid w:val="0E285928"/>
    <w:rsid w:val="0E2C5505"/>
    <w:rsid w:val="0E314150"/>
    <w:rsid w:val="0E320E7D"/>
    <w:rsid w:val="0E3270CE"/>
    <w:rsid w:val="0E364E11"/>
    <w:rsid w:val="0E372F95"/>
    <w:rsid w:val="0E377A47"/>
    <w:rsid w:val="0E395D20"/>
    <w:rsid w:val="0E3A7EF6"/>
    <w:rsid w:val="0E3E5A73"/>
    <w:rsid w:val="0E414AB1"/>
    <w:rsid w:val="0E43308A"/>
    <w:rsid w:val="0E452056"/>
    <w:rsid w:val="0E460F3E"/>
    <w:rsid w:val="0E4868F2"/>
    <w:rsid w:val="0E4D5CB6"/>
    <w:rsid w:val="0E4F1A2E"/>
    <w:rsid w:val="0E515952"/>
    <w:rsid w:val="0E523CA9"/>
    <w:rsid w:val="0E545297"/>
    <w:rsid w:val="0E56100F"/>
    <w:rsid w:val="0E565F93"/>
    <w:rsid w:val="0E5721EA"/>
    <w:rsid w:val="0E57461F"/>
    <w:rsid w:val="0E653000"/>
    <w:rsid w:val="0E67321C"/>
    <w:rsid w:val="0E68137A"/>
    <w:rsid w:val="0E682AF0"/>
    <w:rsid w:val="0E686F94"/>
    <w:rsid w:val="0E6B25E0"/>
    <w:rsid w:val="0E6E5360"/>
    <w:rsid w:val="0E6F20D1"/>
    <w:rsid w:val="0E721BC1"/>
    <w:rsid w:val="0E745939"/>
    <w:rsid w:val="0E792F4F"/>
    <w:rsid w:val="0E794CFD"/>
    <w:rsid w:val="0E802B47"/>
    <w:rsid w:val="0E864717"/>
    <w:rsid w:val="0E8813E4"/>
    <w:rsid w:val="0E925A82"/>
    <w:rsid w:val="0E9733D5"/>
    <w:rsid w:val="0E986DE4"/>
    <w:rsid w:val="0E9F3E09"/>
    <w:rsid w:val="0EA115D7"/>
    <w:rsid w:val="0EA24254"/>
    <w:rsid w:val="0EB03F8E"/>
    <w:rsid w:val="0EB775D4"/>
    <w:rsid w:val="0EB83A78"/>
    <w:rsid w:val="0EB94E27"/>
    <w:rsid w:val="0EBC4BEA"/>
    <w:rsid w:val="0EC0292C"/>
    <w:rsid w:val="0ED46C52"/>
    <w:rsid w:val="0EE34BD5"/>
    <w:rsid w:val="0EE7435D"/>
    <w:rsid w:val="0EEA5BFB"/>
    <w:rsid w:val="0EEF6D6E"/>
    <w:rsid w:val="0EF16F8A"/>
    <w:rsid w:val="0EF42964"/>
    <w:rsid w:val="0EFB1BB6"/>
    <w:rsid w:val="0F052A35"/>
    <w:rsid w:val="0F0A004B"/>
    <w:rsid w:val="0F0E7B3C"/>
    <w:rsid w:val="0F113188"/>
    <w:rsid w:val="0F135152"/>
    <w:rsid w:val="0F1669F0"/>
    <w:rsid w:val="0F184516"/>
    <w:rsid w:val="0F1F6A0C"/>
    <w:rsid w:val="0F203DE2"/>
    <w:rsid w:val="0F2231A1"/>
    <w:rsid w:val="0F225395"/>
    <w:rsid w:val="0F25284C"/>
    <w:rsid w:val="0F263D0E"/>
    <w:rsid w:val="0F264E85"/>
    <w:rsid w:val="0F282FC6"/>
    <w:rsid w:val="0F2E7896"/>
    <w:rsid w:val="0F342BAF"/>
    <w:rsid w:val="0F362BEE"/>
    <w:rsid w:val="0F380CF4"/>
    <w:rsid w:val="0F3B6457"/>
    <w:rsid w:val="0F403A6D"/>
    <w:rsid w:val="0F423341"/>
    <w:rsid w:val="0F464A45"/>
    <w:rsid w:val="0F483D4E"/>
    <w:rsid w:val="0F4E7F38"/>
    <w:rsid w:val="0F554825"/>
    <w:rsid w:val="0F563291"/>
    <w:rsid w:val="0F580DB7"/>
    <w:rsid w:val="0F5B471D"/>
    <w:rsid w:val="0F5B48D3"/>
    <w:rsid w:val="0F5D461F"/>
    <w:rsid w:val="0F5E063C"/>
    <w:rsid w:val="0F670FFA"/>
    <w:rsid w:val="0F704352"/>
    <w:rsid w:val="0F704E24"/>
    <w:rsid w:val="0F790559"/>
    <w:rsid w:val="0F790C96"/>
    <w:rsid w:val="0F81030D"/>
    <w:rsid w:val="0F82280D"/>
    <w:rsid w:val="0F882744"/>
    <w:rsid w:val="0F900C4F"/>
    <w:rsid w:val="0F9028B3"/>
    <w:rsid w:val="0F916E06"/>
    <w:rsid w:val="0F9547F1"/>
    <w:rsid w:val="0F9F0794"/>
    <w:rsid w:val="0F9F1BED"/>
    <w:rsid w:val="0FA25CB6"/>
    <w:rsid w:val="0FA37CB2"/>
    <w:rsid w:val="0FA67D74"/>
    <w:rsid w:val="0FA9433A"/>
    <w:rsid w:val="0FB51D65"/>
    <w:rsid w:val="0FBA381F"/>
    <w:rsid w:val="0FC14BAE"/>
    <w:rsid w:val="0FC36648"/>
    <w:rsid w:val="0FCB1589"/>
    <w:rsid w:val="0FCD5301"/>
    <w:rsid w:val="0FD03043"/>
    <w:rsid w:val="0FD0658C"/>
    <w:rsid w:val="0FD06E18"/>
    <w:rsid w:val="0FDD12BC"/>
    <w:rsid w:val="0FDF65AD"/>
    <w:rsid w:val="0FE06584"/>
    <w:rsid w:val="0FE06B2B"/>
    <w:rsid w:val="0FE16FFE"/>
    <w:rsid w:val="0FE268D2"/>
    <w:rsid w:val="0FE4089C"/>
    <w:rsid w:val="0FE8038D"/>
    <w:rsid w:val="0FEB1C2B"/>
    <w:rsid w:val="0FEB39D9"/>
    <w:rsid w:val="0FEF4B4C"/>
    <w:rsid w:val="0FF02D9D"/>
    <w:rsid w:val="0FF26B15"/>
    <w:rsid w:val="0FF52AA9"/>
    <w:rsid w:val="0FF67C3E"/>
    <w:rsid w:val="0FF8479A"/>
    <w:rsid w:val="0FFA7511"/>
    <w:rsid w:val="100251A3"/>
    <w:rsid w:val="10091983"/>
    <w:rsid w:val="1010343F"/>
    <w:rsid w:val="101051ED"/>
    <w:rsid w:val="1019229C"/>
    <w:rsid w:val="101941DE"/>
    <w:rsid w:val="1025513D"/>
    <w:rsid w:val="10295ED7"/>
    <w:rsid w:val="102F241E"/>
    <w:rsid w:val="10345380"/>
    <w:rsid w:val="10350003"/>
    <w:rsid w:val="10376C1E"/>
    <w:rsid w:val="10382E0A"/>
    <w:rsid w:val="103F5AD3"/>
    <w:rsid w:val="10450FF1"/>
    <w:rsid w:val="10463305"/>
    <w:rsid w:val="10480E2B"/>
    <w:rsid w:val="104906FF"/>
    <w:rsid w:val="104B091B"/>
    <w:rsid w:val="104E5D16"/>
    <w:rsid w:val="104F5D36"/>
    <w:rsid w:val="10501A8E"/>
    <w:rsid w:val="105518D8"/>
    <w:rsid w:val="105E064F"/>
    <w:rsid w:val="105E41AB"/>
    <w:rsid w:val="106043C7"/>
    <w:rsid w:val="10611EED"/>
    <w:rsid w:val="10616682"/>
    <w:rsid w:val="106612B1"/>
    <w:rsid w:val="10664CAB"/>
    <w:rsid w:val="106E22E2"/>
    <w:rsid w:val="10703EDE"/>
    <w:rsid w:val="10757746"/>
    <w:rsid w:val="10795489"/>
    <w:rsid w:val="107E363C"/>
    <w:rsid w:val="10853E2D"/>
    <w:rsid w:val="10861159"/>
    <w:rsid w:val="1088747A"/>
    <w:rsid w:val="108B0D18"/>
    <w:rsid w:val="108C69C6"/>
    <w:rsid w:val="109776BD"/>
    <w:rsid w:val="109951E3"/>
    <w:rsid w:val="109B09C8"/>
    <w:rsid w:val="109E0A4B"/>
    <w:rsid w:val="10A307B1"/>
    <w:rsid w:val="10A62500"/>
    <w:rsid w:val="10AA09E6"/>
    <w:rsid w:val="10AD6EE0"/>
    <w:rsid w:val="10B62239"/>
    <w:rsid w:val="10C85AC8"/>
    <w:rsid w:val="10CA1840"/>
    <w:rsid w:val="10D601E5"/>
    <w:rsid w:val="10D80401"/>
    <w:rsid w:val="10D97CD5"/>
    <w:rsid w:val="10DB3A4D"/>
    <w:rsid w:val="10E24DDC"/>
    <w:rsid w:val="10E36DA6"/>
    <w:rsid w:val="10E95984"/>
    <w:rsid w:val="10ED4953"/>
    <w:rsid w:val="10FD2C87"/>
    <w:rsid w:val="10FE14EA"/>
    <w:rsid w:val="10FE6461"/>
    <w:rsid w:val="11017C87"/>
    <w:rsid w:val="11020FDA"/>
    <w:rsid w:val="11036B00"/>
    <w:rsid w:val="110805BA"/>
    <w:rsid w:val="110C12EC"/>
    <w:rsid w:val="110F2985"/>
    <w:rsid w:val="110F7B9B"/>
    <w:rsid w:val="11114067"/>
    <w:rsid w:val="1111746F"/>
    <w:rsid w:val="111451B1"/>
    <w:rsid w:val="1119245F"/>
    <w:rsid w:val="11193D6A"/>
    <w:rsid w:val="111B0BAB"/>
    <w:rsid w:val="111D5E14"/>
    <w:rsid w:val="111E4A8C"/>
    <w:rsid w:val="11273B11"/>
    <w:rsid w:val="11274EE5"/>
    <w:rsid w:val="11290FAE"/>
    <w:rsid w:val="112F5B47"/>
    <w:rsid w:val="11407D54"/>
    <w:rsid w:val="11496E5C"/>
    <w:rsid w:val="114B65E6"/>
    <w:rsid w:val="11535CDA"/>
    <w:rsid w:val="11537A88"/>
    <w:rsid w:val="11595733"/>
    <w:rsid w:val="115A77AB"/>
    <w:rsid w:val="115B06EA"/>
    <w:rsid w:val="116369AF"/>
    <w:rsid w:val="116518B4"/>
    <w:rsid w:val="11670A6D"/>
    <w:rsid w:val="11692E07"/>
    <w:rsid w:val="116B6640"/>
    <w:rsid w:val="116C1E70"/>
    <w:rsid w:val="11784AB6"/>
    <w:rsid w:val="117A3266"/>
    <w:rsid w:val="117B0D8C"/>
    <w:rsid w:val="117D4B05"/>
    <w:rsid w:val="11800151"/>
    <w:rsid w:val="1182211B"/>
    <w:rsid w:val="11974131"/>
    <w:rsid w:val="119A3908"/>
    <w:rsid w:val="119D2C3A"/>
    <w:rsid w:val="11A270FD"/>
    <w:rsid w:val="11A618BA"/>
    <w:rsid w:val="11AC7198"/>
    <w:rsid w:val="11B147AE"/>
    <w:rsid w:val="11B63B8E"/>
    <w:rsid w:val="11B865FE"/>
    <w:rsid w:val="11BA18B5"/>
    <w:rsid w:val="11C04383"/>
    <w:rsid w:val="11C20769"/>
    <w:rsid w:val="11C23F91"/>
    <w:rsid w:val="11C50B37"/>
    <w:rsid w:val="11C75D80"/>
    <w:rsid w:val="11C93240"/>
    <w:rsid w:val="11CA0B5F"/>
    <w:rsid w:val="11CE7DA8"/>
    <w:rsid w:val="11D94BA5"/>
    <w:rsid w:val="11E33C5A"/>
    <w:rsid w:val="11E4054C"/>
    <w:rsid w:val="11E670E9"/>
    <w:rsid w:val="11E76422"/>
    <w:rsid w:val="11E84674"/>
    <w:rsid w:val="11EC3A38"/>
    <w:rsid w:val="11EC49BD"/>
    <w:rsid w:val="11EE77B0"/>
    <w:rsid w:val="11F0177A"/>
    <w:rsid w:val="11F1104F"/>
    <w:rsid w:val="11F528ED"/>
    <w:rsid w:val="11F75195"/>
    <w:rsid w:val="11FF376C"/>
    <w:rsid w:val="12061235"/>
    <w:rsid w:val="120968F4"/>
    <w:rsid w:val="120E4EA7"/>
    <w:rsid w:val="120E5CA1"/>
    <w:rsid w:val="120E7E53"/>
    <w:rsid w:val="121214F5"/>
    <w:rsid w:val="12137217"/>
    <w:rsid w:val="12170FB5"/>
    <w:rsid w:val="12174F59"/>
    <w:rsid w:val="121F3E0E"/>
    <w:rsid w:val="1223332E"/>
    <w:rsid w:val="1224169A"/>
    <w:rsid w:val="12264334"/>
    <w:rsid w:val="12274A70"/>
    <w:rsid w:val="12296A3A"/>
    <w:rsid w:val="12301B77"/>
    <w:rsid w:val="123305D6"/>
    <w:rsid w:val="123306DD"/>
    <w:rsid w:val="123E24E6"/>
    <w:rsid w:val="12412DB3"/>
    <w:rsid w:val="124B075F"/>
    <w:rsid w:val="124D3664"/>
    <w:rsid w:val="124F5FD2"/>
    <w:rsid w:val="12525F91"/>
    <w:rsid w:val="12597320"/>
    <w:rsid w:val="125A4E46"/>
    <w:rsid w:val="125E00D9"/>
    <w:rsid w:val="12633CFA"/>
    <w:rsid w:val="126B39CE"/>
    <w:rsid w:val="126C2491"/>
    <w:rsid w:val="126D6927"/>
    <w:rsid w:val="126F08F1"/>
    <w:rsid w:val="126F6B43"/>
    <w:rsid w:val="12802AFE"/>
    <w:rsid w:val="128579CA"/>
    <w:rsid w:val="12887C05"/>
    <w:rsid w:val="128A572B"/>
    <w:rsid w:val="128A74D9"/>
    <w:rsid w:val="128B4FFF"/>
    <w:rsid w:val="128C4DB6"/>
    <w:rsid w:val="128D0D77"/>
    <w:rsid w:val="128F634E"/>
    <w:rsid w:val="129319CF"/>
    <w:rsid w:val="129569F8"/>
    <w:rsid w:val="129640D0"/>
    <w:rsid w:val="12967031"/>
    <w:rsid w:val="129906A9"/>
    <w:rsid w:val="12A165D1"/>
    <w:rsid w:val="12A22DAA"/>
    <w:rsid w:val="12A32349"/>
    <w:rsid w:val="12AB43E5"/>
    <w:rsid w:val="12B05320"/>
    <w:rsid w:val="12B10F0A"/>
    <w:rsid w:val="12B46304"/>
    <w:rsid w:val="12B74046"/>
    <w:rsid w:val="12BA1309"/>
    <w:rsid w:val="12BB3B36"/>
    <w:rsid w:val="12BE17F2"/>
    <w:rsid w:val="12BE7183"/>
    <w:rsid w:val="12CA1FCB"/>
    <w:rsid w:val="12CD5618"/>
    <w:rsid w:val="12D06EB6"/>
    <w:rsid w:val="12D152D7"/>
    <w:rsid w:val="12D270D2"/>
    <w:rsid w:val="12D31BDC"/>
    <w:rsid w:val="12D6271E"/>
    <w:rsid w:val="12D720A5"/>
    <w:rsid w:val="12DC5736"/>
    <w:rsid w:val="12DF65E9"/>
    <w:rsid w:val="12E0534B"/>
    <w:rsid w:val="12E05F13"/>
    <w:rsid w:val="12E14DFB"/>
    <w:rsid w:val="12E24FC5"/>
    <w:rsid w:val="12EA7F78"/>
    <w:rsid w:val="12EF1689"/>
    <w:rsid w:val="12EF37A0"/>
    <w:rsid w:val="12F17558"/>
    <w:rsid w:val="12FC1313"/>
    <w:rsid w:val="12FC2B62"/>
    <w:rsid w:val="12FE0C9D"/>
    <w:rsid w:val="13034801"/>
    <w:rsid w:val="1306163F"/>
    <w:rsid w:val="130C4592"/>
    <w:rsid w:val="130D399B"/>
    <w:rsid w:val="130F5C30"/>
    <w:rsid w:val="1313146A"/>
    <w:rsid w:val="131500C1"/>
    <w:rsid w:val="13160D6D"/>
    <w:rsid w:val="13162A0E"/>
    <w:rsid w:val="13180F89"/>
    <w:rsid w:val="131B6383"/>
    <w:rsid w:val="131C0B4A"/>
    <w:rsid w:val="131C2651"/>
    <w:rsid w:val="13207027"/>
    <w:rsid w:val="13280AA0"/>
    <w:rsid w:val="1329181A"/>
    <w:rsid w:val="132A4818"/>
    <w:rsid w:val="132D60B6"/>
    <w:rsid w:val="132F0080"/>
    <w:rsid w:val="13315BA7"/>
    <w:rsid w:val="133A01C8"/>
    <w:rsid w:val="133C50B1"/>
    <w:rsid w:val="133E02C4"/>
    <w:rsid w:val="133E6C48"/>
    <w:rsid w:val="13427DB4"/>
    <w:rsid w:val="13482EF0"/>
    <w:rsid w:val="134C478E"/>
    <w:rsid w:val="134F2888"/>
    <w:rsid w:val="13511DA5"/>
    <w:rsid w:val="13545D39"/>
    <w:rsid w:val="13645F7C"/>
    <w:rsid w:val="136732D7"/>
    <w:rsid w:val="136C215D"/>
    <w:rsid w:val="136F1139"/>
    <w:rsid w:val="13707A8F"/>
    <w:rsid w:val="137155C7"/>
    <w:rsid w:val="1373302C"/>
    <w:rsid w:val="137331E2"/>
    <w:rsid w:val="13765CAF"/>
    <w:rsid w:val="13771000"/>
    <w:rsid w:val="13816E0B"/>
    <w:rsid w:val="13824654"/>
    <w:rsid w:val="138B5348"/>
    <w:rsid w:val="138C102F"/>
    <w:rsid w:val="13912AE9"/>
    <w:rsid w:val="139B6F6C"/>
    <w:rsid w:val="139C03FB"/>
    <w:rsid w:val="139F6FB4"/>
    <w:rsid w:val="13A16E84"/>
    <w:rsid w:val="13A445CA"/>
    <w:rsid w:val="13AE71F7"/>
    <w:rsid w:val="13AF2F6F"/>
    <w:rsid w:val="13BC5DB8"/>
    <w:rsid w:val="13CF67C8"/>
    <w:rsid w:val="13CF716E"/>
    <w:rsid w:val="13D604FC"/>
    <w:rsid w:val="13D65D70"/>
    <w:rsid w:val="13D7569A"/>
    <w:rsid w:val="13E0137B"/>
    <w:rsid w:val="13E07B77"/>
    <w:rsid w:val="13E769C9"/>
    <w:rsid w:val="13E85A91"/>
    <w:rsid w:val="13E94E98"/>
    <w:rsid w:val="13EB3FA7"/>
    <w:rsid w:val="13F015BE"/>
    <w:rsid w:val="13F15336"/>
    <w:rsid w:val="13F75F72"/>
    <w:rsid w:val="13F91FEC"/>
    <w:rsid w:val="14076907"/>
    <w:rsid w:val="14077A51"/>
    <w:rsid w:val="140C2170"/>
    <w:rsid w:val="140E413A"/>
    <w:rsid w:val="14172727"/>
    <w:rsid w:val="14176148"/>
    <w:rsid w:val="141B23B3"/>
    <w:rsid w:val="1422717A"/>
    <w:rsid w:val="14470E31"/>
    <w:rsid w:val="14484ED0"/>
    <w:rsid w:val="144C07BE"/>
    <w:rsid w:val="14511BD0"/>
    <w:rsid w:val="145558C5"/>
    <w:rsid w:val="14634486"/>
    <w:rsid w:val="14641621"/>
    <w:rsid w:val="14641FAC"/>
    <w:rsid w:val="14645E9D"/>
    <w:rsid w:val="146B158C"/>
    <w:rsid w:val="146B333A"/>
    <w:rsid w:val="147026FF"/>
    <w:rsid w:val="14741FA9"/>
    <w:rsid w:val="14795A57"/>
    <w:rsid w:val="148443FC"/>
    <w:rsid w:val="14847F7D"/>
    <w:rsid w:val="14883EEC"/>
    <w:rsid w:val="148924D2"/>
    <w:rsid w:val="148925E6"/>
    <w:rsid w:val="148B5887"/>
    <w:rsid w:val="148F7029"/>
    <w:rsid w:val="14907014"/>
    <w:rsid w:val="149208C7"/>
    <w:rsid w:val="149438EE"/>
    <w:rsid w:val="149D101A"/>
    <w:rsid w:val="149E726C"/>
    <w:rsid w:val="149F4D92"/>
    <w:rsid w:val="149F62FB"/>
    <w:rsid w:val="14A3568A"/>
    <w:rsid w:val="14A423A8"/>
    <w:rsid w:val="14A66FC8"/>
    <w:rsid w:val="14AE1D2C"/>
    <w:rsid w:val="14B05032"/>
    <w:rsid w:val="14B307DB"/>
    <w:rsid w:val="14B91DC7"/>
    <w:rsid w:val="14C64A14"/>
    <w:rsid w:val="14CB0249"/>
    <w:rsid w:val="14D37DB8"/>
    <w:rsid w:val="14D40EDF"/>
    <w:rsid w:val="14D44347"/>
    <w:rsid w:val="14D56A06"/>
    <w:rsid w:val="14D709D0"/>
    <w:rsid w:val="14DC4520"/>
    <w:rsid w:val="14DE3B0C"/>
    <w:rsid w:val="14E54E9B"/>
    <w:rsid w:val="14E659BE"/>
    <w:rsid w:val="14F44513"/>
    <w:rsid w:val="14F96B98"/>
    <w:rsid w:val="14FB3F6A"/>
    <w:rsid w:val="14FF0009"/>
    <w:rsid w:val="150A2B53"/>
    <w:rsid w:val="150D2643"/>
    <w:rsid w:val="15107A3E"/>
    <w:rsid w:val="15192D96"/>
    <w:rsid w:val="151C4DE5"/>
    <w:rsid w:val="15237216"/>
    <w:rsid w:val="15282FD9"/>
    <w:rsid w:val="152E3299"/>
    <w:rsid w:val="152E4912"/>
    <w:rsid w:val="15396F94"/>
    <w:rsid w:val="15422488"/>
    <w:rsid w:val="15436065"/>
    <w:rsid w:val="15477903"/>
    <w:rsid w:val="154D2A40"/>
    <w:rsid w:val="154E6CD0"/>
    <w:rsid w:val="155618F4"/>
    <w:rsid w:val="155B6F0B"/>
    <w:rsid w:val="156C7A57"/>
    <w:rsid w:val="15724254"/>
    <w:rsid w:val="157924A9"/>
    <w:rsid w:val="157B4696"/>
    <w:rsid w:val="157D29F0"/>
    <w:rsid w:val="15891875"/>
    <w:rsid w:val="1589648C"/>
    <w:rsid w:val="15905C08"/>
    <w:rsid w:val="159454C6"/>
    <w:rsid w:val="15977EAF"/>
    <w:rsid w:val="159D7523"/>
    <w:rsid w:val="15A34E7E"/>
    <w:rsid w:val="15B11221"/>
    <w:rsid w:val="15B34C4C"/>
    <w:rsid w:val="15B34F99"/>
    <w:rsid w:val="15BB209F"/>
    <w:rsid w:val="15BD469A"/>
    <w:rsid w:val="15BE749A"/>
    <w:rsid w:val="15C0054B"/>
    <w:rsid w:val="15C056C9"/>
    <w:rsid w:val="15C076B6"/>
    <w:rsid w:val="15C34AB0"/>
    <w:rsid w:val="15C56A7A"/>
    <w:rsid w:val="15CA15FD"/>
    <w:rsid w:val="15D45280"/>
    <w:rsid w:val="15D51101"/>
    <w:rsid w:val="15D53161"/>
    <w:rsid w:val="15D942D4"/>
    <w:rsid w:val="15DA15E8"/>
    <w:rsid w:val="15DF4B06"/>
    <w:rsid w:val="15E10FC5"/>
    <w:rsid w:val="15E21718"/>
    <w:rsid w:val="15E56205"/>
    <w:rsid w:val="15E92769"/>
    <w:rsid w:val="15EC2259"/>
    <w:rsid w:val="15EE2F39"/>
    <w:rsid w:val="15F15AC1"/>
    <w:rsid w:val="15F2239C"/>
    <w:rsid w:val="15F26C8F"/>
    <w:rsid w:val="15F8246F"/>
    <w:rsid w:val="15FB1B6C"/>
    <w:rsid w:val="15FF01DE"/>
    <w:rsid w:val="16024AD5"/>
    <w:rsid w:val="160550C9"/>
    <w:rsid w:val="160C1D44"/>
    <w:rsid w:val="160E0103"/>
    <w:rsid w:val="161E0866"/>
    <w:rsid w:val="1626576B"/>
    <w:rsid w:val="162714E3"/>
    <w:rsid w:val="16290DB7"/>
    <w:rsid w:val="163725E1"/>
    <w:rsid w:val="163E0096"/>
    <w:rsid w:val="164200CB"/>
    <w:rsid w:val="1642631D"/>
    <w:rsid w:val="16493207"/>
    <w:rsid w:val="16504596"/>
    <w:rsid w:val="165322D8"/>
    <w:rsid w:val="16534086"/>
    <w:rsid w:val="165909FE"/>
    <w:rsid w:val="165D4F05"/>
    <w:rsid w:val="166075E8"/>
    <w:rsid w:val="16707AF8"/>
    <w:rsid w:val="16766832"/>
    <w:rsid w:val="167A18C1"/>
    <w:rsid w:val="16835D51"/>
    <w:rsid w:val="16881F81"/>
    <w:rsid w:val="16897AA8"/>
    <w:rsid w:val="168D120F"/>
    <w:rsid w:val="16922E00"/>
    <w:rsid w:val="1694677A"/>
    <w:rsid w:val="1697487D"/>
    <w:rsid w:val="1699418F"/>
    <w:rsid w:val="169C77DB"/>
    <w:rsid w:val="169F72CB"/>
    <w:rsid w:val="16A36DBB"/>
    <w:rsid w:val="16A50D85"/>
    <w:rsid w:val="16A91EC0"/>
    <w:rsid w:val="16AB67ED"/>
    <w:rsid w:val="16AE1553"/>
    <w:rsid w:val="16B0772A"/>
    <w:rsid w:val="16B34B25"/>
    <w:rsid w:val="16B5089D"/>
    <w:rsid w:val="16B94831"/>
    <w:rsid w:val="16B97005"/>
    <w:rsid w:val="16BA5EB3"/>
    <w:rsid w:val="16CA0632"/>
    <w:rsid w:val="16CA52C0"/>
    <w:rsid w:val="16CF2124"/>
    <w:rsid w:val="16CF6E9C"/>
    <w:rsid w:val="16DB6AC8"/>
    <w:rsid w:val="16DC22CD"/>
    <w:rsid w:val="16E01DBD"/>
    <w:rsid w:val="16E55626"/>
    <w:rsid w:val="16EA0A0B"/>
    <w:rsid w:val="16F47617"/>
    <w:rsid w:val="16FB2DD9"/>
    <w:rsid w:val="17066ADD"/>
    <w:rsid w:val="170A3F3B"/>
    <w:rsid w:val="170F4451"/>
    <w:rsid w:val="17103D25"/>
    <w:rsid w:val="17141CFC"/>
    <w:rsid w:val="1719707D"/>
    <w:rsid w:val="171A4BA4"/>
    <w:rsid w:val="171C4DC0"/>
    <w:rsid w:val="17231CAA"/>
    <w:rsid w:val="17242EA0"/>
    <w:rsid w:val="17276132"/>
    <w:rsid w:val="17284465"/>
    <w:rsid w:val="172A4DE7"/>
    <w:rsid w:val="172D33F1"/>
    <w:rsid w:val="172F68A1"/>
    <w:rsid w:val="1731642A"/>
    <w:rsid w:val="17343EB7"/>
    <w:rsid w:val="173E0892"/>
    <w:rsid w:val="173F435D"/>
    <w:rsid w:val="17481711"/>
    <w:rsid w:val="174D6D27"/>
    <w:rsid w:val="174E29A3"/>
    <w:rsid w:val="17514A69"/>
    <w:rsid w:val="17515193"/>
    <w:rsid w:val="1752258F"/>
    <w:rsid w:val="175372AA"/>
    <w:rsid w:val="175653EE"/>
    <w:rsid w:val="175865D3"/>
    <w:rsid w:val="175A2D3E"/>
    <w:rsid w:val="175B1444"/>
    <w:rsid w:val="175D48F4"/>
    <w:rsid w:val="17623E04"/>
    <w:rsid w:val="176522C3"/>
    <w:rsid w:val="17670696"/>
    <w:rsid w:val="176B04A7"/>
    <w:rsid w:val="176E3311"/>
    <w:rsid w:val="177045AC"/>
    <w:rsid w:val="17705FE0"/>
    <w:rsid w:val="17742998"/>
    <w:rsid w:val="177644D0"/>
    <w:rsid w:val="177E3384"/>
    <w:rsid w:val="177E5132"/>
    <w:rsid w:val="177F1919"/>
    <w:rsid w:val="17801E5B"/>
    <w:rsid w:val="178A1D29"/>
    <w:rsid w:val="178A2DBE"/>
    <w:rsid w:val="178A6601"/>
    <w:rsid w:val="17942BA8"/>
    <w:rsid w:val="17994EC4"/>
    <w:rsid w:val="17A07677"/>
    <w:rsid w:val="17A636E2"/>
    <w:rsid w:val="17A96398"/>
    <w:rsid w:val="17AA4179"/>
    <w:rsid w:val="17AC7EF2"/>
    <w:rsid w:val="17AF79E2"/>
    <w:rsid w:val="17B0246F"/>
    <w:rsid w:val="17B44371"/>
    <w:rsid w:val="17B571D1"/>
    <w:rsid w:val="17B7715C"/>
    <w:rsid w:val="17B91E87"/>
    <w:rsid w:val="17BD20FF"/>
    <w:rsid w:val="17C0399D"/>
    <w:rsid w:val="17C104F9"/>
    <w:rsid w:val="17C22731"/>
    <w:rsid w:val="17CA0378"/>
    <w:rsid w:val="17D31922"/>
    <w:rsid w:val="17D82A95"/>
    <w:rsid w:val="17D9680D"/>
    <w:rsid w:val="17DC623F"/>
    <w:rsid w:val="17DD0A7A"/>
    <w:rsid w:val="17DD3D91"/>
    <w:rsid w:val="17DE3E23"/>
    <w:rsid w:val="17E02C2C"/>
    <w:rsid w:val="17EA0A1A"/>
    <w:rsid w:val="17EC425D"/>
    <w:rsid w:val="17EC6540"/>
    <w:rsid w:val="17EE22B8"/>
    <w:rsid w:val="17F2257E"/>
    <w:rsid w:val="17F32385"/>
    <w:rsid w:val="17F378CF"/>
    <w:rsid w:val="17F6116D"/>
    <w:rsid w:val="17F673BF"/>
    <w:rsid w:val="17F9141B"/>
    <w:rsid w:val="17FB20C8"/>
    <w:rsid w:val="17FE514D"/>
    <w:rsid w:val="17FF6273"/>
    <w:rsid w:val="18032795"/>
    <w:rsid w:val="18057602"/>
    <w:rsid w:val="1807337A"/>
    <w:rsid w:val="18097148"/>
    <w:rsid w:val="18097A97"/>
    <w:rsid w:val="180A2E6A"/>
    <w:rsid w:val="180F222F"/>
    <w:rsid w:val="1815495E"/>
    <w:rsid w:val="181B1EAC"/>
    <w:rsid w:val="181B6E25"/>
    <w:rsid w:val="181F06C4"/>
    <w:rsid w:val="181F4A63"/>
    <w:rsid w:val="18273A1C"/>
    <w:rsid w:val="182C1032"/>
    <w:rsid w:val="183103F7"/>
    <w:rsid w:val="183606FA"/>
    <w:rsid w:val="18365A0D"/>
    <w:rsid w:val="183869EB"/>
    <w:rsid w:val="183879D7"/>
    <w:rsid w:val="18470CA7"/>
    <w:rsid w:val="184B770B"/>
    <w:rsid w:val="184E0FA9"/>
    <w:rsid w:val="18506ACF"/>
    <w:rsid w:val="185809BE"/>
    <w:rsid w:val="18583BD5"/>
    <w:rsid w:val="185A794E"/>
    <w:rsid w:val="185C36C6"/>
    <w:rsid w:val="185E09CA"/>
    <w:rsid w:val="1862541A"/>
    <w:rsid w:val="18626802"/>
    <w:rsid w:val="18664544"/>
    <w:rsid w:val="186662F2"/>
    <w:rsid w:val="18687442"/>
    <w:rsid w:val="186D58D3"/>
    <w:rsid w:val="187111EB"/>
    <w:rsid w:val="187205F4"/>
    <w:rsid w:val="18770DA5"/>
    <w:rsid w:val="1879160D"/>
    <w:rsid w:val="188128B0"/>
    <w:rsid w:val="188260C7"/>
    <w:rsid w:val="188454E6"/>
    <w:rsid w:val="188B19BA"/>
    <w:rsid w:val="189270E7"/>
    <w:rsid w:val="189728A5"/>
    <w:rsid w:val="1898470F"/>
    <w:rsid w:val="1898605D"/>
    <w:rsid w:val="189F7A56"/>
    <w:rsid w:val="18A443F3"/>
    <w:rsid w:val="18A70B70"/>
    <w:rsid w:val="18AC3ACE"/>
    <w:rsid w:val="18AE7C99"/>
    <w:rsid w:val="18B32A92"/>
    <w:rsid w:val="18B54B84"/>
    <w:rsid w:val="18B86B34"/>
    <w:rsid w:val="18BD1C8B"/>
    <w:rsid w:val="18BF3C55"/>
    <w:rsid w:val="18C07E1C"/>
    <w:rsid w:val="18C272A1"/>
    <w:rsid w:val="18C43019"/>
    <w:rsid w:val="18C83229"/>
    <w:rsid w:val="18CD6371"/>
    <w:rsid w:val="18D21BDA"/>
    <w:rsid w:val="18D70F9E"/>
    <w:rsid w:val="18D944D4"/>
    <w:rsid w:val="18D94D16"/>
    <w:rsid w:val="18D9791A"/>
    <w:rsid w:val="18E15979"/>
    <w:rsid w:val="18EE5691"/>
    <w:rsid w:val="18F02060"/>
    <w:rsid w:val="18F03E0E"/>
    <w:rsid w:val="18F71640"/>
    <w:rsid w:val="18FB1920"/>
    <w:rsid w:val="190141FE"/>
    <w:rsid w:val="190316DB"/>
    <w:rsid w:val="19067AD5"/>
    <w:rsid w:val="190860B0"/>
    <w:rsid w:val="190C3EB5"/>
    <w:rsid w:val="191020DF"/>
    <w:rsid w:val="19102702"/>
    <w:rsid w:val="191133E8"/>
    <w:rsid w:val="19120228"/>
    <w:rsid w:val="191B0CA6"/>
    <w:rsid w:val="191F1353"/>
    <w:rsid w:val="192166BD"/>
    <w:rsid w:val="19234148"/>
    <w:rsid w:val="19287A4C"/>
    <w:rsid w:val="192A37C4"/>
    <w:rsid w:val="192F64DD"/>
    <w:rsid w:val="19394EDE"/>
    <w:rsid w:val="19397563"/>
    <w:rsid w:val="194C3497"/>
    <w:rsid w:val="19516FA3"/>
    <w:rsid w:val="195645B9"/>
    <w:rsid w:val="19597C05"/>
    <w:rsid w:val="195A1EDE"/>
    <w:rsid w:val="196D4CA7"/>
    <w:rsid w:val="19760FDF"/>
    <w:rsid w:val="197A3F9A"/>
    <w:rsid w:val="198033E4"/>
    <w:rsid w:val="198945B7"/>
    <w:rsid w:val="19936669"/>
    <w:rsid w:val="1995691B"/>
    <w:rsid w:val="199724DC"/>
    <w:rsid w:val="199E7D0E"/>
    <w:rsid w:val="19A35324"/>
    <w:rsid w:val="19A710A7"/>
    <w:rsid w:val="19B117EF"/>
    <w:rsid w:val="19B27315"/>
    <w:rsid w:val="19B75231"/>
    <w:rsid w:val="19B906A4"/>
    <w:rsid w:val="19BC67C0"/>
    <w:rsid w:val="19BD5040"/>
    <w:rsid w:val="19BE5CBA"/>
    <w:rsid w:val="19C86B39"/>
    <w:rsid w:val="19CC0292"/>
    <w:rsid w:val="19CD414F"/>
    <w:rsid w:val="19CE05F3"/>
    <w:rsid w:val="19D33304"/>
    <w:rsid w:val="19D46FDD"/>
    <w:rsid w:val="19D92AF4"/>
    <w:rsid w:val="19D96F98"/>
    <w:rsid w:val="19DC3E19"/>
    <w:rsid w:val="19DE010A"/>
    <w:rsid w:val="19DE210A"/>
    <w:rsid w:val="19E219A9"/>
    <w:rsid w:val="19E35721"/>
    <w:rsid w:val="19E746A4"/>
    <w:rsid w:val="19ED659F"/>
    <w:rsid w:val="19F53DD2"/>
    <w:rsid w:val="19FB6BA4"/>
    <w:rsid w:val="19FF59D9"/>
    <w:rsid w:val="19FF5BD3"/>
    <w:rsid w:val="1A056898"/>
    <w:rsid w:val="1A0A093F"/>
    <w:rsid w:val="1A0A1193"/>
    <w:rsid w:val="1A0A53A3"/>
    <w:rsid w:val="1A0C2EC9"/>
    <w:rsid w:val="1A121912"/>
    <w:rsid w:val="1A1656B7"/>
    <w:rsid w:val="1A1C61EB"/>
    <w:rsid w:val="1A1F3D59"/>
    <w:rsid w:val="1A2577BE"/>
    <w:rsid w:val="1A264498"/>
    <w:rsid w:val="1A265143"/>
    <w:rsid w:val="1A26685C"/>
    <w:rsid w:val="1A266BC7"/>
    <w:rsid w:val="1A2E6111"/>
    <w:rsid w:val="1A3146DE"/>
    <w:rsid w:val="1A3366A8"/>
    <w:rsid w:val="1A347D3F"/>
    <w:rsid w:val="1A361A27"/>
    <w:rsid w:val="1A3B1866"/>
    <w:rsid w:val="1A420699"/>
    <w:rsid w:val="1A46462D"/>
    <w:rsid w:val="1A4A39F2"/>
    <w:rsid w:val="1A504656"/>
    <w:rsid w:val="1A522CD0"/>
    <w:rsid w:val="1A5959E3"/>
    <w:rsid w:val="1A5A5F28"/>
    <w:rsid w:val="1A69031C"/>
    <w:rsid w:val="1A6D25FD"/>
    <w:rsid w:val="1A722FA1"/>
    <w:rsid w:val="1A75281D"/>
    <w:rsid w:val="1A7C004F"/>
    <w:rsid w:val="1A7D4B93"/>
    <w:rsid w:val="1A8472A0"/>
    <w:rsid w:val="1A8A0541"/>
    <w:rsid w:val="1A8E38DF"/>
    <w:rsid w:val="1A9B5FFB"/>
    <w:rsid w:val="1AA27C58"/>
    <w:rsid w:val="1AA414D5"/>
    <w:rsid w:val="1AA50C28"/>
    <w:rsid w:val="1AA749A0"/>
    <w:rsid w:val="1AAA0EAE"/>
    <w:rsid w:val="1AAA2465"/>
    <w:rsid w:val="1AB374E2"/>
    <w:rsid w:val="1AB57846"/>
    <w:rsid w:val="1ABE27D0"/>
    <w:rsid w:val="1AC92B69"/>
    <w:rsid w:val="1ACB4B33"/>
    <w:rsid w:val="1ACE4623"/>
    <w:rsid w:val="1AD87250"/>
    <w:rsid w:val="1ADD03C2"/>
    <w:rsid w:val="1ADF15D2"/>
    <w:rsid w:val="1ADF413A"/>
    <w:rsid w:val="1AE02D29"/>
    <w:rsid w:val="1AED2CFB"/>
    <w:rsid w:val="1AF35C55"/>
    <w:rsid w:val="1AF35E37"/>
    <w:rsid w:val="1AFD2812"/>
    <w:rsid w:val="1B045DCF"/>
    <w:rsid w:val="1B0D514B"/>
    <w:rsid w:val="1B155DAE"/>
    <w:rsid w:val="1B1D6651"/>
    <w:rsid w:val="1B244243"/>
    <w:rsid w:val="1B285AE1"/>
    <w:rsid w:val="1B2C060A"/>
    <w:rsid w:val="1B3A3A66"/>
    <w:rsid w:val="1B3B1280"/>
    <w:rsid w:val="1B487F31"/>
    <w:rsid w:val="1B4A38B5"/>
    <w:rsid w:val="1B4A3A6B"/>
    <w:rsid w:val="1B4C2B74"/>
    <w:rsid w:val="1B5207ED"/>
    <w:rsid w:val="1B5468D6"/>
    <w:rsid w:val="1B574618"/>
    <w:rsid w:val="1B5F527B"/>
    <w:rsid w:val="1B617245"/>
    <w:rsid w:val="1B632FBD"/>
    <w:rsid w:val="1B670199"/>
    <w:rsid w:val="1B694D12"/>
    <w:rsid w:val="1B7A20B5"/>
    <w:rsid w:val="1B7A5621"/>
    <w:rsid w:val="1B7E7DF7"/>
    <w:rsid w:val="1B854CE1"/>
    <w:rsid w:val="1B862808"/>
    <w:rsid w:val="1B866036"/>
    <w:rsid w:val="1B8E67A7"/>
    <w:rsid w:val="1B925650"/>
    <w:rsid w:val="1B9A6E93"/>
    <w:rsid w:val="1B9C1031"/>
    <w:rsid w:val="1BA03226"/>
    <w:rsid w:val="1BA3160C"/>
    <w:rsid w:val="1BAB04C0"/>
    <w:rsid w:val="1BAD12C5"/>
    <w:rsid w:val="1BB13D28"/>
    <w:rsid w:val="1BB8267A"/>
    <w:rsid w:val="1BB93984"/>
    <w:rsid w:val="1BBA7921"/>
    <w:rsid w:val="1BBD091F"/>
    <w:rsid w:val="1BBE2F3B"/>
    <w:rsid w:val="1BC21D75"/>
    <w:rsid w:val="1BC752FA"/>
    <w:rsid w:val="1BC75406"/>
    <w:rsid w:val="1BD20370"/>
    <w:rsid w:val="1BD96DDB"/>
    <w:rsid w:val="1BE20386"/>
    <w:rsid w:val="1BE32A90"/>
    <w:rsid w:val="1BE35DC2"/>
    <w:rsid w:val="1BE449D9"/>
    <w:rsid w:val="1BE81160"/>
    <w:rsid w:val="1BEA74D5"/>
    <w:rsid w:val="1BEC2CB8"/>
    <w:rsid w:val="1BF259E0"/>
    <w:rsid w:val="1BF65BDF"/>
    <w:rsid w:val="1BF907B1"/>
    <w:rsid w:val="1BFB31F6"/>
    <w:rsid w:val="1BFD51C0"/>
    <w:rsid w:val="1C0E117B"/>
    <w:rsid w:val="1C0F4EF3"/>
    <w:rsid w:val="1C153A84"/>
    <w:rsid w:val="1C177904"/>
    <w:rsid w:val="1C1918CE"/>
    <w:rsid w:val="1C212711"/>
    <w:rsid w:val="1C220B3F"/>
    <w:rsid w:val="1C233876"/>
    <w:rsid w:val="1C2453B2"/>
    <w:rsid w:val="1C281B11"/>
    <w:rsid w:val="1C2F2E9F"/>
    <w:rsid w:val="1C3130C2"/>
    <w:rsid w:val="1C3F4F02"/>
    <w:rsid w:val="1C404155"/>
    <w:rsid w:val="1C4306F9"/>
    <w:rsid w:val="1C4C3A51"/>
    <w:rsid w:val="1C577A1E"/>
    <w:rsid w:val="1C5B3C94"/>
    <w:rsid w:val="1C715266"/>
    <w:rsid w:val="1C796E76"/>
    <w:rsid w:val="1C7A05BE"/>
    <w:rsid w:val="1C7B4336"/>
    <w:rsid w:val="1C7B60E4"/>
    <w:rsid w:val="1C7C2BE7"/>
    <w:rsid w:val="1C837232"/>
    <w:rsid w:val="1C856F63"/>
    <w:rsid w:val="1C890801"/>
    <w:rsid w:val="1C894C01"/>
    <w:rsid w:val="1C9121E5"/>
    <w:rsid w:val="1C927A29"/>
    <w:rsid w:val="1C950274"/>
    <w:rsid w:val="1C962F1E"/>
    <w:rsid w:val="1C9E5FCC"/>
    <w:rsid w:val="1CA078F9"/>
    <w:rsid w:val="1CA2751E"/>
    <w:rsid w:val="1CA5324B"/>
    <w:rsid w:val="1CA7330A"/>
    <w:rsid w:val="1CA80836"/>
    <w:rsid w:val="1CA94A00"/>
    <w:rsid w:val="1CAB0739"/>
    <w:rsid w:val="1CAB69CA"/>
    <w:rsid w:val="1CB15FAA"/>
    <w:rsid w:val="1CC448CB"/>
    <w:rsid w:val="1CC57360"/>
    <w:rsid w:val="1CC61A56"/>
    <w:rsid w:val="1CCA79DC"/>
    <w:rsid w:val="1CCB2BC8"/>
    <w:rsid w:val="1CD40F1D"/>
    <w:rsid w:val="1CE114BA"/>
    <w:rsid w:val="1CE617B0"/>
    <w:rsid w:val="1CE7377A"/>
    <w:rsid w:val="1CE92A10"/>
    <w:rsid w:val="1CEC2B3E"/>
    <w:rsid w:val="1CED7BE0"/>
    <w:rsid w:val="1CF53F2D"/>
    <w:rsid w:val="1CF71C0F"/>
    <w:rsid w:val="1CF77E61"/>
    <w:rsid w:val="1D04432C"/>
    <w:rsid w:val="1D050427"/>
    <w:rsid w:val="1D0C4666"/>
    <w:rsid w:val="1D0C7C1D"/>
    <w:rsid w:val="1D1125A5"/>
    <w:rsid w:val="1D1C5EE0"/>
    <w:rsid w:val="1D1E1D0B"/>
    <w:rsid w:val="1D3511DB"/>
    <w:rsid w:val="1D366B78"/>
    <w:rsid w:val="1D385D84"/>
    <w:rsid w:val="1D3A1AFC"/>
    <w:rsid w:val="1D3C5874"/>
    <w:rsid w:val="1D4110DC"/>
    <w:rsid w:val="1D4209B0"/>
    <w:rsid w:val="1D436B89"/>
    <w:rsid w:val="1D44297A"/>
    <w:rsid w:val="1D483FDB"/>
    <w:rsid w:val="1D4961E3"/>
    <w:rsid w:val="1D4D7A81"/>
    <w:rsid w:val="1D5C5247"/>
    <w:rsid w:val="1D5F77B4"/>
    <w:rsid w:val="1D623FD6"/>
    <w:rsid w:val="1D68099A"/>
    <w:rsid w:val="1D6B43AB"/>
    <w:rsid w:val="1D721295"/>
    <w:rsid w:val="1D795808"/>
    <w:rsid w:val="1D796AC8"/>
    <w:rsid w:val="1D7A45EE"/>
    <w:rsid w:val="1D81597C"/>
    <w:rsid w:val="1D820106"/>
    <w:rsid w:val="1D8334A3"/>
    <w:rsid w:val="1D8B2357"/>
    <w:rsid w:val="1D8D60CF"/>
    <w:rsid w:val="1D9B4C90"/>
    <w:rsid w:val="1D9F120E"/>
    <w:rsid w:val="1DAF6046"/>
    <w:rsid w:val="1DB33130"/>
    <w:rsid w:val="1DB573D4"/>
    <w:rsid w:val="1DBE272D"/>
    <w:rsid w:val="1DC046F7"/>
    <w:rsid w:val="1DC13FCB"/>
    <w:rsid w:val="1DC15D79"/>
    <w:rsid w:val="1DC37908"/>
    <w:rsid w:val="1DC43E7C"/>
    <w:rsid w:val="1DCF493A"/>
    <w:rsid w:val="1DD3020B"/>
    <w:rsid w:val="1DD45AAC"/>
    <w:rsid w:val="1DDB1D29"/>
    <w:rsid w:val="1DDE2DCF"/>
    <w:rsid w:val="1DDF327B"/>
    <w:rsid w:val="1DF35130"/>
    <w:rsid w:val="1DF36DE0"/>
    <w:rsid w:val="1DF61EC7"/>
    <w:rsid w:val="1DF75C3F"/>
    <w:rsid w:val="1E05210A"/>
    <w:rsid w:val="1E053855"/>
    <w:rsid w:val="1E075E82"/>
    <w:rsid w:val="1E080442"/>
    <w:rsid w:val="1E081BFA"/>
    <w:rsid w:val="1E0F0715"/>
    <w:rsid w:val="1E1719F1"/>
    <w:rsid w:val="1E19315B"/>
    <w:rsid w:val="1E197963"/>
    <w:rsid w:val="1E1C364F"/>
    <w:rsid w:val="1E206F43"/>
    <w:rsid w:val="1E236A34"/>
    <w:rsid w:val="1E2401DB"/>
    <w:rsid w:val="1E285DF8"/>
    <w:rsid w:val="1E2A3231"/>
    <w:rsid w:val="1E2B7888"/>
    <w:rsid w:val="1E311151"/>
    <w:rsid w:val="1E320A25"/>
    <w:rsid w:val="1E324BDA"/>
    <w:rsid w:val="1E326C77"/>
    <w:rsid w:val="1E3B1FCF"/>
    <w:rsid w:val="1E3E4A94"/>
    <w:rsid w:val="1E432C32"/>
    <w:rsid w:val="1E4A0577"/>
    <w:rsid w:val="1E507A6A"/>
    <w:rsid w:val="1E5360AD"/>
    <w:rsid w:val="1E5520AD"/>
    <w:rsid w:val="1E650C11"/>
    <w:rsid w:val="1E6A3D0A"/>
    <w:rsid w:val="1E6A4663"/>
    <w:rsid w:val="1E6C2189"/>
    <w:rsid w:val="1E6E167D"/>
    <w:rsid w:val="1E6F1C79"/>
    <w:rsid w:val="1E7053E4"/>
    <w:rsid w:val="1E732AF6"/>
    <w:rsid w:val="1E74103D"/>
    <w:rsid w:val="1E7601F6"/>
    <w:rsid w:val="1E763007"/>
    <w:rsid w:val="1E7740FA"/>
    <w:rsid w:val="1E7777B5"/>
    <w:rsid w:val="1E8F353E"/>
    <w:rsid w:val="1E952A60"/>
    <w:rsid w:val="1E962389"/>
    <w:rsid w:val="1E965458"/>
    <w:rsid w:val="1E98466E"/>
    <w:rsid w:val="1EA5569B"/>
    <w:rsid w:val="1EAA53BD"/>
    <w:rsid w:val="1EAA5F7E"/>
    <w:rsid w:val="1EB12B65"/>
    <w:rsid w:val="1EB458DE"/>
    <w:rsid w:val="1EB51D82"/>
    <w:rsid w:val="1EB7114B"/>
    <w:rsid w:val="1EBA7398"/>
    <w:rsid w:val="1EBD56D7"/>
    <w:rsid w:val="1EBF779B"/>
    <w:rsid w:val="1EC51899"/>
    <w:rsid w:val="1EC61F7E"/>
    <w:rsid w:val="1ECB5101"/>
    <w:rsid w:val="1ECE699F"/>
    <w:rsid w:val="1ED55723"/>
    <w:rsid w:val="1ED61CF8"/>
    <w:rsid w:val="1EDD7BF3"/>
    <w:rsid w:val="1EE0542D"/>
    <w:rsid w:val="1EEC2369"/>
    <w:rsid w:val="1EEE7042"/>
    <w:rsid w:val="1EF32C98"/>
    <w:rsid w:val="1EF731F2"/>
    <w:rsid w:val="1EF81C6E"/>
    <w:rsid w:val="1EFF4DAB"/>
    <w:rsid w:val="1F0233D4"/>
    <w:rsid w:val="1F071EB1"/>
    <w:rsid w:val="1F0C5393"/>
    <w:rsid w:val="1F100B38"/>
    <w:rsid w:val="1F114ADE"/>
    <w:rsid w:val="1F144534"/>
    <w:rsid w:val="1F1A1BE5"/>
    <w:rsid w:val="1F1F12D9"/>
    <w:rsid w:val="1F1F369F"/>
    <w:rsid w:val="1F200CB6"/>
    <w:rsid w:val="1F2629A0"/>
    <w:rsid w:val="1F2E38E2"/>
    <w:rsid w:val="1F310AF0"/>
    <w:rsid w:val="1F32696E"/>
    <w:rsid w:val="1F3507CD"/>
    <w:rsid w:val="1F356A1F"/>
    <w:rsid w:val="1F3A4035"/>
    <w:rsid w:val="1F3D58D3"/>
    <w:rsid w:val="1F3E1D77"/>
    <w:rsid w:val="1F406D35"/>
    <w:rsid w:val="1F4208BD"/>
    <w:rsid w:val="1F435504"/>
    <w:rsid w:val="1F4849A4"/>
    <w:rsid w:val="1F4E631F"/>
    <w:rsid w:val="1F520AA7"/>
    <w:rsid w:val="1F523E3D"/>
    <w:rsid w:val="1F5C4703"/>
    <w:rsid w:val="1F642107"/>
    <w:rsid w:val="1F65294C"/>
    <w:rsid w:val="1F6D440A"/>
    <w:rsid w:val="1F6D7F66"/>
    <w:rsid w:val="1F6E6BD1"/>
    <w:rsid w:val="1F7312F5"/>
    <w:rsid w:val="1F7C289F"/>
    <w:rsid w:val="1F7E34F3"/>
    <w:rsid w:val="1F802125"/>
    <w:rsid w:val="1F8533C6"/>
    <w:rsid w:val="1F857AC5"/>
    <w:rsid w:val="1F874BEF"/>
    <w:rsid w:val="1F880587"/>
    <w:rsid w:val="1F915AAD"/>
    <w:rsid w:val="1F953961"/>
    <w:rsid w:val="1F9C6A9E"/>
    <w:rsid w:val="1F9F033C"/>
    <w:rsid w:val="1FA80990"/>
    <w:rsid w:val="1FAC1F03"/>
    <w:rsid w:val="1FB02549"/>
    <w:rsid w:val="1FB262C1"/>
    <w:rsid w:val="1FBB4BD6"/>
    <w:rsid w:val="1FC67E6E"/>
    <w:rsid w:val="1FC73179"/>
    <w:rsid w:val="1FCC441A"/>
    <w:rsid w:val="1FD61FB0"/>
    <w:rsid w:val="1FDA4F3D"/>
    <w:rsid w:val="1FE43FA1"/>
    <w:rsid w:val="1FE8673D"/>
    <w:rsid w:val="1FEA06DC"/>
    <w:rsid w:val="1FEA5A5B"/>
    <w:rsid w:val="1FEB266B"/>
    <w:rsid w:val="1FF22B62"/>
    <w:rsid w:val="1FF45575"/>
    <w:rsid w:val="1FF82DDD"/>
    <w:rsid w:val="1FF95C9E"/>
    <w:rsid w:val="1FFC12EA"/>
    <w:rsid w:val="1FFE1506"/>
    <w:rsid w:val="20001E79"/>
    <w:rsid w:val="20025C29"/>
    <w:rsid w:val="20036B1D"/>
    <w:rsid w:val="20054643"/>
    <w:rsid w:val="2014250D"/>
    <w:rsid w:val="20146634"/>
    <w:rsid w:val="20256A93"/>
    <w:rsid w:val="20281A15"/>
    <w:rsid w:val="202820DF"/>
    <w:rsid w:val="202C7E22"/>
    <w:rsid w:val="202F60DB"/>
    <w:rsid w:val="202F7912"/>
    <w:rsid w:val="203521EF"/>
    <w:rsid w:val="203E7B55"/>
    <w:rsid w:val="204131A1"/>
    <w:rsid w:val="2042063B"/>
    <w:rsid w:val="2043260B"/>
    <w:rsid w:val="20436F19"/>
    <w:rsid w:val="20476A09"/>
    <w:rsid w:val="204809D3"/>
    <w:rsid w:val="20482782"/>
    <w:rsid w:val="204A0286"/>
    <w:rsid w:val="204C4020"/>
    <w:rsid w:val="204F1D62"/>
    <w:rsid w:val="204F754E"/>
    <w:rsid w:val="2054268B"/>
    <w:rsid w:val="205F1963"/>
    <w:rsid w:val="20664C7C"/>
    <w:rsid w:val="20675279"/>
    <w:rsid w:val="206770AC"/>
    <w:rsid w:val="20683FDF"/>
    <w:rsid w:val="206A7BB0"/>
    <w:rsid w:val="206D0874"/>
    <w:rsid w:val="207215AC"/>
    <w:rsid w:val="207227AC"/>
    <w:rsid w:val="20735A50"/>
    <w:rsid w:val="20757BD3"/>
    <w:rsid w:val="207C0BC6"/>
    <w:rsid w:val="208047DF"/>
    <w:rsid w:val="20827A42"/>
    <w:rsid w:val="20855784"/>
    <w:rsid w:val="208714FC"/>
    <w:rsid w:val="20880DD0"/>
    <w:rsid w:val="2089606E"/>
    <w:rsid w:val="208C08C0"/>
    <w:rsid w:val="20967991"/>
    <w:rsid w:val="20987265"/>
    <w:rsid w:val="209B4FA7"/>
    <w:rsid w:val="209F6ACD"/>
    <w:rsid w:val="20AA51EA"/>
    <w:rsid w:val="20B16579"/>
    <w:rsid w:val="20B72B78"/>
    <w:rsid w:val="20B83B8F"/>
    <w:rsid w:val="20BC32B1"/>
    <w:rsid w:val="20C27542"/>
    <w:rsid w:val="20C31E08"/>
    <w:rsid w:val="20C63871"/>
    <w:rsid w:val="20D02EA3"/>
    <w:rsid w:val="20D858B3"/>
    <w:rsid w:val="20DD111C"/>
    <w:rsid w:val="20E20B77"/>
    <w:rsid w:val="20E6069B"/>
    <w:rsid w:val="20E93CF9"/>
    <w:rsid w:val="20F344A7"/>
    <w:rsid w:val="20F876CC"/>
    <w:rsid w:val="20FB5A46"/>
    <w:rsid w:val="21004E0A"/>
    <w:rsid w:val="211516F9"/>
    <w:rsid w:val="211A595D"/>
    <w:rsid w:val="211C60E8"/>
    <w:rsid w:val="211F34E2"/>
    <w:rsid w:val="21254871"/>
    <w:rsid w:val="212E5E1B"/>
    <w:rsid w:val="212F35D3"/>
    <w:rsid w:val="21332BF6"/>
    <w:rsid w:val="21335A60"/>
    <w:rsid w:val="21355D53"/>
    <w:rsid w:val="2137484A"/>
    <w:rsid w:val="213A6642"/>
    <w:rsid w:val="213B02EA"/>
    <w:rsid w:val="214473ED"/>
    <w:rsid w:val="21464F13"/>
    <w:rsid w:val="214921EE"/>
    <w:rsid w:val="214B077B"/>
    <w:rsid w:val="214C004F"/>
    <w:rsid w:val="214C5BB9"/>
    <w:rsid w:val="214D40AF"/>
    <w:rsid w:val="214E3DC8"/>
    <w:rsid w:val="215533A8"/>
    <w:rsid w:val="21570ECE"/>
    <w:rsid w:val="215D18CE"/>
    <w:rsid w:val="21696E53"/>
    <w:rsid w:val="216C71A5"/>
    <w:rsid w:val="216D40E2"/>
    <w:rsid w:val="217001E2"/>
    <w:rsid w:val="2175165B"/>
    <w:rsid w:val="2178556E"/>
    <w:rsid w:val="21802EDB"/>
    <w:rsid w:val="21812D83"/>
    <w:rsid w:val="21821CC3"/>
    <w:rsid w:val="21863561"/>
    <w:rsid w:val="21865B5C"/>
    <w:rsid w:val="21871088"/>
    <w:rsid w:val="21883DF2"/>
    <w:rsid w:val="21920158"/>
    <w:rsid w:val="219739C1"/>
    <w:rsid w:val="219852BC"/>
    <w:rsid w:val="21B14034"/>
    <w:rsid w:val="21B209BC"/>
    <w:rsid w:val="21B24356"/>
    <w:rsid w:val="21B55BF5"/>
    <w:rsid w:val="21B72F49"/>
    <w:rsid w:val="21B87493"/>
    <w:rsid w:val="21BA320B"/>
    <w:rsid w:val="21C23786"/>
    <w:rsid w:val="21C546AF"/>
    <w:rsid w:val="21C771CB"/>
    <w:rsid w:val="21C834F2"/>
    <w:rsid w:val="21C916A0"/>
    <w:rsid w:val="21D00C81"/>
    <w:rsid w:val="21D342CD"/>
    <w:rsid w:val="21D50045"/>
    <w:rsid w:val="21D54BE8"/>
    <w:rsid w:val="21D6072F"/>
    <w:rsid w:val="21D70DF2"/>
    <w:rsid w:val="21D850A8"/>
    <w:rsid w:val="21DD4411"/>
    <w:rsid w:val="21DD6EFA"/>
    <w:rsid w:val="21DE0075"/>
    <w:rsid w:val="21DF2B92"/>
    <w:rsid w:val="21E06673"/>
    <w:rsid w:val="21E34462"/>
    <w:rsid w:val="21E62252"/>
    <w:rsid w:val="21E834B8"/>
    <w:rsid w:val="21EF529B"/>
    <w:rsid w:val="21F262FA"/>
    <w:rsid w:val="21F42BC1"/>
    <w:rsid w:val="21F46766"/>
    <w:rsid w:val="21F82C20"/>
    <w:rsid w:val="21FD6F30"/>
    <w:rsid w:val="22010E3A"/>
    <w:rsid w:val="220628F4"/>
    <w:rsid w:val="220A23E4"/>
    <w:rsid w:val="221079EE"/>
    <w:rsid w:val="22145011"/>
    <w:rsid w:val="22295FF0"/>
    <w:rsid w:val="222D60D3"/>
    <w:rsid w:val="22405491"/>
    <w:rsid w:val="22405E06"/>
    <w:rsid w:val="224376A4"/>
    <w:rsid w:val="224F3AF6"/>
    <w:rsid w:val="22555D56"/>
    <w:rsid w:val="225658D2"/>
    <w:rsid w:val="22573150"/>
    <w:rsid w:val="225B4C6A"/>
    <w:rsid w:val="225E628C"/>
    <w:rsid w:val="226A7D59"/>
    <w:rsid w:val="226B7745"/>
    <w:rsid w:val="22714212"/>
    <w:rsid w:val="22720BE8"/>
    <w:rsid w:val="22725764"/>
    <w:rsid w:val="22726DE9"/>
    <w:rsid w:val="227774A2"/>
    <w:rsid w:val="227C430C"/>
    <w:rsid w:val="228026A7"/>
    <w:rsid w:val="22810FF0"/>
    <w:rsid w:val="22812EA5"/>
    <w:rsid w:val="228201CD"/>
    <w:rsid w:val="2297354C"/>
    <w:rsid w:val="229D4C42"/>
    <w:rsid w:val="22A548BF"/>
    <w:rsid w:val="22AA3E2A"/>
    <w:rsid w:val="22AA5B91"/>
    <w:rsid w:val="22AF4D3A"/>
    <w:rsid w:val="22B20386"/>
    <w:rsid w:val="22B45E4A"/>
    <w:rsid w:val="22C424D8"/>
    <w:rsid w:val="22CA1B74"/>
    <w:rsid w:val="22CC2973"/>
    <w:rsid w:val="22CC31F6"/>
    <w:rsid w:val="22D12F02"/>
    <w:rsid w:val="22D21279"/>
    <w:rsid w:val="22D56F29"/>
    <w:rsid w:val="22D622C7"/>
    <w:rsid w:val="22D84291"/>
    <w:rsid w:val="22DD18A7"/>
    <w:rsid w:val="22EB4219"/>
    <w:rsid w:val="22EC5646"/>
    <w:rsid w:val="22EE5862"/>
    <w:rsid w:val="22EE7610"/>
    <w:rsid w:val="22EF5136"/>
    <w:rsid w:val="22F24E88"/>
    <w:rsid w:val="22F56BF1"/>
    <w:rsid w:val="22F83FEB"/>
    <w:rsid w:val="22F95FB5"/>
    <w:rsid w:val="23030CDE"/>
    <w:rsid w:val="23040BE2"/>
    <w:rsid w:val="23046E34"/>
    <w:rsid w:val="2309444A"/>
    <w:rsid w:val="230B325A"/>
    <w:rsid w:val="230E0DDE"/>
    <w:rsid w:val="23113B92"/>
    <w:rsid w:val="231346A0"/>
    <w:rsid w:val="23156CA6"/>
    <w:rsid w:val="23160915"/>
    <w:rsid w:val="2316669C"/>
    <w:rsid w:val="23177DA7"/>
    <w:rsid w:val="23193975"/>
    <w:rsid w:val="231F1523"/>
    <w:rsid w:val="23214815"/>
    <w:rsid w:val="23244207"/>
    <w:rsid w:val="232474D6"/>
    <w:rsid w:val="23250D8E"/>
    <w:rsid w:val="2329689A"/>
    <w:rsid w:val="232F3539"/>
    <w:rsid w:val="23306AD2"/>
    <w:rsid w:val="23333275"/>
    <w:rsid w:val="233429F8"/>
    <w:rsid w:val="23353491"/>
    <w:rsid w:val="2335523F"/>
    <w:rsid w:val="233B57DA"/>
    <w:rsid w:val="233C3173"/>
    <w:rsid w:val="234021A7"/>
    <w:rsid w:val="23476D20"/>
    <w:rsid w:val="234807AD"/>
    <w:rsid w:val="23496F3C"/>
    <w:rsid w:val="234B4BA4"/>
    <w:rsid w:val="234D4382"/>
    <w:rsid w:val="234E4553"/>
    <w:rsid w:val="23530B52"/>
    <w:rsid w:val="23571659"/>
    <w:rsid w:val="23576130"/>
    <w:rsid w:val="23580F2E"/>
    <w:rsid w:val="2358620C"/>
    <w:rsid w:val="235C5307"/>
    <w:rsid w:val="235F406A"/>
    <w:rsid w:val="236B0C61"/>
    <w:rsid w:val="2378337E"/>
    <w:rsid w:val="237D0994"/>
    <w:rsid w:val="23814D41"/>
    <w:rsid w:val="2382254A"/>
    <w:rsid w:val="23856442"/>
    <w:rsid w:val="23856963"/>
    <w:rsid w:val="238F70F2"/>
    <w:rsid w:val="239A32F4"/>
    <w:rsid w:val="239D3B15"/>
    <w:rsid w:val="23A233FC"/>
    <w:rsid w:val="23A40A09"/>
    <w:rsid w:val="23AD74CB"/>
    <w:rsid w:val="23AE0B4E"/>
    <w:rsid w:val="23BA5744"/>
    <w:rsid w:val="23C045EA"/>
    <w:rsid w:val="23C16AD3"/>
    <w:rsid w:val="23C30A9D"/>
    <w:rsid w:val="23C860B3"/>
    <w:rsid w:val="23C87DB4"/>
    <w:rsid w:val="23C87E61"/>
    <w:rsid w:val="23D26A5D"/>
    <w:rsid w:val="23D42CAA"/>
    <w:rsid w:val="23D44908"/>
    <w:rsid w:val="23DD283A"/>
    <w:rsid w:val="23E6478B"/>
    <w:rsid w:val="23EB4A8F"/>
    <w:rsid w:val="23ED5B1A"/>
    <w:rsid w:val="23EE50C5"/>
    <w:rsid w:val="23EF1892"/>
    <w:rsid w:val="23F23130"/>
    <w:rsid w:val="23F46EA8"/>
    <w:rsid w:val="23F92711"/>
    <w:rsid w:val="23FC3FAF"/>
    <w:rsid w:val="23FF22F1"/>
    <w:rsid w:val="23FF7120"/>
    <w:rsid w:val="24030E99"/>
    <w:rsid w:val="240E783E"/>
    <w:rsid w:val="240F5A90"/>
    <w:rsid w:val="24101808"/>
    <w:rsid w:val="241237D2"/>
    <w:rsid w:val="24142E2D"/>
    <w:rsid w:val="24181502"/>
    <w:rsid w:val="241A2687"/>
    <w:rsid w:val="241C6D06"/>
    <w:rsid w:val="242078E6"/>
    <w:rsid w:val="24252D20"/>
    <w:rsid w:val="24257F68"/>
    <w:rsid w:val="24275B83"/>
    <w:rsid w:val="242A3FC1"/>
    <w:rsid w:val="242B219E"/>
    <w:rsid w:val="242B4894"/>
    <w:rsid w:val="242D4168"/>
    <w:rsid w:val="242E3CA9"/>
    <w:rsid w:val="2432177F"/>
    <w:rsid w:val="2435301D"/>
    <w:rsid w:val="243C084F"/>
    <w:rsid w:val="243D186F"/>
    <w:rsid w:val="243D6C86"/>
    <w:rsid w:val="244119C2"/>
    <w:rsid w:val="244427D2"/>
    <w:rsid w:val="244514B2"/>
    <w:rsid w:val="244B3E67"/>
    <w:rsid w:val="244D0366"/>
    <w:rsid w:val="244E1F2B"/>
    <w:rsid w:val="246170B5"/>
    <w:rsid w:val="246F29D3"/>
    <w:rsid w:val="247022A7"/>
    <w:rsid w:val="247E49C4"/>
    <w:rsid w:val="248D27F1"/>
    <w:rsid w:val="24910197"/>
    <w:rsid w:val="2491511F"/>
    <w:rsid w:val="24971B7A"/>
    <w:rsid w:val="24981981"/>
    <w:rsid w:val="249A1700"/>
    <w:rsid w:val="249D7540"/>
    <w:rsid w:val="24A02B8C"/>
    <w:rsid w:val="24AB04CD"/>
    <w:rsid w:val="24B16B47"/>
    <w:rsid w:val="24B25E39"/>
    <w:rsid w:val="24B30B11"/>
    <w:rsid w:val="24BE74B6"/>
    <w:rsid w:val="24C148B0"/>
    <w:rsid w:val="24C22B02"/>
    <w:rsid w:val="24C7636B"/>
    <w:rsid w:val="24CC572F"/>
    <w:rsid w:val="24CC61B5"/>
    <w:rsid w:val="24CE1719"/>
    <w:rsid w:val="24CF3818"/>
    <w:rsid w:val="24D377A4"/>
    <w:rsid w:val="24D40A88"/>
    <w:rsid w:val="24D91E5B"/>
    <w:rsid w:val="24DB2419"/>
    <w:rsid w:val="24DC2FA8"/>
    <w:rsid w:val="24E32A79"/>
    <w:rsid w:val="24E4577E"/>
    <w:rsid w:val="24EA62D3"/>
    <w:rsid w:val="24F45DA8"/>
    <w:rsid w:val="24F7089A"/>
    <w:rsid w:val="24FB7DC2"/>
    <w:rsid w:val="25080A70"/>
    <w:rsid w:val="2509234F"/>
    <w:rsid w:val="25097A2E"/>
    <w:rsid w:val="25105380"/>
    <w:rsid w:val="25177E77"/>
    <w:rsid w:val="251F256B"/>
    <w:rsid w:val="25204960"/>
    <w:rsid w:val="252217F3"/>
    <w:rsid w:val="25270BB7"/>
    <w:rsid w:val="25284930"/>
    <w:rsid w:val="252C08C4"/>
    <w:rsid w:val="252F5CBE"/>
    <w:rsid w:val="25306EC1"/>
    <w:rsid w:val="2543028D"/>
    <w:rsid w:val="25430923"/>
    <w:rsid w:val="25441DB3"/>
    <w:rsid w:val="25461985"/>
    <w:rsid w:val="254A0D4A"/>
    <w:rsid w:val="254C2D14"/>
    <w:rsid w:val="2551032A"/>
    <w:rsid w:val="25517DB9"/>
    <w:rsid w:val="2552184A"/>
    <w:rsid w:val="256040C9"/>
    <w:rsid w:val="25606176"/>
    <w:rsid w:val="25633CC8"/>
    <w:rsid w:val="25641E0C"/>
    <w:rsid w:val="25653D41"/>
    <w:rsid w:val="256853E6"/>
    <w:rsid w:val="25697422"/>
    <w:rsid w:val="256E54B1"/>
    <w:rsid w:val="256E5AD6"/>
    <w:rsid w:val="256E67E6"/>
    <w:rsid w:val="256E7B04"/>
    <w:rsid w:val="257532E6"/>
    <w:rsid w:val="25753ECD"/>
    <w:rsid w:val="257A162F"/>
    <w:rsid w:val="257C53A7"/>
    <w:rsid w:val="258461CA"/>
    <w:rsid w:val="2584633F"/>
    <w:rsid w:val="25875AFA"/>
    <w:rsid w:val="258B55EA"/>
    <w:rsid w:val="25910727"/>
    <w:rsid w:val="259676C3"/>
    <w:rsid w:val="259D70CC"/>
    <w:rsid w:val="259F45C7"/>
    <w:rsid w:val="25AC3881"/>
    <w:rsid w:val="25AD37B3"/>
    <w:rsid w:val="25B06DFF"/>
    <w:rsid w:val="25B12B88"/>
    <w:rsid w:val="25B52667"/>
    <w:rsid w:val="25B83F05"/>
    <w:rsid w:val="25C1725E"/>
    <w:rsid w:val="25C24D84"/>
    <w:rsid w:val="25CA054A"/>
    <w:rsid w:val="25CB2A91"/>
    <w:rsid w:val="25D30D3F"/>
    <w:rsid w:val="25D80104"/>
    <w:rsid w:val="25D93D16"/>
    <w:rsid w:val="25DD571A"/>
    <w:rsid w:val="25E46AA9"/>
    <w:rsid w:val="25EB7E37"/>
    <w:rsid w:val="25EE3EFB"/>
    <w:rsid w:val="25F13A3B"/>
    <w:rsid w:val="25F17D3C"/>
    <w:rsid w:val="25F25669"/>
    <w:rsid w:val="25FE4476"/>
    <w:rsid w:val="26062EC3"/>
    <w:rsid w:val="26145F14"/>
    <w:rsid w:val="261C6242"/>
    <w:rsid w:val="261E645E"/>
    <w:rsid w:val="26247945"/>
    <w:rsid w:val="26270918"/>
    <w:rsid w:val="262D7B45"/>
    <w:rsid w:val="26307F40"/>
    <w:rsid w:val="263A491A"/>
    <w:rsid w:val="263F660E"/>
    <w:rsid w:val="264048FF"/>
    <w:rsid w:val="26435EC5"/>
    <w:rsid w:val="26461511"/>
    <w:rsid w:val="264D0AF2"/>
    <w:rsid w:val="265055A1"/>
    <w:rsid w:val="26510A26"/>
    <w:rsid w:val="26511F09"/>
    <w:rsid w:val="2651202D"/>
    <w:rsid w:val="26541E80"/>
    <w:rsid w:val="26555BF8"/>
    <w:rsid w:val="265949C5"/>
    <w:rsid w:val="265C0D35"/>
    <w:rsid w:val="265C2AE3"/>
    <w:rsid w:val="2668592C"/>
    <w:rsid w:val="266876DA"/>
    <w:rsid w:val="266B71CA"/>
    <w:rsid w:val="2674499C"/>
    <w:rsid w:val="2677280B"/>
    <w:rsid w:val="26773DC1"/>
    <w:rsid w:val="267872EA"/>
    <w:rsid w:val="267B5AC6"/>
    <w:rsid w:val="267C27E8"/>
    <w:rsid w:val="267E5A4E"/>
    <w:rsid w:val="26800618"/>
    <w:rsid w:val="26861EA8"/>
    <w:rsid w:val="26881050"/>
    <w:rsid w:val="2688125E"/>
    <w:rsid w:val="26887D7C"/>
    <w:rsid w:val="268D1D9C"/>
    <w:rsid w:val="268D7140"/>
    <w:rsid w:val="269E759F"/>
    <w:rsid w:val="26A1499A"/>
    <w:rsid w:val="26A55AEA"/>
    <w:rsid w:val="26AF5308"/>
    <w:rsid w:val="26B26BA7"/>
    <w:rsid w:val="26B4502E"/>
    <w:rsid w:val="26B91C40"/>
    <w:rsid w:val="26B91CE3"/>
    <w:rsid w:val="26BE19EF"/>
    <w:rsid w:val="26C012C4"/>
    <w:rsid w:val="26C03072"/>
    <w:rsid w:val="26C3198C"/>
    <w:rsid w:val="26C40474"/>
    <w:rsid w:val="26CA0394"/>
    <w:rsid w:val="26CA1791"/>
    <w:rsid w:val="26CA2142"/>
    <w:rsid w:val="26CD578F"/>
    <w:rsid w:val="26CE0EB6"/>
    <w:rsid w:val="26CE3CBD"/>
    <w:rsid w:val="26CF7759"/>
    <w:rsid w:val="26D20FF7"/>
    <w:rsid w:val="26D46B1D"/>
    <w:rsid w:val="26DE174A"/>
    <w:rsid w:val="26E52AD8"/>
    <w:rsid w:val="26EC030B"/>
    <w:rsid w:val="26EC0FC9"/>
    <w:rsid w:val="26EE0F6E"/>
    <w:rsid w:val="26F50752"/>
    <w:rsid w:val="26FB26FB"/>
    <w:rsid w:val="27042DFE"/>
    <w:rsid w:val="27062195"/>
    <w:rsid w:val="27077C17"/>
    <w:rsid w:val="2709648F"/>
    <w:rsid w:val="270D57BC"/>
    <w:rsid w:val="27116C4A"/>
    <w:rsid w:val="271B0BF0"/>
    <w:rsid w:val="271C4A6F"/>
    <w:rsid w:val="271F27F9"/>
    <w:rsid w:val="27230EF8"/>
    <w:rsid w:val="2729330D"/>
    <w:rsid w:val="272C345A"/>
    <w:rsid w:val="27386B1B"/>
    <w:rsid w:val="273B094A"/>
    <w:rsid w:val="27402404"/>
    <w:rsid w:val="27406B3E"/>
    <w:rsid w:val="274243CE"/>
    <w:rsid w:val="27441EF5"/>
    <w:rsid w:val="2749405A"/>
    <w:rsid w:val="274A3283"/>
    <w:rsid w:val="274E53E9"/>
    <w:rsid w:val="274E7569"/>
    <w:rsid w:val="275639D6"/>
    <w:rsid w:val="275814FC"/>
    <w:rsid w:val="275B2A8B"/>
    <w:rsid w:val="275C602C"/>
    <w:rsid w:val="275F3C2F"/>
    <w:rsid w:val="27651060"/>
    <w:rsid w:val="27675BE3"/>
    <w:rsid w:val="276E106B"/>
    <w:rsid w:val="27734657"/>
    <w:rsid w:val="277A2B40"/>
    <w:rsid w:val="277D7BBD"/>
    <w:rsid w:val="277E547B"/>
    <w:rsid w:val="27895B59"/>
    <w:rsid w:val="278B3CFB"/>
    <w:rsid w:val="278E34D5"/>
    <w:rsid w:val="278F197C"/>
    <w:rsid w:val="278F2052"/>
    <w:rsid w:val="27910EB2"/>
    <w:rsid w:val="27914CC8"/>
    <w:rsid w:val="27980EE6"/>
    <w:rsid w:val="27985C5A"/>
    <w:rsid w:val="27987D44"/>
    <w:rsid w:val="27A04C51"/>
    <w:rsid w:val="27A22094"/>
    <w:rsid w:val="27A504B9"/>
    <w:rsid w:val="27B178DB"/>
    <w:rsid w:val="27B4797D"/>
    <w:rsid w:val="27B70919"/>
    <w:rsid w:val="27C44DE4"/>
    <w:rsid w:val="27C81134"/>
    <w:rsid w:val="27CB43C4"/>
    <w:rsid w:val="27CD17A0"/>
    <w:rsid w:val="27D33279"/>
    <w:rsid w:val="27E00166"/>
    <w:rsid w:val="27E608AA"/>
    <w:rsid w:val="27E760BE"/>
    <w:rsid w:val="27E77AE7"/>
    <w:rsid w:val="27E965F8"/>
    <w:rsid w:val="27EB411E"/>
    <w:rsid w:val="27EC0C1C"/>
    <w:rsid w:val="27F136FF"/>
    <w:rsid w:val="27F16796"/>
    <w:rsid w:val="280254F9"/>
    <w:rsid w:val="280451E0"/>
    <w:rsid w:val="280B656E"/>
    <w:rsid w:val="280C22E7"/>
    <w:rsid w:val="281126D2"/>
    <w:rsid w:val="2812669E"/>
    <w:rsid w:val="281318C7"/>
    <w:rsid w:val="28153891"/>
    <w:rsid w:val="28223279"/>
    <w:rsid w:val="28277120"/>
    <w:rsid w:val="282C3046"/>
    <w:rsid w:val="283006CB"/>
    <w:rsid w:val="283261F1"/>
    <w:rsid w:val="28327F9F"/>
    <w:rsid w:val="28355CE1"/>
    <w:rsid w:val="283642C0"/>
    <w:rsid w:val="283850E7"/>
    <w:rsid w:val="283C20C5"/>
    <w:rsid w:val="283D64A2"/>
    <w:rsid w:val="283F3F0B"/>
    <w:rsid w:val="284101E2"/>
    <w:rsid w:val="28416434"/>
    <w:rsid w:val="284B2E0F"/>
    <w:rsid w:val="284C7BD1"/>
    <w:rsid w:val="28513664"/>
    <w:rsid w:val="285E08FB"/>
    <w:rsid w:val="28643ED1"/>
    <w:rsid w:val="2864429F"/>
    <w:rsid w:val="2869656D"/>
    <w:rsid w:val="286A598B"/>
    <w:rsid w:val="286D0FD7"/>
    <w:rsid w:val="286F11F3"/>
    <w:rsid w:val="287158E1"/>
    <w:rsid w:val="288D4E09"/>
    <w:rsid w:val="2890116A"/>
    <w:rsid w:val="289335D2"/>
    <w:rsid w:val="2897781E"/>
    <w:rsid w:val="289D5315"/>
    <w:rsid w:val="28A30E9D"/>
    <w:rsid w:val="28A33EF2"/>
    <w:rsid w:val="28A644E9"/>
    <w:rsid w:val="28A70580"/>
    <w:rsid w:val="28B5472C"/>
    <w:rsid w:val="28C826B1"/>
    <w:rsid w:val="28C84508"/>
    <w:rsid w:val="28D22E07"/>
    <w:rsid w:val="28D472A8"/>
    <w:rsid w:val="28D64DCE"/>
    <w:rsid w:val="28E76FDC"/>
    <w:rsid w:val="28EB280F"/>
    <w:rsid w:val="28F129DA"/>
    <w:rsid w:val="28F6721F"/>
    <w:rsid w:val="28FA11C6"/>
    <w:rsid w:val="28FB65E3"/>
    <w:rsid w:val="28FC3D85"/>
    <w:rsid w:val="29012F2F"/>
    <w:rsid w:val="29017971"/>
    <w:rsid w:val="2903193C"/>
    <w:rsid w:val="29053FDD"/>
    <w:rsid w:val="290C194A"/>
    <w:rsid w:val="29107616"/>
    <w:rsid w:val="29143B49"/>
    <w:rsid w:val="291507CC"/>
    <w:rsid w:val="291D0C4F"/>
    <w:rsid w:val="29205437"/>
    <w:rsid w:val="292673D8"/>
    <w:rsid w:val="292813D7"/>
    <w:rsid w:val="29295ABC"/>
    <w:rsid w:val="292F1638"/>
    <w:rsid w:val="29347D47"/>
    <w:rsid w:val="293715E5"/>
    <w:rsid w:val="29387837"/>
    <w:rsid w:val="2939710B"/>
    <w:rsid w:val="294423CE"/>
    <w:rsid w:val="2952220B"/>
    <w:rsid w:val="2953360C"/>
    <w:rsid w:val="2956655C"/>
    <w:rsid w:val="29580844"/>
    <w:rsid w:val="295D54F0"/>
    <w:rsid w:val="295E3016"/>
    <w:rsid w:val="296A5517"/>
    <w:rsid w:val="296D6FCD"/>
    <w:rsid w:val="29713932"/>
    <w:rsid w:val="2976210D"/>
    <w:rsid w:val="297A7E50"/>
    <w:rsid w:val="297E0A40"/>
    <w:rsid w:val="298C7710"/>
    <w:rsid w:val="298F4ADE"/>
    <w:rsid w:val="29910CF5"/>
    <w:rsid w:val="299172C0"/>
    <w:rsid w:val="29945C1B"/>
    <w:rsid w:val="299971E9"/>
    <w:rsid w:val="299A22A0"/>
    <w:rsid w:val="299D2868"/>
    <w:rsid w:val="29A24CB1"/>
    <w:rsid w:val="29A66B9A"/>
    <w:rsid w:val="29AC5B2F"/>
    <w:rsid w:val="29AE18A7"/>
    <w:rsid w:val="29B637AA"/>
    <w:rsid w:val="29BA12B6"/>
    <w:rsid w:val="29BD1AEA"/>
    <w:rsid w:val="29BF7550"/>
    <w:rsid w:val="29C015DB"/>
    <w:rsid w:val="29C03740"/>
    <w:rsid w:val="29C279C5"/>
    <w:rsid w:val="29C410CB"/>
    <w:rsid w:val="29C72969"/>
    <w:rsid w:val="29CE6523"/>
    <w:rsid w:val="29D15E68"/>
    <w:rsid w:val="29DA269C"/>
    <w:rsid w:val="29E11888"/>
    <w:rsid w:val="29E15FE8"/>
    <w:rsid w:val="29E3170A"/>
    <w:rsid w:val="29E4351B"/>
    <w:rsid w:val="29E7300B"/>
    <w:rsid w:val="29ED77F7"/>
    <w:rsid w:val="29F04FFF"/>
    <w:rsid w:val="29F27FD8"/>
    <w:rsid w:val="29FA20DA"/>
    <w:rsid w:val="29FA4AED"/>
    <w:rsid w:val="29FB0865"/>
    <w:rsid w:val="29FF7627"/>
    <w:rsid w:val="2A037518"/>
    <w:rsid w:val="2A0906BF"/>
    <w:rsid w:val="2A0E1D29"/>
    <w:rsid w:val="2A151926"/>
    <w:rsid w:val="2A15428B"/>
    <w:rsid w:val="2A1831C5"/>
    <w:rsid w:val="2A186EBC"/>
    <w:rsid w:val="2A1C0F07"/>
    <w:rsid w:val="2A1E357C"/>
    <w:rsid w:val="2A1F6221"/>
    <w:rsid w:val="2A22343E"/>
    <w:rsid w:val="2A241B69"/>
    <w:rsid w:val="2A2D61F0"/>
    <w:rsid w:val="2A3A7521"/>
    <w:rsid w:val="2A485F9A"/>
    <w:rsid w:val="2A4B62ED"/>
    <w:rsid w:val="2A510485"/>
    <w:rsid w:val="2A513B27"/>
    <w:rsid w:val="2A5A03AF"/>
    <w:rsid w:val="2A5A71A5"/>
    <w:rsid w:val="2A5D711A"/>
    <w:rsid w:val="2A5F28B7"/>
    <w:rsid w:val="2A612DBE"/>
    <w:rsid w:val="2A663F30"/>
    <w:rsid w:val="2A6B4835"/>
    <w:rsid w:val="2A6D1762"/>
    <w:rsid w:val="2A720B27"/>
    <w:rsid w:val="2A7D127A"/>
    <w:rsid w:val="2A832D34"/>
    <w:rsid w:val="2A8354A3"/>
    <w:rsid w:val="2A856A1C"/>
    <w:rsid w:val="2A8820F8"/>
    <w:rsid w:val="2A8B1BE9"/>
    <w:rsid w:val="2A97233B"/>
    <w:rsid w:val="2A9F164A"/>
    <w:rsid w:val="2A9F38E6"/>
    <w:rsid w:val="2AA767FC"/>
    <w:rsid w:val="2AA77572"/>
    <w:rsid w:val="2AA812D6"/>
    <w:rsid w:val="2AA84549"/>
    <w:rsid w:val="2AA902C1"/>
    <w:rsid w:val="2AA9206F"/>
    <w:rsid w:val="2AA96A88"/>
    <w:rsid w:val="2AAE22F1"/>
    <w:rsid w:val="2AB00E6E"/>
    <w:rsid w:val="2AB40F49"/>
    <w:rsid w:val="2AB63109"/>
    <w:rsid w:val="2AB87401"/>
    <w:rsid w:val="2AC46EA9"/>
    <w:rsid w:val="2AC84BEB"/>
    <w:rsid w:val="2ACA6CA5"/>
    <w:rsid w:val="2ACB46DB"/>
    <w:rsid w:val="2ACB6D8B"/>
    <w:rsid w:val="2AD92835"/>
    <w:rsid w:val="2ADD734B"/>
    <w:rsid w:val="2AE01EFD"/>
    <w:rsid w:val="2AE83B8F"/>
    <w:rsid w:val="2AF21C68"/>
    <w:rsid w:val="2AF404DD"/>
    <w:rsid w:val="2AF4502B"/>
    <w:rsid w:val="2B033E75"/>
    <w:rsid w:val="2B05115E"/>
    <w:rsid w:val="2B064784"/>
    <w:rsid w:val="2B0771A6"/>
    <w:rsid w:val="2B0A07D4"/>
    <w:rsid w:val="2B0D0850"/>
    <w:rsid w:val="2B1B2F6C"/>
    <w:rsid w:val="2B203ED0"/>
    <w:rsid w:val="2B332331"/>
    <w:rsid w:val="2B347656"/>
    <w:rsid w:val="2B394B81"/>
    <w:rsid w:val="2B3B716B"/>
    <w:rsid w:val="2B4008AA"/>
    <w:rsid w:val="2B464ADA"/>
    <w:rsid w:val="2B47039E"/>
    <w:rsid w:val="2B4A6A01"/>
    <w:rsid w:val="2B4F2C16"/>
    <w:rsid w:val="2B51698E"/>
    <w:rsid w:val="2B560448"/>
    <w:rsid w:val="2B59251B"/>
    <w:rsid w:val="2B593A95"/>
    <w:rsid w:val="2B5E2B0A"/>
    <w:rsid w:val="2B607D2C"/>
    <w:rsid w:val="2B644C3D"/>
    <w:rsid w:val="2B6A1814"/>
    <w:rsid w:val="2B6C1A1A"/>
    <w:rsid w:val="2B6D775F"/>
    <w:rsid w:val="2B74267D"/>
    <w:rsid w:val="2B7A2CC6"/>
    <w:rsid w:val="2B7B3A0B"/>
    <w:rsid w:val="2B7B7EAF"/>
    <w:rsid w:val="2B7D07AF"/>
    <w:rsid w:val="2B8235DF"/>
    <w:rsid w:val="2B856638"/>
    <w:rsid w:val="2B8723B0"/>
    <w:rsid w:val="2B8A00F2"/>
    <w:rsid w:val="2B8C5C18"/>
    <w:rsid w:val="2B8F74B6"/>
    <w:rsid w:val="2B9D7E25"/>
    <w:rsid w:val="2BA42EFC"/>
    <w:rsid w:val="2BA51F9A"/>
    <w:rsid w:val="2BA72A52"/>
    <w:rsid w:val="2BA83950"/>
    <w:rsid w:val="2BAC3997"/>
    <w:rsid w:val="2BB138E5"/>
    <w:rsid w:val="2BB331A5"/>
    <w:rsid w:val="2BB445C1"/>
    <w:rsid w:val="2BB533C1"/>
    <w:rsid w:val="2BB5659B"/>
    <w:rsid w:val="2BCB017A"/>
    <w:rsid w:val="2BD65BF0"/>
    <w:rsid w:val="2BD85056"/>
    <w:rsid w:val="2BD91CA5"/>
    <w:rsid w:val="2BE02651"/>
    <w:rsid w:val="2BE02C74"/>
    <w:rsid w:val="2BE07D12"/>
    <w:rsid w:val="2BE313BE"/>
    <w:rsid w:val="2BF11F1F"/>
    <w:rsid w:val="2BF37A45"/>
    <w:rsid w:val="2BF51A0F"/>
    <w:rsid w:val="2BFF63EA"/>
    <w:rsid w:val="2C04335F"/>
    <w:rsid w:val="2C0B1233"/>
    <w:rsid w:val="2C1005F7"/>
    <w:rsid w:val="2C136339"/>
    <w:rsid w:val="2C1B33C6"/>
    <w:rsid w:val="2C223730"/>
    <w:rsid w:val="2C267E1B"/>
    <w:rsid w:val="2C2F3578"/>
    <w:rsid w:val="2C3122B9"/>
    <w:rsid w:val="2C351E0C"/>
    <w:rsid w:val="2C3C763E"/>
    <w:rsid w:val="2C42277B"/>
    <w:rsid w:val="2C44184F"/>
    <w:rsid w:val="2C4446B7"/>
    <w:rsid w:val="2C463234"/>
    <w:rsid w:val="2C4C35F9"/>
    <w:rsid w:val="2C506C46"/>
    <w:rsid w:val="2C563D6E"/>
    <w:rsid w:val="2C5B775C"/>
    <w:rsid w:val="2C6421B7"/>
    <w:rsid w:val="2C6E757B"/>
    <w:rsid w:val="2C721027"/>
    <w:rsid w:val="2C723060"/>
    <w:rsid w:val="2C772424"/>
    <w:rsid w:val="2C866B0B"/>
    <w:rsid w:val="2C8D7E9A"/>
    <w:rsid w:val="2C932FD6"/>
    <w:rsid w:val="2C934D84"/>
    <w:rsid w:val="2C950AFD"/>
    <w:rsid w:val="2C9C632F"/>
    <w:rsid w:val="2C9D5C03"/>
    <w:rsid w:val="2CA64AB8"/>
    <w:rsid w:val="2CB847EB"/>
    <w:rsid w:val="2CB9597D"/>
    <w:rsid w:val="2CBA540D"/>
    <w:rsid w:val="2CBB49CC"/>
    <w:rsid w:val="2CC07376"/>
    <w:rsid w:val="2CC2469D"/>
    <w:rsid w:val="2CC779C2"/>
    <w:rsid w:val="2CCC3583"/>
    <w:rsid w:val="2CD177B2"/>
    <w:rsid w:val="2CD33B58"/>
    <w:rsid w:val="2CD97296"/>
    <w:rsid w:val="2CDA259B"/>
    <w:rsid w:val="2CDF446E"/>
    <w:rsid w:val="2CE64163"/>
    <w:rsid w:val="2CE73C42"/>
    <w:rsid w:val="2CE83322"/>
    <w:rsid w:val="2CED0939"/>
    <w:rsid w:val="2CEE645F"/>
    <w:rsid w:val="2CF13919"/>
    <w:rsid w:val="2CFA3055"/>
    <w:rsid w:val="2CFF066C"/>
    <w:rsid w:val="2D016192"/>
    <w:rsid w:val="2D067C4C"/>
    <w:rsid w:val="2D080026"/>
    <w:rsid w:val="2D097767"/>
    <w:rsid w:val="2D154586"/>
    <w:rsid w:val="2D173BB4"/>
    <w:rsid w:val="2D1934DC"/>
    <w:rsid w:val="2D1C7470"/>
    <w:rsid w:val="2D1D71A5"/>
    <w:rsid w:val="2D1E6D44"/>
    <w:rsid w:val="2D297497"/>
    <w:rsid w:val="2D2D19CD"/>
    <w:rsid w:val="2D2F0029"/>
    <w:rsid w:val="2D306F11"/>
    <w:rsid w:val="2D331CD5"/>
    <w:rsid w:val="2D346567"/>
    <w:rsid w:val="2D35534D"/>
    <w:rsid w:val="2D360531"/>
    <w:rsid w:val="2D371BB4"/>
    <w:rsid w:val="2D3B78F6"/>
    <w:rsid w:val="2D401274"/>
    <w:rsid w:val="2D4A62B0"/>
    <w:rsid w:val="2D4D2232"/>
    <w:rsid w:val="2D4D7629"/>
    <w:rsid w:val="2D517119"/>
    <w:rsid w:val="2D546C0A"/>
    <w:rsid w:val="2D57196B"/>
    <w:rsid w:val="2D5871A7"/>
    <w:rsid w:val="2D5C786C"/>
    <w:rsid w:val="2D5F3D0B"/>
    <w:rsid w:val="2D60735C"/>
    <w:rsid w:val="2D663463"/>
    <w:rsid w:val="2D684463"/>
    <w:rsid w:val="2D6D1885"/>
    <w:rsid w:val="2D7028E4"/>
    <w:rsid w:val="2D7626DC"/>
    <w:rsid w:val="2D7E5059"/>
    <w:rsid w:val="2D850B71"/>
    <w:rsid w:val="2D855015"/>
    <w:rsid w:val="2D863EDD"/>
    <w:rsid w:val="2D8906A9"/>
    <w:rsid w:val="2D8F379E"/>
    <w:rsid w:val="2D931C05"/>
    <w:rsid w:val="2D947006"/>
    <w:rsid w:val="2D9711A8"/>
    <w:rsid w:val="2D9C5EBB"/>
    <w:rsid w:val="2D9D6E66"/>
    <w:rsid w:val="2DA74F8B"/>
    <w:rsid w:val="2DB02E38"/>
    <w:rsid w:val="2DB9081B"/>
    <w:rsid w:val="2DBD47AF"/>
    <w:rsid w:val="2DBE22D5"/>
    <w:rsid w:val="2DC071BC"/>
    <w:rsid w:val="2DC72F38"/>
    <w:rsid w:val="2DD438A6"/>
    <w:rsid w:val="2DD85925"/>
    <w:rsid w:val="2DDC6A88"/>
    <w:rsid w:val="2DE24215"/>
    <w:rsid w:val="2DE35CC7"/>
    <w:rsid w:val="2DE735DA"/>
    <w:rsid w:val="2DEA5ED6"/>
    <w:rsid w:val="2DEF22D1"/>
    <w:rsid w:val="2DF01EDE"/>
    <w:rsid w:val="2DF06932"/>
    <w:rsid w:val="2DF126AA"/>
    <w:rsid w:val="2DF45CF7"/>
    <w:rsid w:val="2DF53F49"/>
    <w:rsid w:val="2DF75AE8"/>
    <w:rsid w:val="2DF832D4"/>
    <w:rsid w:val="2E083758"/>
    <w:rsid w:val="2E0A72C8"/>
    <w:rsid w:val="2E0F48DF"/>
    <w:rsid w:val="2E1819E5"/>
    <w:rsid w:val="2E1A3139"/>
    <w:rsid w:val="2E1A6430"/>
    <w:rsid w:val="2E1D6FFC"/>
    <w:rsid w:val="2E241309"/>
    <w:rsid w:val="2E24482E"/>
    <w:rsid w:val="2E276BB9"/>
    <w:rsid w:val="2E2B2C2B"/>
    <w:rsid w:val="2E2E453D"/>
    <w:rsid w:val="2E3014D6"/>
    <w:rsid w:val="2E330928"/>
    <w:rsid w:val="2E332B84"/>
    <w:rsid w:val="2E3558C9"/>
    <w:rsid w:val="2E365952"/>
    <w:rsid w:val="2E406C74"/>
    <w:rsid w:val="2E4C5B33"/>
    <w:rsid w:val="2E527CD7"/>
    <w:rsid w:val="2E5642BC"/>
    <w:rsid w:val="2E5C5D76"/>
    <w:rsid w:val="2E5D389C"/>
    <w:rsid w:val="2E641740"/>
    <w:rsid w:val="2E6701DD"/>
    <w:rsid w:val="2E7A26A0"/>
    <w:rsid w:val="2E7C01C6"/>
    <w:rsid w:val="2E887C64"/>
    <w:rsid w:val="2E891CB9"/>
    <w:rsid w:val="2E8C0C88"/>
    <w:rsid w:val="2E9176AB"/>
    <w:rsid w:val="2E9948BB"/>
    <w:rsid w:val="2E9A471C"/>
    <w:rsid w:val="2E9F5C62"/>
    <w:rsid w:val="2EB01C1E"/>
    <w:rsid w:val="2EB56403"/>
    <w:rsid w:val="2EBD19D6"/>
    <w:rsid w:val="2EBD433B"/>
    <w:rsid w:val="2EC102CF"/>
    <w:rsid w:val="2EC1207D"/>
    <w:rsid w:val="2EC136C4"/>
    <w:rsid w:val="2EC97183"/>
    <w:rsid w:val="2ECD6C74"/>
    <w:rsid w:val="2ECF1A58"/>
    <w:rsid w:val="2ED10AFD"/>
    <w:rsid w:val="2EE14C9D"/>
    <w:rsid w:val="2EE1627B"/>
    <w:rsid w:val="2EF108B8"/>
    <w:rsid w:val="2EF27956"/>
    <w:rsid w:val="2EF27B0B"/>
    <w:rsid w:val="2F0401BB"/>
    <w:rsid w:val="2F061C83"/>
    <w:rsid w:val="2F067A44"/>
    <w:rsid w:val="2F070637"/>
    <w:rsid w:val="2F077C8B"/>
    <w:rsid w:val="2F0B32F8"/>
    <w:rsid w:val="2F0E5A28"/>
    <w:rsid w:val="2F117A25"/>
    <w:rsid w:val="2F1403FE"/>
    <w:rsid w:val="2F16265C"/>
    <w:rsid w:val="2F177EEF"/>
    <w:rsid w:val="2F1877C3"/>
    <w:rsid w:val="2F2443BA"/>
    <w:rsid w:val="2F26216F"/>
    <w:rsid w:val="2F29486F"/>
    <w:rsid w:val="2F2A5E74"/>
    <w:rsid w:val="2F320885"/>
    <w:rsid w:val="2F326AD7"/>
    <w:rsid w:val="2F350375"/>
    <w:rsid w:val="2F36681B"/>
    <w:rsid w:val="2F3740ED"/>
    <w:rsid w:val="2F394DAF"/>
    <w:rsid w:val="2F3E547B"/>
    <w:rsid w:val="2F425F26"/>
    <w:rsid w:val="2F451D68"/>
    <w:rsid w:val="2F4862FA"/>
    <w:rsid w:val="2F512C5C"/>
    <w:rsid w:val="2F527179"/>
    <w:rsid w:val="2F544EB3"/>
    <w:rsid w:val="2F561C30"/>
    <w:rsid w:val="2F570620"/>
    <w:rsid w:val="2F5D5FC3"/>
    <w:rsid w:val="2F5D6849"/>
    <w:rsid w:val="2F61560E"/>
    <w:rsid w:val="2F6678EA"/>
    <w:rsid w:val="2F7736F3"/>
    <w:rsid w:val="2F83700A"/>
    <w:rsid w:val="2F930885"/>
    <w:rsid w:val="2F9C6646"/>
    <w:rsid w:val="2F9E23BE"/>
    <w:rsid w:val="2FA63E8C"/>
    <w:rsid w:val="2FA71273"/>
    <w:rsid w:val="2FAA2B11"/>
    <w:rsid w:val="2FAB0A48"/>
    <w:rsid w:val="2FAC6889"/>
    <w:rsid w:val="2FAE6B0C"/>
    <w:rsid w:val="2FAF42C8"/>
    <w:rsid w:val="2FB361F0"/>
    <w:rsid w:val="2FB4573E"/>
    <w:rsid w:val="2FBD4D02"/>
    <w:rsid w:val="2FC33BD3"/>
    <w:rsid w:val="2FCC2A87"/>
    <w:rsid w:val="2FCE528B"/>
    <w:rsid w:val="2FD962A4"/>
    <w:rsid w:val="2FDA518C"/>
    <w:rsid w:val="2FDA54F7"/>
    <w:rsid w:val="2FDA5BCD"/>
    <w:rsid w:val="2FE204FD"/>
    <w:rsid w:val="2FE22EBF"/>
    <w:rsid w:val="2FE34275"/>
    <w:rsid w:val="2FE90DE1"/>
    <w:rsid w:val="2FE95A0A"/>
    <w:rsid w:val="2FEC137B"/>
    <w:rsid w:val="2FEC3129"/>
    <w:rsid w:val="2FEF1F17"/>
    <w:rsid w:val="2FF410E3"/>
    <w:rsid w:val="2FFB15BE"/>
    <w:rsid w:val="2FFD5337"/>
    <w:rsid w:val="30011CB8"/>
    <w:rsid w:val="300761B5"/>
    <w:rsid w:val="300E12F2"/>
    <w:rsid w:val="3011493E"/>
    <w:rsid w:val="3013584E"/>
    <w:rsid w:val="3015041B"/>
    <w:rsid w:val="3018450B"/>
    <w:rsid w:val="30244E07"/>
    <w:rsid w:val="302503E9"/>
    <w:rsid w:val="302B7226"/>
    <w:rsid w:val="30304946"/>
    <w:rsid w:val="303228CC"/>
    <w:rsid w:val="30326609"/>
    <w:rsid w:val="30354AD0"/>
    <w:rsid w:val="30374B6D"/>
    <w:rsid w:val="303F652C"/>
    <w:rsid w:val="3047158B"/>
    <w:rsid w:val="3049232A"/>
    <w:rsid w:val="304E16EE"/>
    <w:rsid w:val="304E5B92"/>
    <w:rsid w:val="304F147C"/>
    <w:rsid w:val="30566D3E"/>
    <w:rsid w:val="305D200D"/>
    <w:rsid w:val="305F1B4D"/>
    <w:rsid w:val="305F7D9F"/>
    <w:rsid w:val="30656A38"/>
    <w:rsid w:val="30676C54"/>
    <w:rsid w:val="30713277"/>
    <w:rsid w:val="30727505"/>
    <w:rsid w:val="30766E97"/>
    <w:rsid w:val="307A054F"/>
    <w:rsid w:val="307F73DA"/>
    <w:rsid w:val="3081665F"/>
    <w:rsid w:val="3082583C"/>
    <w:rsid w:val="30843362"/>
    <w:rsid w:val="30861205"/>
    <w:rsid w:val="3087105C"/>
    <w:rsid w:val="308C1EC2"/>
    <w:rsid w:val="309243ED"/>
    <w:rsid w:val="309336C7"/>
    <w:rsid w:val="30962A4A"/>
    <w:rsid w:val="309B06AC"/>
    <w:rsid w:val="30A532D8"/>
    <w:rsid w:val="30AA3BFA"/>
    <w:rsid w:val="30AF4D78"/>
    <w:rsid w:val="30AF7FEE"/>
    <w:rsid w:val="30B17ECF"/>
    <w:rsid w:val="30B20B79"/>
    <w:rsid w:val="30B314B2"/>
    <w:rsid w:val="30B33C47"/>
    <w:rsid w:val="30C714A1"/>
    <w:rsid w:val="30C978F2"/>
    <w:rsid w:val="30CE282F"/>
    <w:rsid w:val="30DC1326"/>
    <w:rsid w:val="30DC319E"/>
    <w:rsid w:val="30E15E23"/>
    <w:rsid w:val="30E8664A"/>
    <w:rsid w:val="30ED53AB"/>
    <w:rsid w:val="30EE446C"/>
    <w:rsid w:val="30F4433D"/>
    <w:rsid w:val="30F5600E"/>
    <w:rsid w:val="30FC114A"/>
    <w:rsid w:val="310271F1"/>
    <w:rsid w:val="31052870"/>
    <w:rsid w:val="31097D0B"/>
    <w:rsid w:val="310D3357"/>
    <w:rsid w:val="310D4304"/>
    <w:rsid w:val="31181CFC"/>
    <w:rsid w:val="31191585"/>
    <w:rsid w:val="311E0784"/>
    <w:rsid w:val="31215055"/>
    <w:rsid w:val="312740CE"/>
    <w:rsid w:val="31280191"/>
    <w:rsid w:val="312928DF"/>
    <w:rsid w:val="312D38EE"/>
    <w:rsid w:val="312D54CE"/>
    <w:rsid w:val="31327760"/>
    <w:rsid w:val="31342064"/>
    <w:rsid w:val="31363720"/>
    <w:rsid w:val="31376626"/>
    <w:rsid w:val="313B6BEC"/>
    <w:rsid w:val="31407EA7"/>
    <w:rsid w:val="314A1D01"/>
    <w:rsid w:val="314B5736"/>
    <w:rsid w:val="314D7BF8"/>
    <w:rsid w:val="31506ACE"/>
    <w:rsid w:val="31550BF3"/>
    <w:rsid w:val="316E7B6E"/>
    <w:rsid w:val="3172765E"/>
    <w:rsid w:val="3179422E"/>
    <w:rsid w:val="31794E91"/>
    <w:rsid w:val="317A24C2"/>
    <w:rsid w:val="317A4765"/>
    <w:rsid w:val="317E209A"/>
    <w:rsid w:val="317E24A7"/>
    <w:rsid w:val="318D72EB"/>
    <w:rsid w:val="319B23D0"/>
    <w:rsid w:val="319C292D"/>
    <w:rsid w:val="31B22151"/>
    <w:rsid w:val="31B71515"/>
    <w:rsid w:val="31B934DF"/>
    <w:rsid w:val="31C37EBA"/>
    <w:rsid w:val="31C939C4"/>
    <w:rsid w:val="31D200FD"/>
    <w:rsid w:val="31D67624"/>
    <w:rsid w:val="31D76F4E"/>
    <w:rsid w:val="31DE2EB7"/>
    <w:rsid w:val="31DE5041"/>
    <w:rsid w:val="31E0281A"/>
    <w:rsid w:val="31E16592"/>
    <w:rsid w:val="31E35BA3"/>
    <w:rsid w:val="31E621E0"/>
    <w:rsid w:val="31E77F3D"/>
    <w:rsid w:val="31EC1380"/>
    <w:rsid w:val="31F6203D"/>
    <w:rsid w:val="31FD161E"/>
    <w:rsid w:val="32004C6A"/>
    <w:rsid w:val="320329AC"/>
    <w:rsid w:val="3203475A"/>
    <w:rsid w:val="32086B6D"/>
    <w:rsid w:val="320A5AE9"/>
    <w:rsid w:val="320C1861"/>
    <w:rsid w:val="320F30FF"/>
    <w:rsid w:val="321B1AA4"/>
    <w:rsid w:val="321D7903"/>
    <w:rsid w:val="321E77E6"/>
    <w:rsid w:val="32240CF8"/>
    <w:rsid w:val="32273586"/>
    <w:rsid w:val="32311DE8"/>
    <w:rsid w:val="3239017C"/>
    <w:rsid w:val="32396A52"/>
    <w:rsid w:val="323B3EF4"/>
    <w:rsid w:val="324B19B3"/>
    <w:rsid w:val="324C6101"/>
    <w:rsid w:val="324E1E79"/>
    <w:rsid w:val="324F2058"/>
    <w:rsid w:val="324F665F"/>
    <w:rsid w:val="32502792"/>
    <w:rsid w:val="3255145A"/>
    <w:rsid w:val="32582CF8"/>
    <w:rsid w:val="32584AA6"/>
    <w:rsid w:val="32586854"/>
    <w:rsid w:val="325A081E"/>
    <w:rsid w:val="325A6415"/>
    <w:rsid w:val="325D030E"/>
    <w:rsid w:val="32655415"/>
    <w:rsid w:val="326E6B2C"/>
    <w:rsid w:val="326E7E26"/>
    <w:rsid w:val="326F3B9E"/>
    <w:rsid w:val="32723FB1"/>
    <w:rsid w:val="32756B74"/>
    <w:rsid w:val="327D4380"/>
    <w:rsid w:val="328238D1"/>
    <w:rsid w:val="328525BE"/>
    <w:rsid w:val="32857DB4"/>
    <w:rsid w:val="32860705"/>
    <w:rsid w:val="328C11FD"/>
    <w:rsid w:val="328E671A"/>
    <w:rsid w:val="32907C25"/>
    <w:rsid w:val="32996A63"/>
    <w:rsid w:val="329A7AD3"/>
    <w:rsid w:val="329B1AB6"/>
    <w:rsid w:val="32A52F64"/>
    <w:rsid w:val="32A80A7D"/>
    <w:rsid w:val="32AE46C6"/>
    <w:rsid w:val="32B37F2E"/>
    <w:rsid w:val="32B8667C"/>
    <w:rsid w:val="32BA2E92"/>
    <w:rsid w:val="32BF657F"/>
    <w:rsid w:val="32C043F9"/>
    <w:rsid w:val="32C5443C"/>
    <w:rsid w:val="32C739DA"/>
    <w:rsid w:val="32C959A4"/>
    <w:rsid w:val="32CE73F5"/>
    <w:rsid w:val="32D14858"/>
    <w:rsid w:val="32D245F3"/>
    <w:rsid w:val="32D33B45"/>
    <w:rsid w:val="32D3412D"/>
    <w:rsid w:val="32D56359"/>
    <w:rsid w:val="32D802C5"/>
    <w:rsid w:val="32D81743"/>
    <w:rsid w:val="32D83E39"/>
    <w:rsid w:val="32D970F4"/>
    <w:rsid w:val="32DA195F"/>
    <w:rsid w:val="32DD144F"/>
    <w:rsid w:val="32E427DE"/>
    <w:rsid w:val="32E620B2"/>
    <w:rsid w:val="32E7407C"/>
    <w:rsid w:val="32EB3B6C"/>
    <w:rsid w:val="32F10A57"/>
    <w:rsid w:val="32F36890"/>
    <w:rsid w:val="32F72E33"/>
    <w:rsid w:val="32F95B01"/>
    <w:rsid w:val="32FF7967"/>
    <w:rsid w:val="33003996"/>
    <w:rsid w:val="33062754"/>
    <w:rsid w:val="33077D57"/>
    <w:rsid w:val="33092244"/>
    <w:rsid w:val="330E785B"/>
    <w:rsid w:val="330F332F"/>
    <w:rsid w:val="33140BB7"/>
    <w:rsid w:val="33174961"/>
    <w:rsid w:val="33184235"/>
    <w:rsid w:val="3328091C"/>
    <w:rsid w:val="332B21BB"/>
    <w:rsid w:val="33327221"/>
    <w:rsid w:val="33357E15"/>
    <w:rsid w:val="334119DE"/>
    <w:rsid w:val="33420893"/>
    <w:rsid w:val="33437A5C"/>
    <w:rsid w:val="33462B51"/>
    <w:rsid w:val="334E005B"/>
    <w:rsid w:val="3351311A"/>
    <w:rsid w:val="33550FE6"/>
    <w:rsid w:val="33552D94"/>
    <w:rsid w:val="3358439F"/>
    <w:rsid w:val="3359251C"/>
    <w:rsid w:val="335F00B6"/>
    <w:rsid w:val="33664FA1"/>
    <w:rsid w:val="336B25B7"/>
    <w:rsid w:val="336F654B"/>
    <w:rsid w:val="33757AD9"/>
    <w:rsid w:val="337820FF"/>
    <w:rsid w:val="337F42B4"/>
    <w:rsid w:val="3381002D"/>
    <w:rsid w:val="33811DDB"/>
    <w:rsid w:val="33947D60"/>
    <w:rsid w:val="33997B48"/>
    <w:rsid w:val="339A10EE"/>
    <w:rsid w:val="339C4E66"/>
    <w:rsid w:val="33A06705"/>
    <w:rsid w:val="33A51F6D"/>
    <w:rsid w:val="33AE3659"/>
    <w:rsid w:val="33C323F3"/>
    <w:rsid w:val="33C90654"/>
    <w:rsid w:val="33D740F0"/>
    <w:rsid w:val="33DA14EB"/>
    <w:rsid w:val="33E00844"/>
    <w:rsid w:val="33E3647C"/>
    <w:rsid w:val="33E41473"/>
    <w:rsid w:val="33EA7751"/>
    <w:rsid w:val="33EF2FCD"/>
    <w:rsid w:val="33F151B2"/>
    <w:rsid w:val="33F425AD"/>
    <w:rsid w:val="33F61C82"/>
    <w:rsid w:val="33F627C9"/>
    <w:rsid w:val="34054394"/>
    <w:rsid w:val="340B44E4"/>
    <w:rsid w:val="340B78F6"/>
    <w:rsid w:val="340F037E"/>
    <w:rsid w:val="3411315F"/>
    <w:rsid w:val="341744ED"/>
    <w:rsid w:val="342310E4"/>
    <w:rsid w:val="34237336"/>
    <w:rsid w:val="342509B8"/>
    <w:rsid w:val="34253971"/>
    <w:rsid w:val="342A4220"/>
    <w:rsid w:val="342D3712"/>
    <w:rsid w:val="342D4AAC"/>
    <w:rsid w:val="34311A53"/>
    <w:rsid w:val="343155AF"/>
    <w:rsid w:val="34362BC5"/>
    <w:rsid w:val="34381F52"/>
    <w:rsid w:val="34394463"/>
    <w:rsid w:val="34475DD4"/>
    <w:rsid w:val="34476B80"/>
    <w:rsid w:val="34482A14"/>
    <w:rsid w:val="344C4197"/>
    <w:rsid w:val="345179FF"/>
    <w:rsid w:val="345319C9"/>
    <w:rsid w:val="345474EF"/>
    <w:rsid w:val="34565015"/>
    <w:rsid w:val="345920CE"/>
    <w:rsid w:val="34637CAE"/>
    <w:rsid w:val="346662D0"/>
    <w:rsid w:val="346C285D"/>
    <w:rsid w:val="346C65E7"/>
    <w:rsid w:val="347E631A"/>
    <w:rsid w:val="348215D5"/>
    <w:rsid w:val="34871673"/>
    <w:rsid w:val="348A3678"/>
    <w:rsid w:val="348C4EDB"/>
    <w:rsid w:val="348C6C89"/>
    <w:rsid w:val="348E2A01"/>
    <w:rsid w:val="348E47AF"/>
    <w:rsid w:val="34983880"/>
    <w:rsid w:val="34991662"/>
    <w:rsid w:val="34993154"/>
    <w:rsid w:val="349B511E"/>
    <w:rsid w:val="349F1221"/>
    <w:rsid w:val="34A246FE"/>
    <w:rsid w:val="34A46DF0"/>
    <w:rsid w:val="34A50280"/>
    <w:rsid w:val="34A73A14"/>
    <w:rsid w:val="34AA7CA0"/>
    <w:rsid w:val="34B306BA"/>
    <w:rsid w:val="34B575C9"/>
    <w:rsid w:val="34B63D06"/>
    <w:rsid w:val="34B65AB4"/>
    <w:rsid w:val="34BA5D3A"/>
    <w:rsid w:val="34BB30CA"/>
    <w:rsid w:val="34BC5B05"/>
    <w:rsid w:val="34C04B85"/>
    <w:rsid w:val="34C401D1"/>
    <w:rsid w:val="34C851F1"/>
    <w:rsid w:val="34CB78A0"/>
    <w:rsid w:val="34D0301A"/>
    <w:rsid w:val="34D67F04"/>
    <w:rsid w:val="34D92FE0"/>
    <w:rsid w:val="34DB19BE"/>
    <w:rsid w:val="34DB376C"/>
    <w:rsid w:val="34E16FD5"/>
    <w:rsid w:val="34E268A9"/>
    <w:rsid w:val="34E40873"/>
    <w:rsid w:val="34E57BDD"/>
    <w:rsid w:val="34E75607"/>
    <w:rsid w:val="34E82FA8"/>
    <w:rsid w:val="34E97C37"/>
    <w:rsid w:val="34EB7E53"/>
    <w:rsid w:val="34F36D08"/>
    <w:rsid w:val="34F860CC"/>
    <w:rsid w:val="350031D3"/>
    <w:rsid w:val="350841BA"/>
    <w:rsid w:val="350E769E"/>
    <w:rsid w:val="351078BA"/>
    <w:rsid w:val="351522E2"/>
    <w:rsid w:val="351759D1"/>
    <w:rsid w:val="351C000D"/>
    <w:rsid w:val="351F18AB"/>
    <w:rsid w:val="351F261B"/>
    <w:rsid w:val="35201905"/>
    <w:rsid w:val="35202E8D"/>
    <w:rsid w:val="352443E9"/>
    <w:rsid w:val="352944D8"/>
    <w:rsid w:val="352978C7"/>
    <w:rsid w:val="3537176B"/>
    <w:rsid w:val="353C245D"/>
    <w:rsid w:val="353F3C69"/>
    <w:rsid w:val="3543582D"/>
    <w:rsid w:val="354B08F2"/>
    <w:rsid w:val="35505F08"/>
    <w:rsid w:val="355C48AD"/>
    <w:rsid w:val="35614940"/>
    <w:rsid w:val="35690D78"/>
    <w:rsid w:val="356F60BD"/>
    <w:rsid w:val="35727C2D"/>
    <w:rsid w:val="3573198A"/>
    <w:rsid w:val="35780FBB"/>
    <w:rsid w:val="35812566"/>
    <w:rsid w:val="35814314"/>
    <w:rsid w:val="35860AB3"/>
    <w:rsid w:val="358D0F0B"/>
    <w:rsid w:val="358F6692"/>
    <w:rsid w:val="35960EC9"/>
    <w:rsid w:val="359D214C"/>
    <w:rsid w:val="35A63D7A"/>
    <w:rsid w:val="35B04BF9"/>
    <w:rsid w:val="35B53FBD"/>
    <w:rsid w:val="35BC17F0"/>
    <w:rsid w:val="35C30488"/>
    <w:rsid w:val="35C44C2D"/>
    <w:rsid w:val="35C661CB"/>
    <w:rsid w:val="35D24B6F"/>
    <w:rsid w:val="35D85A41"/>
    <w:rsid w:val="35DE1766"/>
    <w:rsid w:val="35E01715"/>
    <w:rsid w:val="35E548A3"/>
    <w:rsid w:val="35E87EEF"/>
    <w:rsid w:val="35EB515B"/>
    <w:rsid w:val="35EB79DF"/>
    <w:rsid w:val="35ED30EC"/>
    <w:rsid w:val="35F23CC2"/>
    <w:rsid w:val="35F67F15"/>
    <w:rsid w:val="35F8218D"/>
    <w:rsid w:val="35FC0710"/>
    <w:rsid w:val="35FC08AC"/>
    <w:rsid w:val="35FE5964"/>
    <w:rsid w:val="360016DD"/>
    <w:rsid w:val="360018B1"/>
    <w:rsid w:val="36017D80"/>
    <w:rsid w:val="36033620"/>
    <w:rsid w:val="36077491"/>
    <w:rsid w:val="36095205"/>
    <w:rsid w:val="360A3AE4"/>
    <w:rsid w:val="360B30A2"/>
    <w:rsid w:val="360D5BA8"/>
    <w:rsid w:val="360F36CE"/>
    <w:rsid w:val="360F7196"/>
    <w:rsid w:val="361231BE"/>
    <w:rsid w:val="36152D3C"/>
    <w:rsid w:val="361B6516"/>
    <w:rsid w:val="361C3BBB"/>
    <w:rsid w:val="361C3EBD"/>
    <w:rsid w:val="3627628E"/>
    <w:rsid w:val="36276456"/>
    <w:rsid w:val="36296D8F"/>
    <w:rsid w:val="36343134"/>
    <w:rsid w:val="36343C3D"/>
    <w:rsid w:val="36357709"/>
    <w:rsid w:val="36395B52"/>
    <w:rsid w:val="363C5FCD"/>
    <w:rsid w:val="364515CB"/>
    <w:rsid w:val="36454420"/>
    <w:rsid w:val="36454AF6"/>
    <w:rsid w:val="36455341"/>
    <w:rsid w:val="36460F99"/>
    <w:rsid w:val="364A0BAA"/>
    <w:rsid w:val="364C4922"/>
    <w:rsid w:val="364D41F6"/>
    <w:rsid w:val="364F61C0"/>
    <w:rsid w:val="365929CF"/>
    <w:rsid w:val="36592B9B"/>
    <w:rsid w:val="366559E4"/>
    <w:rsid w:val="36657792"/>
    <w:rsid w:val="36681030"/>
    <w:rsid w:val="3668796C"/>
    <w:rsid w:val="366E2AEA"/>
    <w:rsid w:val="366F1648"/>
    <w:rsid w:val="36726387"/>
    <w:rsid w:val="367D7B42"/>
    <w:rsid w:val="36835E6A"/>
    <w:rsid w:val="36853887"/>
    <w:rsid w:val="368C0333"/>
    <w:rsid w:val="368D049B"/>
    <w:rsid w:val="368D0EDC"/>
    <w:rsid w:val="368F2A60"/>
    <w:rsid w:val="36900240"/>
    <w:rsid w:val="36940077"/>
    <w:rsid w:val="36965B9D"/>
    <w:rsid w:val="369736C3"/>
    <w:rsid w:val="36A24542"/>
    <w:rsid w:val="36AA529F"/>
    <w:rsid w:val="36AC33DB"/>
    <w:rsid w:val="36B867EF"/>
    <w:rsid w:val="36BB532C"/>
    <w:rsid w:val="36BC1ACD"/>
    <w:rsid w:val="36C3270A"/>
    <w:rsid w:val="36D52D08"/>
    <w:rsid w:val="36DA1F9A"/>
    <w:rsid w:val="36DD1FAD"/>
    <w:rsid w:val="36DE1BB9"/>
    <w:rsid w:val="36E27AE8"/>
    <w:rsid w:val="36E52680"/>
    <w:rsid w:val="36E55A25"/>
    <w:rsid w:val="36E7289C"/>
    <w:rsid w:val="36E763F9"/>
    <w:rsid w:val="36ED2000"/>
    <w:rsid w:val="36F01751"/>
    <w:rsid w:val="36F30A8E"/>
    <w:rsid w:val="36F80606"/>
    <w:rsid w:val="36FA4EBE"/>
    <w:rsid w:val="36FD3F9D"/>
    <w:rsid w:val="3701395E"/>
    <w:rsid w:val="370311F1"/>
    <w:rsid w:val="37070849"/>
    <w:rsid w:val="3709636F"/>
    <w:rsid w:val="370C2303"/>
    <w:rsid w:val="371050B8"/>
    <w:rsid w:val="37133D87"/>
    <w:rsid w:val="371A07CC"/>
    <w:rsid w:val="37215DAE"/>
    <w:rsid w:val="37256F21"/>
    <w:rsid w:val="372B2789"/>
    <w:rsid w:val="372F1B4E"/>
    <w:rsid w:val="373158C6"/>
    <w:rsid w:val="37353608"/>
    <w:rsid w:val="37354718"/>
    <w:rsid w:val="373B4692"/>
    <w:rsid w:val="37410393"/>
    <w:rsid w:val="37421881"/>
    <w:rsid w:val="37465815"/>
    <w:rsid w:val="37476E97"/>
    <w:rsid w:val="37551274"/>
    <w:rsid w:val="3755540D"/>
    <w:rsid w:val="37555A58"/>
    <w:rsid w:val="37557E62"/>
    <w:rsid w:val="375869AC"/>
    <w:rsid w:val="375A02D5"/>
    <w:rsid w:val="375A76DE"/>
    <w:rsid w:val="375C0B95"/>
    <w:rsid w:val="375C2CDF"/>
    <w:rsid w:val="375C57D8"/>
    <w:rsid w:val="376163AC"/>
    <w:rsid w:val="37623CD1"/>
    <w:rsid w:val="376736AE"/>
    <w:rsid w:val="37677539"/>
    <w:rsid w:val="3768377D"/>
    <w:rsid w:val="376C29B8"/>
    <w:rsid w:val="376D09FB"/>
    <w:rsid w:val="376E2676"/>
    <w:rsid w:val="376F660D"/>
    <w:rsid w:val="377A5B12"/>
    <w:rsid w:val="37803F47"/>
    <w:rsid w:val="37824373"/>
    <w:rsid w:val="378413A8"/>
    <w:rsid w:val="378E4AC6"/>
    <w:rsid w:val="37936580"/>
    <w:rsid w:val="37955E55"/>
    <w:rsid w:val="379A790F"/>
    <w:rsid w:val="379D2F5B"/>
    <w:rsid w:val="37A06937"/>
    <w:rsid w:val="37A4078E"/>
    <w:rsid w:val="37A83241"/>
    <w:rsid w:val="37A95DA4"/>
    <w:rsid w:val="37AC6C16"/>
    <w:rsid w:val="37B02C8E"/>
    <w:rsid w:val="37B1660C"/>
    <w:rsid w:val="37B409D1"/>
    <w:rsid w:val="37C04489"/>
    <w:rsid w:val="37C16C4A"/>
    <w:rsid w:val="37C274F1"/>
    <w:rsid w:val="37C4498C"/>
    <w:rsid w:val="37C80E48"/>
    <w:rsid w:val="37C87FD8"/>
    <w:rsid w:val="37C93D50"/>
    <w:rsid w:val="37CB2D9B"/>
    <w:rsid w:val="37CE4EB3"/>
    <w:rsid w:val="37D03331"/>
    <w:rsid w:val="37D0796C"/>
    <w:rsid w:val="37D3697D"/>
    <w:rsid w:val="37D50947"/>
    <w:rsid w:val="37D56B99"/>
    <w:rsid w:val="37D83F93"/>
    <w:rsid w:val="37E0589C"/>
    <w:rsid w:val="37E66942"/>
    <w:rsid w:val="37E80BA5"/>
    <w:rsid w:val="37EB7469"/>
    <w:rsid w:val="37ED5C91"/>
    <w:rsid w:val="37F27DF2"/>
    <w:rsid w:val="37F33DFF"/>
    <w:rsid w:val="3805258B"/>
    <w:rsid w:val="38060B00"/>
    <w:rsid w:val="380A4A95"/>
    <w:rsid w:val="380C5387"/>
    <w:rsid w:val="380D1E8F"/>
    <w:rsid w:val="380D6333"/>
    <w:rsid w:val="381630BC"/>
    <w:rsid w:val="38166DB6"/>
    <w:rsid w:val="38184029"/>
    <w:rsid w:val="381F5604"/>
    <w:rsid w:val="38206066"/>
    <w:rsid w:val="38211DDE"/>
    <w:rsid w:val="382471D8"/>
    <w:rsid w:val="382607A9"/>
    <w:rsid w:val="38296DA3"/>
    <w:rsid w:val="382B64B7"/>
    <w:rsid w:val="382F62A9"/>
    <w:rsid w:val="38375D52"/>
    <w:rsid w:val="383E029A"/>
    <w:rsid w:val="38437802"/>
    <w:rsid w:val="38441920"/>
    <w:rsid w:val="38451629"/>
    <w:rsid w:val="38563836"/>
    <w:rsid w:val="385B52F0"/>
    <w:rsid w:val="38697929"/>
    <w:rsid w:val="386C3059"/>
    <w:rsid w:val="386C70B8"/>
    <w:rsid w:val="38703BC9"/>
    <w:rsid w:val="38706E4F"/>
    <w:rsid w:val="3876438E"/>
    <w:rsid w:val="387B4990"/>
    <w:rsid w:val="388008B3"/>
    <w:rsid w:val="388163D9"/>
    <w:rsid w:val="38821F74"/>
    <w:rsid w:val="388D46D6"/>
    <w:rsid w:val="388E2615"/>
    <w:rsid w:val="3891486E"/>
    <w:rsid w:val="389600D6"/>
    <w:rsid w:val="389B749B"/>
    <w:rsid w:val="38A061FF"/>
    <w:rsid w:val="38B15C5D"/>
    <w:rsid w:val="38B36EDA"/>
    <w:rsid w:val="38B467AE"/>
    <w:rsid w:val="38B71A55"/>
    <w:rsid w:val="38BE13DB"/>
    <w:rsid w:val="38C073F1"/>
    <w:rsid w:val="38CA7D80"/>
    <w:rsid w:val="38CB1241"/>
    <w:rsid w:val="38CD0F8C"/>
    <w:rsid w:val="38D35896"/>
    <w:rsid w:val="38DC440D"/>
    <w:rsid w:val="38DE55D9"/>
    <w:rsid w:val="38E075A3"/>
    <w:rsid w:val="38E835E0"/>
    <w:rsid w:val="38EF3C8A"/>
    <w:rsid w:val="38F167A2"/>
    <w:rsid w:val="38F35173"/>
    <w:rsid w:val="38F80D91"/>
    <w:rsid w:val="38FD6768"/>
    <w:rsid w:val="390239BE"/>
    <w:rsid w:val="390E5EBF"/>
    <w:rsid w:val="390F4B99"/>
    <w:rsid w:val="39106BCA"/>
    <w:rsid w:val="3922196A"/>
    <w:rsid w:val="394915ED"/>
    <w:rsid w:val="394A4669"/>
    <w:rsid w:val="394B4BE7"/>
    <w:rsid w:val="395064D7"/>
    <w:rsid w:val="39522688"/>
    <w:rsid w:val="39545CE6"/>
    <w:rsid w:val="39555F8E"/>
    <w:rsid w:val="395D2841"/>
    <w:rsid w:val="396C710D"/>
    <w:rsid w:val="396D21BF"/>
    <w:rsid w:val="39736CE6"/>
    <w:rsid w:val="39742D64"/>
    <w:rsid w:val="397D1296"/>
    <w:rsid w:val="397F500E"/>
    <w:rsid w:val="39846181"/>
    <w:rsid w:val="39846C6D"/>
    <w:rsid w:val="398D772B"/>
    <w:rsid w:val="399436D2"/>
    <w:rsid w:val="39A03105"/>
    <w:rsid w:val="39A04EA6"/>
    <w:rsid w:val="39A51E49"/>
    <w:rsid w:val="39AD696B"/>
    <w:rsid w:val="39AF5AB2"/>
    <w:rsid w:val="39B003B6"/>
    <w:rsid w:val="39B36A66"/>
    <w:rsid w:val="39BC3B6C"/>
    <w:rsid w:val="39BF365D"/>
    <w:rsid w:val="39C300E6"/>
    <w:rsid w:val="39CE35B2"/>
    <w:rsid w:val="39D0586A"/>
    <w:rsid w:val="39D37108"/>
    <w:rsid w:val="39E13E5C"/>
    <w:rsid w:val="39E430C3"/>
    <w:rsid w:val="39E76710"/>
    <w:rsid w:val="39E80EC0"/>
    <w:rsid w:val="39F50E2C"/>
    <w:rsid w:val="39F71F49"/>
    <w:rsid w:val="39F7273B"/>
    <w:rsid w:val="39FA4695"/>
    <w:rsid w:val="39FE0F50"/>
    <w:rsid w:val="39FF5246"/>
    <w:rsid w:val="39FF7EFD"/>
    <w:rsid w:val="3A0564C1"/>
    <w:rsid w:val="3A080B60"/>
    <w:rsid w:val="3A15488F"/>
    <w:rsid w:val="3A231E3E"/>
    <w:rsid w:val="3A2406E3"/>
    <w:rsid w:val="3A2A31CC"/>
    <w:rsid w:val="3A2D187A"/>
    <w:rsid w:val="3A3000B7"/>
    <w:rsid w:val="3A407CD2"/>
    <w:rsid w:val="3A412722"/>
    <w:rsid w:val="3A445910"/>
    <w:rsid w:val="3A485400"/>
    <w:rsid w:val="3A4D3806"/>
    <w:rsid w:val="3A524F53"/>
    <w:rsid w:val="3A542CAC"/>
    <w:rsid w:val="3A565CB3"/>
    <w:rsid w:val="3A5B5BB7"/>
    <w:rsid w:val="3A5C0EAC"/>
    <w:rsid w:val="3A663AD8"/>
    <w:rsid w:val="3A6A62B8"/>
    <w:rsid w:val="3A714924"/>
    <w:rsid w:val="3A7F6446"/>
    <w:rsid w:val="3A8521B0"/>
    <w:rsid w:val="3A8E336A"/>
    <w:rsid w:val="3A8F74D3"/>
    <w:rsid w:val="3A9248CD"/>
    <w:rsid w:val="3AA6651D"/>
    <w:rsid w:val="3AA80595"/>
    <w:rsid w:val="3AB57B20"/>
    <w:rsid w:val="3AB60ED4"/>
    <w:rsid w:val="3ABB02C8"/>
    <w:rsid w:val="3AC547BA"/>
    <w:rsid w:val="3AC70A1B"/>
    <w:rsid w:val="3AC86100"/>
    <w:rsid w:val="3AC96CE5"/>
    <w:rsid w:val="3AD14FE6"/>
    <w:rsid w:val="3AD15949"/>
    <w:rsid w:val="3AE45C9E"/>
    <w:rsid w:val="3AE570F3"/>
    <w:rsid w:val="3AF630AE"/>
    <w:rsid w:val="3AF73D60"/>
    <w:rsid w:val="3AF8136A"/>
    <w:rsid w:val="3AF9494C"/>
    <w:rsid w:val="3B001EA4"/>
    <w:rsid w:val="3B027CA5"/>
    <w:rsid w:val="3B0729A9"/>
    <w:rsid w:val="3B0A6301"/>
    <w:rsid w:val="3B0C0B24"/>
    <w:rsid w:val="3B135A0E"/>
    <w:rsid w:val="3B1874C8"/>
    <w:rsid w:val="3B1B5586"/>
    <w:rsid w:val="3B1B56C3"/>
    <w:rsid w:val="3B1E43B3"/>
    <w:rsid w:val="3B1F2193"/>
    <w:rsid w:val="3B255741"/>
    <w:rsid w:val="3B2714BA"/>
    <w:rsid w:val="3B2C2F74"/>
    <w:rsid w:val="3B2F65C0"/>
    <w:rsid w:val="3B351E28"/>
    <w:rsid w:val="3B4E0E59"/>
    <w:rsid w:val="3B4F27BE"/>
    <w:rsid w:val="3B554279"/>
    <w:rsid w:val="3B556027"/>
    <w:rsid w:val="3B5B2B56"/>
    <w:rsid w:val="3B616116"/>
    <w:rsid w:val="3B6251B3"/>
    <w:rsid w:val="3B633EE6"/>
    <w:rsid w:val="3B653D90"/>
    <w:rsid w:val="3B660234"/>
    <w:rsid w:val="3B771CD6"/>
    <w:rsid w:val="3B787F67"/>
    <w:rsid w:val="3B800BCA"/>
    <w:rsid w:val="3B8227AD"/>
    <w:rsid w:val="3B8E32E7"/>
    <w:rsid w:val="3B8F2C3B"/>
    <w:rsid w:val="3B8F315C"/>
    <w:rsid w:val="3B950B19"/>
    <w:rsid w:val="3B9A1090"/>
    <w:rsid w:val="3B9E54DA"/>
    <w:rsid w:val="3BA1126C"/>
    <w:rsid w:val="3BA9255A"/>
    <w:rsid w:val="3BA97646"/>
    <w:rsid w:val="3BAB1079"/>
    <w:rsid w:val="3BAC788A"/>
    <w:rsid w:val="3BAD60C9"/>
    <w:rsid w:val="3BB05953"/>
    <w:rsid w:val="3BB16FD5"/>
    <w:rsid w:val="3BB227C9"/>
    <w:rsid w:val="3BB47700"/>
    <w:rsid w:val="3BB80364"/>
    <w:rsid w:val="3BB865B6"/>
    <w:rsid w:val="3BB92E7F"/>
    <w:rsid w:val="3BBD1E1E"/>
    <w:rsid w:val="3BBE32F5"/>
    <w:rsid w:val="3BC26088"/>
    <w:rsid w:val="3BCC2061"/>
    <w:rsid w:val="3BCE3093"/>
    <w:rsid w:val="3BD038FF"/>
    <w:rsid w:val="3BD6065A"/>
    <w:rsid w:val="3BDA477E"/>
    <w:rsid w:val="3BDF3DFC"/>
    <w:rsid w:val="3BE02958"/>
    <w:rsid w:val="3BE42422"/>
    <w:rsid w:val="3BE60A54"/>
    <w:rsid w:val="3BE61375"/>
    <w:rsid w:val="3BEA0F0F"/>
    <w:rsid w:val="3BEB24E7"/>
    <w:rsid w:val="3BFA097C"/>
    <w:rsid w:val="3C003E02"/>
    <w:rsid w:val="3C0473B1"/>
    <w:rsid w:val="3C0812EB"/>
    <w:rsid w:val="3C0951DD"/>
    <w:rsid w:val="3C0B2B89"/>
    <w:rsid w:val="3C1104C4"/>
    <w:rsid w:val="3C12216A"/>
    <w:rsid w:val="3C131A08"/>
    <w:rsid w:val="3C1425E0"/>
    <w:rsid w:val="3C1744FA"/>
    <w:rsid w:val="3C1852A6"/>
    <w:rsid w:val="3C1A7270"/>
    <w:rsid w:val="3C1B10AA"/>
    <w:rsid w:val="3C1E1CA2"/>
    <w:rsid w:val="3C1F309D"/>
    <w:rsid w:val="3C271B42"/>
    <w:rsid w:val="3C2846F1"/>
    <w:rsid w:val="3C335C3C"/>
    <w:rsid w:val="3C357443"/>
    <w:rsid w:val="3C37572C"/>
    <w:rsid w:val="3C3B37D6"/>
    <w:rsid w:val="3C3D7980"/>
    <w:rsid w:val="3C4B742A"/>
    <w:rsid w:val="3C4C11FB"/>
    <w:rsid w:val="3C601C11"/>
    <w:rsid w:val="3C607499"/>
    <w:rsid w:val="3C6402E3"/>
    <w:rsid w:val="3C651E5A"/>
    <w:rsid w:val="3C6C5881"/>
    <w:rsid w:val="3C6D68AF"/>
    <w:rsid w:val="3C6E4EC6"/>
    <w:rsid w:val="3C7624CD"/>
    <w:rsid w:val="3C811803"/>
    <w:rsid w:val="3C812767"/>
    <w:rsid w:val="3C846FAD"/>
    <w:rsid w:val="3C85293C"/>
    <w:rsid w:val="3C8A7F52"/>
    <w:rsid w:val="3C8D359E"/>
    <w:rsid w:val="3C8D3764"/>
    <w:rsid w:val="3C8F40C0"/>
    <w:rsid w:val="3C8F7316"/>
    <w:rsid w:val="3C905550"/>
    <w:rsid w:val="3C94492D"/>
    <w:rsid w:val="3C9506A5"/>
    <w:rsid w:val="3C975BCF"/>
    <w:rsid w:val="3CA24510"/>
    <w:rsid w:val="3CA408E8"/>
    <w:rsid w:val="3CA56B3A"/>
    <w:rsid w:val="3CAA05F4"/>
    <w:rsid w:val="3CB11D10"/>
    <w:rsid w:val="3CB66843"/>
    <w:rsid w:val="3CB74C32"/>
    <w:rsid w:val="3CB82D3D"/>
    <w:rsid w:val="3CBF5058"/>
    <w:rsid w:val="3CC01BC6"/>
    <w:rsid w:val="3CC03974"/>
    <w:rsid w:val="3CC10042"/>
    <w:rsid w:val="3CC311DF"/>
    <w:rsid w:val="3CC43FCC"/>
    <w:rsid w:val="3CC547ED"/>
    <w:rsid w:val="3CC66D60"/>
    <w:rsid w:val="3CD411CD"/>
    <w:rsid w:val="3CD45671"/>
    <w:rsid w:val="3CD70CBD"/>
    <w:rsid w:val="3CD92C87"/>
    <w:rsid w:val="3CDC56E3"/>
    <w:rsid w:val="3CE72762"/>
    <w:rsid w:val="3CEB69AE"/>
    <w:rsid w:val="3CEC308D"/>
    <w:rsid w:val="3CEC4769"/>
    <w:rsid w:val="3CED6733"/>
    <w:rsid w:val="3CF03B2D"/>
    <w:rsid w:val="3CF24C29"/>
    <w:rsid w:val="3CF3617C"/>
    <w:rsid w:val="3CF51E0D"/>
    <w:rsid w:val="3CF51E92"/>
    <w:rsid w:val="3CF5326E"/>
    <w:rsid w:val="3CF74EBC"/>
    <w:rsid w:val="3CFE624A"/>
    <w:rsid w:val="3D0715A3"/>
    <w:rsid w:val="3D0870C9"/>
    <w:rsid w:val="3D0E1754"/>
    <w:rsid w:val="3D143CBF"/>
    <w:rsid w:val="3D1617E6"/>
    <w:rsid w:val="3D17730C"/>
    <w:rsid w:val="3D1A30C6"/>
    <w:rsid w:val="3D1F4D9A"/>
    <w:rsid w:val="3D2407E5"/>
    <w:rsid w:val="3D2959BD"/>
    <w:rsid w:val="3D2D739E"/>
    <w:rsid w:val="3D2F0980"/>
    <w:rsid w:val="3D346BE7"/>
    <w:rsid w:val="3D373021"/>
    <w:rsid w:val="3D3A1978"/>
    <w:rsid w:val="3D402BB0"/>
    <w:rsid w:val="3D430101"/>
    <w:rsid w:val="3D431059"/>
    <w:rsid w:val="3D436353"/>
    <w:rsid w:val="3D446D65"/>
    <w:rsid w:val="3D455E16"/>
    <w:rsid w:val="3D4A4FA9"/>
    <w:rsid w:val="3D4F4CF8"/>
    <w:rsid w:val="3D55095C"/>
    <w:rsid w:val="3D580F1D"/>
    <w:rsid w:val="3D5B369C"/>
    <w:rsid w:val="3D5F6A55"/>
    <w:rsid w:val="3D65311A"/>
    <w:rsid w:val="3D69400B"/>
    <w:rsid w:val="3D695DB9"/>
    <w:rsid w:val="3D6B60D2"/>
    <w:rsid w:val="3D6C7658"/>
    <w:rsid w:val="3D7309E6"/>
    <w:rsid w:val="3D7709B6"/>
    <w:rsid w:val="3D82755B"/>
    <w:rsid w:val="3D851D0D"/>
    <w:rsid w:val="3D8726E3"/>
    <w:rsid w:val="3D8825E6"/>
    <w:rsid w:val="3D8A21F3"/>
    <w:rsid w:val="3D8D74B5"/>
    <w:rsid w:val="3D8E3295"/>
    <w:rsid w:val="3D8F130B"/>
    <w:rsid w:val="3D9170BE"/>
    <w:rsid w:val="3D932E36"/>
    <w:rsid w:val="3D98044D"/>
    <w:rsid w:val="3D995F73"/>
    <w:rsid w:val="3DA678B1"/>
    <w:rsid w:val="3DAB7717"/>
    <w:rsid w:val="3DAE129E"/>
    <w:rsid w:val="3DB42DAD"/>
    <w:rsid w:val="3DB50FFF"/>
    <w:rsid w:val="3DBA03C3"/>
    <w:rsid w:val="3DCE0312"/>
    <w:rsid w:val="3DD2289E"/>
    <w:rsid w:val="3DD403A2"/>
    <w:rsid w:val="3DDF3AB1"/>
    <w:rsid w:val="3DE6740A"/>
    <w:rsid w:val="3DE742AE"/>
    <w:rsid w:val="3DEB1AF2"/>
    <w:rsid w:val="3DEE4511"/>
    <w:rsid w:val="3DF64221"/>
    <w:rsid w:val="3DFD29A6"/>
    <w:rsid w:val="3DFD7A3B"/>
    <w:rsid w:val="3DFE00DB"/>
    <w:rsid w:val="3E00493A"/>
    <w:rsid w:val="3E012496"/>
    <w:rsid w:val="3E045AE2"/>
    <w:rsid w:val="3E0470F9"/>
    <w:rsid w:val="3E077380"/>
    <w:rsid w:val="3E0E6961"/>
    <w:rsid w:val="3E196E16"/>
    <w:rsid w:val="3E1A6B83"/>
    <w:rsid w:val="3E1C107E"/>
    <w:rsid w:val="3E1D3B91"/>
    <w:rsid w:val="3E2241BA"/>
    <w:rsid w:val="3E3073E8"/>
    <w:rsid w:val="3E3143FD"/>
    <w:rsid w:val="3E35594C"/>
    <w:rsid w:val="3E371A14"/>
    <w:rsid w:val="3E3D4260"/>
    <w:rsid w:val="3E3E29D5"/>
    <w:rsid w:val="3E412892"/>
    <w:rsid w:val="3E43485C"/>
    <w:rsid w:val="3E4413E0"/>
    <w:rsid w:val="3E444130"/>
    <w:rsid w:val="3E4458D5"/>
    <w:rsid w:val="3E4668D1"/>
    <w:rsid w:val="3E4D56DB"/>
    <w:rsid w:val="3E4D7489"/>
    <w:rsid w:val="3E506F79"/>
    <w:rsid w:val="3E510064"/>
    <w:rsid w:val="3E52684D"/>
    <w:rsid w:val="3E55713E"/>
    <w:rsid w:val="3E5720B6"/>
    <w:rsid w:val="3E602FB4"/>
    <w:rsid w:val="3E682515"/>
    <w:rsid w:val="3E6D18D9"/>
    <w:rsid w:val="3E6F1764"/>
    <w:rsid w:val="3E7C1B1C"/>
    <w:rsid w:val="3E7E2E78"/>
    <w:rsid w:val="3E7E3AE6"/>
    <w:rsid w:val="3E815385"/>
    <w:rsid w:val="3E8310FD"/>
    <w:rsid w:val="3E83433A"/>
    <w:rsid w:val="3E842A27"/>
    <w:rsid w:val="3E8C6495"/>
    <w:rsid w:val="3E900F58"/>
    <w:rsid w:val="3E90381A"/>
    <w:rsid w:val="3E9B1232"/>
    <w:rsid w:val="3E9C21BE"/>
    <w:rsid w:val="3EA572C5"/>
    <w:rsid w:val="3EAA23B7"/>
    <w:rsid w:val="3EAD43CC"/>
    <w:rsid w:val="3EAD7F28"/>
    <w:rsid w:val="3EAE54E2"/>
    <w:rsid w:val="3EB04154"/>
    <w:rsid w:val="3EB07A18"/>
    <w:rsid w:val="3EB23790"/>
    <w:rsid w:val="3EB94B1E"/>
    <w:rsid w:val="3EBA2645"/>
    <w:rsid w:val="3EBE3EE3"/>
    <w:rsid w:val="3EC15757"/>
    <w:rsid w:val="3EC31134"/>
    <w:rsid w:val="3ED43706"/>
    <w:rsid w:val="3ED53FA0"/>
    <w:rsid w:val="3EE17366"/>
    <w:rsid w:val="3EE85404"/>
    <w:rsid w:val="3EE87285"/>
    <w:rsid w:val="3EEA4CD8"/>
    <w:rsid w:val="3EF416A3"/>
    <w:rsid w:val="3EF50E21"/>
    <w:rsid w:val="3EFB5137"/>
    <w:rsid w:val="3EFF4C3E"/>
    <w:rsid w:val="3F0062A9"/>
    <w:rsid w:val="3F0518E8"/>
    <w:rsid w:val="3F1637A7"/>
    <w:rsid w:val="3F292EFF"/>
    <w:rsid w:val="3F2D63DB"/>
    <w:rsid w:val="3F2D6C63"/>
    <w:rsid w:val="3F4A1C1A"/>
    <w:rsid w:val="3F4A7370"/>
    <w:rsid w:val="3F4C7741"/>
    <w:rsid w:val="3F4D655A"/>
    <w:rsid w:val="3F536D21"/>
    <w:rsid w:val="3F5575B0"/>
    <w:rsid w:val="3F5D7BA0"/>
    <w:rsid w:val="3F5E0891"/>
    <w:rsid w:val="3F60143E"/>
    <w:rsid w:val="3F60708E"/>
    <w:rsid w:val="3F620D12"/>
    <w:rsid w:val="3F626F64"/>
    <w:rsid w:val="3F6619C5"/>
    <w:rsid w:val="3F6C12E5"/>
    <w:rsid w:val="3F725A85"/>
    <w:rsid w:val="3F744EE9"/>
    <w:rsid w:val="3F746C97"/>
    <w:rsid w:val="3F767B2C"/>
    <w:rsid w:val="3F7E3672"/>
    <w:rsid w:val="3F7F7B16"/>
    <w:rsid w:val="3F827606"/>
    <w:rsid w:val="3F8844F1"/>
    <w:rsid w:val="3F890194"/>
    <w:rsid w:val="3F8A2017"/>
    <w:rsid w:val="3F8C5D8F"/>
    <w:rsid w:val="3F8E5FAB"/>
    <w:rsid w:val="3F9115F7"/>
    <w:rsid w:val="3F941354"/>
    <w:rsid w:val="3F95226A"/>
    <w:rsid w:val="3F961673"/>
    <w:rsid w:val="3FA0183A"/>
    <w:rsid w:val="3FA24216"/>
    <w:rsid w:val="3FA330D9"/>
    <w:rsid w:val="3FA35906"/>
    <w:rsid w:val="3FA4757D"/>
    <w:rsid w:val="3FA5340F"/>
    <w:rsid w:val="3FA70E1B"/>
    <w:rsid w:val="3FAA26B9"/>
    <w:rsid w:val="3FB154C4"/>
    <w:rsid w:val="3FB3156E"/>
    <w:rsid w:val="3FB33CEA"/>
    <w:rsid w:val="3FB367E3"/>
    <w:rsid w:val="3FBF5061"/>
    <w:rsid w:val="3FC96EB0"/>
    <w:rsid w:val="3FCA1921"/>
    <w:rsid w:val="3FDA4D4C"/>
    <w:rsid w:val="3FE07A45"/>
    <w:rsid w:val="3FE62F25"/>
    <w:rsid w:val="3FF51B86"/>
    <w:rsid w:val="3FF57DD8"/>
    <w:rsid w:val="3FFA719D"/>
    <w:rsid w:val="3FFC1167"/>
    <w:rsid w:val="3FFD6C8D"/>
    <w:rsid w:val="40055B41"/>
    <w:rsid w:val="40161AFD"/>
    <w:rsid w:val="40175FA1"/>
    <w:rsid w:val="401961DF"/>
    <w:rsid w:val="401979FB"/>
    <w:rsid w:val="401D2C36"/>
    <w:rsid w:val="401D4686"/>
    <w:rsid w:val="402406BD"/>
    <w:rsid w:val="40247A79"/>
    <w:rsid w:val="402C6763"/>
    <w:rsid w:val="402F63D8"/>
    <w:rsid w:val="403A3A3D"/>
    <w:rsid w:val="404457C1"/>
    <w:rsid w:val="40460BE4"/>
    <w:rsid w:val="404623E2"/>
    <w:rsid w:val="4046605F"/>
    <w:rsid w:val="404A344A"/>
    <w:rsid w:val="404C0A39"/>
    <w:rsid w:val="404C551E"/>
    <w:rsid w:val="404D2820"/>
    <w:rsid w:val="40512B35"/>
    <w:rsid w:val="40546FB4"/>
    <w:rsid w:val="405640BE"/>
    <w:rsid w:val="40583EC3"/>
    <w:rsid w:val="405D195B"/>
    <w:rsid w:val="405E25C9"/>
    <w:rsid w:val="406304E4"/>
    <w:rsid w:val="40630A6C"/>
    <w:rsid w:val="4064171F"/>
    <w:rsid w:val="40666C28"/>
    <w:rsid w:val="40675477"/>
    <w:rsid w:val="406D5BC1"/>
    <w:rsid w:val="40742CC1"/>
    <w:rsid w:val="4077259B"/>
    <w:rsid w:val="40774C14"/>
    <w:rsid w:val="407A208B"/>
    <w:rsid w:val="407D6A36"/>
    <w:rsid w:val="4081166C"/>
    <w:rsid w:val="4081341A"/>
    <w:rsid w:val="40827192"/>
    <w:rsid w:val="40896772"/>
    <w:rsid w:val="40906E47"/>
    <w:rsid w:val="4091520E"/>
    <w:rsid w:val="4093139F"/>
    <w:rsid w:val="409969B6"/>
    <w:rsid w:val="409C09C8"/>
    <w:rsid w:val="409D2154"/>
    <w:rsid w:val="40A125A4"/>
    <w:rsid w:val="40A17BF5"/>
    <w:rsid w:val="40A4348B"/>
    <w:rsid w:val="40A84034"/>
    <w:rsid w:val="40A92971"/>
    <w:rsid w:val="40AB493B"/>
    <w:rsid w:val="40B7508E"/>
    <w:rsid w:val="40B934D5"/>
    <w:rsid w:val="40BB01C3"/>
    <w:rsid w:val="40BC4452"/>
    <w:rsid w:val="40C45C80"/>
    <w:rsid w:val="40C96B6F"/>
    <w:rsid w:val="40CD48B1"/>
    <w:rsid w:val="40D7128C"/>
    <w:rsid w:val="40D91972"/>
    <w:rsid w:val="40DC3F2B"/>
    <w:rsid w:val="40DD5EC6"/>
    <w:rsid w:val="40E045E4"/>
    <w:rsid w:val="40E23045"/>
    <w:rsid w:val="40EB2F89"/>
    <w:rsid w:val="40ED2564"/>
    <w:rsid w:val="40F8389B"/>
    <w:rsid w:val="41016D9A"/>
    <w:rsid w:val="410858E9"/>
    <w:rsid w:val="410F480F"/>
    <w:rsid w:val="41151DB4"/>
    <w:rsid w:val="411B4114"/>
    <w:rsid w:val="411E6BE3"/>
    <w:rsid w:val="412070D7"/>
    <w:rsid w:val="412351F2"/>
    <w:rsid w:val="412479F7"/>
    <w:rsid w:val="41253F5D"/>
    <w:rsid w:val="41287583"/>
    <w:rsid w:val="412C5357"/>
    <w:rsid w:val="412E6E7D"/>
    <w:rsid w:val="412F731A"/>
    <w:rsid w:val="41313092"/>
    <w:rsid w:val="413606A8"/>
    <w:rsid w:val="413D3910"/>
    <w:rsid w:val="414300BE"/>
    <w:rsid w:val="41432DC5"/>
    <w:rsid w:val="41511859"/>
    <w:rsid w:val="415154E2"/>
    <w:rsid w:val="4152165F"/>
    <w:rsid w:val="4156513A"/>
    <w:rsid w:val="4159130B"/>
    <w:rsid w:val="4159263F"/>
    <w:rsid w:val="41596343"/>
    <w:rsid w:val="415B75FC"/>
    <w:rsid w:val="416965B3"/>
    <w:rsid w:val="416E62DC"/>
    <w:rsid w:val="41740393"/>
    <w:rsid w:val="417411D1"/>
    <w:rsid w:val="41760AA5"/>
    <w:rsid w:val="417967E7"/>
    <w:rsid w:val="417C22E7"/>
    <w:rsid w:val="41801923"/>
    <w:rsid w:val="41813EC3"/>
    <w:rsid w:val="418C651A"/>
    <w:rsid w:val="418E2292"/>
    <w:rsid w:val="41903339"/>
    <w:rsid w:val="41926BA2"/>
    <w:rsid w:val="419D24D5"/>
    <w:rsid w:val="41A30CE0"/>
    <w:rsid w:val="41AF0084"/>
    <w:rsid w:val="41B45A71"/>
    <w:rsid w:val="41B95CFE"/>
    <w:rsid w:val="41C0099D"/>
    <w:rsid w:val="41C5246F"/>
    <w:rsid w:val="41C757A4"/>
    <w:rsid w:val="41CC4B69"/>
    <w:rsid w:val="41CC7058"/>
    <w:rsid w:val="41D103D1"/>
    <w:rsid w:val="41D17FC1"/>
    <w:rsid w:val="41E57B4F"/>
    <w:rsid w:val="41F3588A"/>
    <w:rsid w:val="41F45E6E"/>
    <w:rsid w:val="41FA7928"/>
    <w:rsid w:val="420460B1"/>
    <w:rsid w:val="42073DF3"/>
    <w:rsid w:val="420E76A9"/>
    <w:rsid w:val="421A58D4"/>
    <w:rsid w:val="421B135F"/>
    <w:rsid w:val="4221632B"/>
    <w:rsid w:val="42224789"/>
    <w:rsid w:val="422608BA"/>
    <w:rsid w:val="422E6094"/>
    <w:rsid w:val="42310E70"/>
    <w:rsid w:val="423746D8"/>
    <w:rsid w:val="42386BE7"/>
    <w:rsid w:val="42417305"/>
    <w:rsid w:val="424566C9"/>
    <w:rsid w:val="42471B37"/>
    <w:rsid w:val="424720EA"/>
    <w:rsid w:val="4248180C"/>
    <w:rsid w:val="42487C6D"/>
    <w:rsid w:val="4251506E"/>
    <w:rsid w:val="42517CE6"/>
    <w:rsid w:val="425608D6"/>
    <w:rsid w:val="425A3F23"/>
    <w:rsid w:val="425F31D5"/>
    <w:rsid w:val="42607A93"/>
    <w:rsid w:val="42671AEE"/>
    <w:rsid w:val="42683220"/>
    <w:rsid w:val="426D56E2"/>
    <w:rsid w:val="42725710"/>
    <w:rsid w:val="42764AD5"/>
    <w:rsid w:val="427743CF"/>
    <w:rsid w:val="427B20EB"/>
    <w:rsid w:val="427C0151"/>
    <w:rsid w:val="4286713B"/>
    <w:rsid w:val="428B67D2"/>
    <w:rsid w:val="429513FF"/>
    <w:rsid w:val="42975177"/>
    <w:rsid w:val="429C11E6"/>
    <w:rsid w:val="429D2BF7"/>
    <w:rsid w:val="429E272E"/>
    <w:rsid w:val="42B07205"/>
    <w:rsid w:val="42B17F68"/>
    <w:rsid w:val="42B21F0C"/>
    <w:rsid w:val="42B45D29"/>
    <w:rsid w:val="42B850ED"/>
    <w:rsid w:val="42BD2703"/>
    <w:rsid w:val="42C341BE"/>
    <w:rsid w:val="42CD2946"/>
    <w:rsid w:val="42CF2B62"/>
    <w:rsid w:val="42D261AF"/>
    <w:rsid w:val="42D42037"/>
    <w:rsid w:val="42D46ED7"/>
    <w:rsid w:val="42DB056C"/>
    <w:rsid w:val="42E163B6"/>
    <w:rsid w:val="42E27C26"/>
    <w:rsid w:val="42E32866"/>
    <w:rsid w:val="42E34DC3"/>
    <w:rsid w:val="42E63A08"/>
    <w:rsid w:val="42E934F8"/>
    <w:rsid w:val="42ED2FE9"/>
    <w:rsid w:val="42F06635"/>
    <w:rsid w:val="42F24CD4"/>
    <w:rsid w:val="42F51E2A"/>
    <w:rsid w:val="42F51E9D"/>
    <w:rsid w:val="42F91AD0"/>
    <w:rsid w:val="42FA336E"/>
    <w:rsid w:val="42FE4D96"/>
    <w:rsid w:val="43065568"/>
    <w:rsid w:val="43085574"/>
    <w:rsid w:val="430F2F5F"/>
    <w:rsid w:val="43120CA1"/>
    <w:rsid w:val="431248AC"/>
    <w:rsid w:val="431E7646"/>
    <w:rsid w:val="4326102D"/>
    <w:rsid w:val="432A7D99"/>
    <w:rsid w:val="432B58BF"/>
    <w:rsid w:val="432F53AF"/>
    <w:rsid w:val="43301127"/>
    <w:rsid w:val="43320D41"/>
    <w:rsid w:val="43362BE2"/>
    <w:rsid w:val="43394480"/>
    <w:rsid w:val="433A5C59"/>
    <w:rsid w:val="433C2B75"/>
    <w:rsid w:val="433E1A96"/>
    <w:rsid w:val="433F5964"/>
    <w:rsid w:val="4348021F"/>
    <w:rsid w:val="43572B58"/>
    <w:rsid w:val="4359067E"/>
    <w:rsid w:val="43607C5E"/>
    <w:rsid w:val="43615785"/>
    <w:rsid w:val="43635059"/>
    <w:rsid w:val="43637504"/>
    <w:rsid w:val="4364501E"/>
    <w:rsid w:val="43645D87"/>
    <w:rsid w:val="43654AFE"/>
    <w:rsid w:val="43663D51"/>
    <w:rsid w:val="43665029"/>
    <w:rsid w:val="436E3370"/>
    <w:rsid w:val="437E00E5"/>
    <w:rsid w:val="437F5A9F"/>
    <w:rsid w:val="43811983"/>
    <w:rsid w:val="4387343D"/>
    <w:rsid w:val="438751EB"/>
    <w:rsid w:val="43893EEA"/>
    <w:rsid w:val="439369B8"/>
    <w:rsid w:val="439873F8"/>
    <w:rsid w:val="439A35C1"/>
    <w:rsid w:val="439A3794"/>
    <w:rsid w:val="43A538C3"/>
    <w:rsid w:val="43AD09C3"/>
    <w:rsid w:val="43AF029E"/>
    <w:rsid w:val="43B6162D"/>
    <w:rsid w:val="43B81849"/>
    <w:rsid w:val="43BB30E7"/>
    <w:rsid w:val="43BC4AF1"/>
    <w:rsid w:val="43BD2CC7"/>
    <w:rsid w:val="43C006FD"/>
    <w:rsid w:val="43C27FD1"/>
    <w:rsid w:val="43C33D49"/>
    <w:rsid w:val="43CA332A"/>
    <w:rsid w:val="43CF321B"/>
    <w:rsid w:val="43CF3AAE"/>
    <w:rsid w:val="43D23F8D"/>
    <w:rsid w:val="43D25540"/>
    <w:rsid w:val="43D62240"/>
    <w:rsid w:val="43E048FB"/>
    <w:rsid w:val="43E142FE"/>
    <w:rsid w:val="43E55A97"/>
    <w:rsid w:val="43E62E42"/>
    <w:rsid w:val="43E837B0"/>
    <w:rsid w:val="43E90395"/>
    <w:rsid w:val="43E91A02"/>
    <w:rsid w:val="43EA06B6"/>
    <w:rsid w:val="43EA221D"/>
    <w:rsid w:val="43EA7528"/>
    <w:rsid w:val="43F16B09"/>
    <w:rsid w:val="43F646D3"/>
    <w:rsid w:val="43F860E9"/>
    <w:rsid w:val="440071EC"/>
    <w:rsid w:val="440920A4"/>
    <w:rsid w:val="44093E52"/>
    <w:rsid w:val="440B5E1C"/>
    <w:rsid w:val="441D78FE"/>
    <w:rsid w:val="442137A7"/>
    <w:rsid w:val="442219E9"/>
    <w:rsid w:val="44222B9D"/>
    <w:rsid w:val="442C5D93"/>
    <w:rsid w:val="44316F05"/>
    <w:rsid w:val="44366C11"/>
    <w:rsid w:val="4439400C"/>
    <w:rsid w:val="443A225E"/>
    <w:rsid w:val="443A6FB3"/>
    <w:rsid w:val="4440539A"/>
    <w:rsid w:val="44427364"/>
    <w:rsid w:val="44444E8A"/>
    <w:rsid w:val="44481572"/>
    <w:rsid w:val="44515D2B"/>
    <w:rsid w:val="4464552C"/>
    <w:rsid w:val="44654E01"/>
    <w:rsid w:val="44663053"/>
    <w:rsid w:val="446A2417"/>
    <w:rsid w:val="446A7659"/>
    <w:rsid w:val="446D0585"/>
    <w:rsid w:val="446F79BD"/>
    <w:rsid w:val="447979B4"/>
    <w:rsid w:val="447A02DD"/>
    <w:rsid w:val="44805025"/>
    <w:rsid w:val="448434D9"/>
    <w:rsid w:val="4488746D"/>
    <w:rsid w:val="44896D41"/>
    <w:rsid w:val="448E4357"/>
    <w:rsid w:val="44924730"/>
    <w:rsid w:val="449556E6"/>
    <w:rsid w:val="44963FB0"/>
    <w:rsid w:val="44967FD8"/>
    <w:rsid w:val="44974A0B"/>
    <w:rsid w:val="44986F84"/>
    <w:rsid w:val="449B0C14"/>
    <w:rsid w:val="449B522E"/>
    <w:rsid w:val="449F7072"/>
    <w:rsid w:val="44A3373A"/>
    <w:rsid w:val="44A6695C"/>
    <w:rsid w:val="44A75520"/>
    <w:rsid w:val="44A818BD"/>
    <w:rsid w:val="44AC2A30"/>
    <w:rsid w:val="44B71B00"/>
    <w:rsid w:val="44BA7D3C"/>
    <w:rsid w:val="44BF09B5"/>
    <w:rsid w:val="44C24A2E"/>
    <w:rsid w:val="44C26352"/>
    <w:rsid w:val="44C747ED"/>
    <w:rsid w:val="44C77869"/>
    <w:rsid w:val="44CB1108"/>
    <w:rsid w:val="44CE67D1"/>
    <w:rsid w:val="44D42D7D"/>
    <w:rsid w:val="44D83825"/>
    <w:rsid w:val="44DD0E3B"/>
    <w:rsid w:val="44E544CB"/>
    <w:rsid w:val="44F71EFD"/>
    <w:rsid w:val="44F9671E"/>
    <w:rsid w:val="450464A6"/>
    <w:rsid w:val="4508410A"/>
    <w:rsid w:val="450D1720"/>
    <w:rsid w:val="450E5498"/>
    <w:rsid w:val="45107462"/>
    <w:rsid w:val="4513485D"/>
    <w:rsid w:val="451A31D0"/>
    <w:rsid w:val="451A5BEB"/>
    <w:rsid w:val="451D2064"/>
    <w:rsid w:val="451D7F53"/>
    <w:rsid w:val="452D3A41"/>
    <w:rsid w:val="45344C29"/>
    <w:rsid w:val="45372C41"/>
    <w:rsid w:val="45404891"/>
    <w:rsid w:val="45467E40"/>
    <w:rsid w:val="45482758"/>
    <w:rsid w:val="454A0786"/>
    <w:rsid w:val="454B2248"/>
    <w:rsid w:val="454C355D"/>
    <w:rsid w:val="454D4212"/>
    <w:rsid w:val="454F1D39"/>
    <w:rsid w:val="455240CA"/>
    <w:rsid w:val="455517D3"/>
    <w:rsid w:val="455728DE"/>
    <w:rsid w:val="45594965"/>
    <w:rsid w:val="455B7035"/>
    <w:rsid w:val="455E0543"/>
    <w:rsid w:val="45653200"/>
    <w:rsid w:val="45707244"/>
    <w:rsid w:val="45725A27"/>
    <w:rsid w:val="45726B7D"/>
    <w:rsid w:val="45790B64"/>
    <w:rsid w:val="457C4AF8"/>
    <w:rsid w:val="457F7404"/>
    <w:rsid w:val="45812642"/>
    <w:rsid w:val="45815C6A"/>
    <w:rsid w:val="45833892"/>
    <w:rsid w:val="458C4D3B"/>
    <w:rsid w:val="458F3906"/>
    <w:rsid w:val="458F65D9"/>
    <w:rsid w:val="45950775"/>
    <w:rsid w:val="459534C4"/>
    <w:rsid w:val="4599501F"/>
    <w:rsid w:val="459F70F8"/>
    <w:rsid w:val="45A04342"/>
    <w:rsid w:val="45A656D1"/>
    <w:rsid w:val="45A92AE9"/>
    <w:rsid w:val="45AA25D0"/>
    <w:rsid w:val="45AB0DE1"/>
    <w:rsid w:val="45B222C8"/>
    <w:rsid w:val="45B47DEE"/>
    <w:rsid w:val="45B7168C"/>
    <w:rsid w:val="45B95404"/>
    <w:rsid w:val="45BB5620"/>
    <w:rsid w:val="45C216EA"/>
    <w:rsid w:val="45C50B85"/>
    <w:rsid w:val="45C55607"/>
    <w:rsid w:val="45C67B21"/>
    <w:rsid w:val="45D72D53"/>
    <w:rsid w:val="45DB35CC"/>
    <w:rsid w:val="45DC018A"/>
    <w:rsid w:val="45DC10F2"/>
    <w:rsid w:val="45E63CEC"/>
    <w:rsid w:val="45E76415"/>
    <w:rsid w:val="45EA2E9B"/>
    <w:rsid w:val="45ED51BC"/>
    <w:rsid w:val="45EE1552"/>
    <w:rsid w:val="45FD1795"/>
    <w:rsid w:val="460053EE"/>
    <w:rsid w:val="460103E6"/>
    <w:rsid w:val="46027119"/>
    <w:rsid w:val="46037A0C"/>
    <w:rsid w:val="460C19D8"/>
    <w:rsid w:val="460F3276"/>
    <w:rsid w:val="46113492"/>
    <w:rsid w:val="46157AF3"/>
    <w:rsid w:val="46162856"/>
    <w:rsid w:val="4618784F"/>
    <w:rsid w:val="46194489"/>
    <w:rsid w:val="461D5993"/>
    <w:rsid w:val="461F3D68"/>
    <w:rsid w:val="46205483"/>
    <w:rsid w:val="462C1AB8"/>
    <w:rsid w:val="462D04F5"/>
    <w:rsid w:val="46317690"/>
    <w:rsid w:val="463902F3"/>
    <w:rsid w:val="464078D3"/>
    <w:rsid w:val="46426740"/>
    <w:rsid w:val="464A71CF"/>
    <w:rsid w:val="464B259D"/>
    <w:rsid w:val="465810C1"/>
    <w:rsid w:val="465957C7"/>
    <w:rsid w:val="46595B26"/>
    <w:rsid w:val="46603AD2"/>
    <w:rsid w:val="46634C3C"/>
    <w:rsid w:val="46634F3E"/>
    <w:rsid w:val="46641814"/>
    <w:rsid w:val="46674E60"/>
    <w:rsid w:val="46686E80"/>
    <w:rsid w:val="4668770C"/>
    <w:rsid w:val="466C2476"/>
    <w:rsid w:val="466E2692"/>
    <w:rsid w:val="467071D3"/>
    <w:rsid w:val="46712E82"/>
    <w:rsid w:val="46731A57"/>
    <w:rsid w:val="467460EE"/>
    <w:rsid w:val="46761547"/>
    <w:rsid w:val="46837AAD"/>
    <w:rsid w:val="46850148"/>
    <w:rsid w:val="46861269"/>
    <w:rsid w:val="4690085B"/>
    <w:rsid w:val="469320F9"/>
    <w:rsid w:val="469460F7"/>
    <w:rsid w:val="46971BE9"/>
    <w:rsid w:val="469730DC"/>
    <w:rsid w:val="469814BD"/>
    <w:rsid w:val="4698326B"/>
    <w:rsid w:val="469E668C"/>
    <w:rsid w:val="469F43E0"/>
    <w:rsid w:val="46A14816"/>
    <w:rsid w:val="46A44250"/>
    <w:rsid w:val="46AC5AA6"/>
    <w:rsid w:val="46AE7BBD"/>
    <w:rsid w:val="46AF08CC"/>
    <w:rsid w:val="46B01136"/>
    <w:rsid w:val="46B362F7"/>
    <w:rsid w:val="46B61944"/>
    <w:rsid w:val="46BC1650"/>
    <w:rsid w:val="46BD2CD2"/>
    <w:rsid w:val="46C04E4C"/>
    <w:rsid w:val="46C2653A"/>
    <w:rsid w:val="46C71DA3"/>
    <w:rsid w:val="46E464B1"/>
    <w:rsid w:val="46E70490"/>
    <w:rsid w:val="46E841F3"/>
    <w:rsid w:val="46E93AC7"/>
    <w:rsid w:val="46F024C9"/>
    <w:rsid w:val="46F74436"/>
    <w:rsid w:val="46FA73EB"/>
    <w:rsid w:val="46FD7572"/>
    <w:rsid w:val="47017063"/>
    <w:rsid w:val="4703319D"/>
    <w:rsid w:val="470365A9"/>
    <w:rsid w:val="47046B53"/>
    <w:rsid w:val="47054D84"/>
    <w:rsid w:val="47080055"/>
    <w:rsid w:val="47095F17"/>
    <w:rsid w:val="470F656B"/>
    <w:rsid w:val="47170634"/>
    <w:rsid w:val="4718206C"/>
    <w:rsid w:val="471A1ED2"/>
    <w:rsid w:val="471F4170"/>
    <w:rsid w:val="47204E94"/>
    <w:rsid w:val="47226FD9"/>
    <w:rsid w:val="47255E82"/>
    <w:rsid w:val="47264849"/>
    <w:rsid w:val="4727514F"/>
    <w:rsid w:val="472D7769"/>
    <w:rsid w:val="473478B2"/>
    <w:rsid w:val="47354F5E"/>
    <w:rsid w:val="473632F0"/>
    <w:rsid w:val="47372A84"/>
    <w:rsid w:val="473A4938"/>
    <w:rsid w:val="473C453F"/>
    <w:rsid w:val="473E02B7"/>
    <w:rsid w:val="474358CD"/>
    <w:rsid w:val="474653BD"/>
    <w:rsid w:val="47495A94"/>
    <w:rsid w:val="474A0A15"/>
    <w:rsid w:val="474A33A6"/>
    <w:rsid w:val="474E7DCE"/>
    <w:rsid w:val="47504F42"/>
    <w:rsid w:val="47531863"/>
    <w:rsid w:val="47531C2A"/>
    <w:rsid w:val="4753521B"/>
    <w:rsid w:val="475A075A"/>
    <w:rsid w:val="475C073D"/>
    <w:rsid w:val="4760218C"/>
    <w:rsid w:val="476359FF"/>
    <w:rsid w:val="47637178"/>
    <w:rsid w:val="47673926"/>
    <w:rsid w:val="476D4D2D"/>
    <w:rsid w:val="47714B20"/>
    <w:rsid w:val="47722C44"/>
    <w:rsid w:val="47723ABC"/>
    <w:rsid w:val="4774745E"/>
    <w:rsid w:val="477474B8"/>
    <w:rsid w:val="477A2E85"/>
    <w:rsid w:val="477D2EEB"/>
    <w:rsid w:val="4789450D"/>
    <w:rsid w:val="47997CE8"/>
    <w:rsid w:val="479B1265"/>
    <w:rsid w:val="479B74B7"/>
    <w:rsid w:val="479D7974"/>
    <w:rsid w:val="479E26CA"/>
    <w:rsid w:val="479E2B03"/>
    <w:rsid w:val="479F6BC7"/>
    <w:rsid w:val="47A63C85"/>
    <w:rsid w:val="47A67F81"/>
    <w:rsid w:val="47A913B5"/>
    <w:rsid w:val="47AA594C"/>
    <w:rsid w:val="47AA5FFD"/>
    <w:rsid w:val="47AF2F63"/>
    <w:rsid w:val="47B265AF"/>
    <w:rsid w:val="47B61D31"/>
    <w:rsid w:val="47B83827"/>
    <w:rsid w:val="47BC742D"/>
    <w:rsid w:val="47D6135A"/>
    <w:rsid w:val="47DB78B4"/>
    <w:rsid w:val="47DF0C10"/>
    <w:rsid w:val="47DF3BBE"/>
    <w:rsid w:val="47E23D6B"/>
    <w:rsid w:val="47E26E94"/>
    <w:rsid w:val="47E533A5"/>
    <w:rsid w:val="47E56984"/>
    <w:rsid w:val="47EC7D13"/>
    <w:rsid w:val="47ED5839"/>
    <w:rsid w:val="47FD1C99"/>
    <w:rsid w:val="47FF18A6"/>
    <w:rsid w:val="48002EF7"/>
    <w:rsid w:val="4800731A"/>
    <w:rsid w:val="480212E4"/>
    <w:rsid w:val="48082673"/>
    <w:rsid w:val="480A1F47"/>
    <w:rsid w:val="480F1C53"/>
    <w:rsid w:val="480F1EC9"/>
    <w:rsid w:val="481B3739"/>
    <w:rsid w:val="482079BC"/>
    <w:rsid w:val="4824463D"/>
    <w:rsid w:val="48276F9D"/>
    <w:rsid w:val="4832149E"/>
    <w:rsid w:val="48390A7E"/>
    <w:rsid w:val="4839282C"/>
    <w:rsid w:val="483B2A48"/>
    <w:rsid w:val="484102DB"/>
    <w:rsid w:val="48446A20"/>
    <w:rsid w:val="48452CF3"/>
    <w:rsid w:val="48457423"/>
    <w:rsid w:val="48496F13"/>
    <w:rsid w:val="484B7795"/>
    <w:rsid w:val="48531B40"/>
    <w:rsid w:val="485427D7"/>
    <w:rsid w:val="48566CF1"/>
    <w:rsid w:val="485A01FF"/>
    <w:rsid w:val="48615F8E"/>
    <w:rsid w:val="48627FF5"/>
    <w:rsid w:val="486B02D5"/>
    <w:rsid w:val="486E0728"/>
    <w:rsid w:val="486F26F2"/>
    <w:rsid w:val="48733F90"/>
    <w:rsid w:val="48745BFB"/>
    <w:rsid w:val="4875070A"/>
    <w:rsid w:val="487811A7"/>
    <w:rsid w:val="487B18D3"/>
    <w:rsid w:val="487D0AD0"/>
    <w:rsid w:val="487D6E9C"/>
    <w:rsid w:val="48825F81"/>
    <w:rsid w:val="48826148"/>
    <w:rsid w:val="488C6E00"/>
    <w:rsid w:val="488F68F0"/>
    <w:rsid w:val="48906F55"/>
    <w:rsid w:val="48912EFC"/>
    <w:rsid w:val="48945CB4"/>
    <w:rsid w:val="489839F7"/>
    <w:rsid w:val="489D725F"/>
    <w:rsid w:val="489E7916"/>
    <w:rsid w:val="489F1A9F"/>
    <w:rsid w:val="489F33B0"/>
    <w:rsid w:val="48A405ED"/>
    <w:rsid w:val="48A4239B"/>
    <w:rsid w:val="48A43788"/>
    <w:rsid w:val="48A51C70"/>
    <w:rsid w:val="48A736BB"/>
    <w:rsid w:val="48A95C04"/>
    <w:rsid w:val="48B12EB6"/>
    <w:rsid w:val="48B545A9"/>
    <w:rsid w:val="48C05429"/>
    <w:rsid w:val="48C13778"/>
    <w:rsid w:val="48C702FD"/>
    <w:rsid w:val="48C810F6"/>
    <w:rsid w:val="48D11FAA"/>
    <w:rsid w:val="48D525B6"/>
    <w:rsid w:val="48D77F50"/>
    <w:rsid w:val="48D82045"/>
    <w:rsid w:val="48DE2AEC"/>
    <w:rsid w:val="48DF3E68"/>
    <w:rsid w:val="48E1539E"/>
    <w:rsid w:val="48E17742"/>
    <w:rsid w:val="48E857AF"/>
    <w:rsid w:val="48E94252"/>
    <w:rsid w:val="48ED00F3"/>
    <w:rsid w:val="48F27454"/>
    <w:rsid w:val="48F549A5"/>
    <w:rsid w:val="48F744FA"/>
    <w:rsid w:val="48FD1AAC"/>
    <w:rsid w:val="49025314"/>
    <w:rsid w:val="490612E6"/>
    <w:rsid w:val="490B63E4"/>
    <w:rsid w:val="490D68EC"/>
    <w:rsid w:val="490E1F0B"/>
    <w:rsid w:val="491750B6"/>
    <w:rsid w:val="49177011"/>
    <w:rsid w:val="492545A8"/>
    <w:rsid w:val="492E6109"/>
    <w:rsid w:val="49307B69"/>
    <w:rsid w:val="49325BF9"/>
    <w:rsid w:val="493279A7"/>
    <w:rsid w:val="493F29DA"/>
    <w:rsid w:val="493F3E72"/>
    <w:rsid w:val="49465201"/>
    <w:rsid w:val="49496B9B"/>
    <w:rsid w:val="494D5ACC"/>
    <w:rsid w:val="494D662E"/>
    <w:rsid w:val="494E4BE9"/>
    <w:rsid w:val="49502686"/>
    <w:rsid w:val="49584F34"/>
    <w:rsid w:val="495C0214"/>
    <w:rsid w:val="495F6B1F"/>
    <w:rsid w:val="496A3954"/>
    <w:rsid w:val="496E4757"/>
    <w:rsid w:val="496F2199"/>
    <w:rsid w:val="497847C6"/>
    <w:rsid w:val="49785F7B"/>
    <w:rsid w:val="497A5766"/>
    <w:rsid w:val="497F42BD"/>
    <w:rsid w:val="49865514"/>
    <w:rsid w:val="498D475F"/>
    <w:rsid w:val="499222AC"/>
    <w:rsid w:val="49940662"/>
    <w:rsid w:val="49942410"/>
    <w:rsid w:val="499441BE"/>
    <w:rsid w:val="49995C78"/>
    <w:rsid w:val="49A0215B"/>
    <w:rsid w:val="49A9253C"/>
    <w:rsid w:val="49B520C2"/>
    <w:rsid w:val="49B67B88"/>
    <w:rsid w:val="49C57D0C"/>
    <w:rsid w:val="49D11ECD"/>
    <w:rsid w:val="49D40682"/>
    <w:rsid w:val="49DE18DD"/>
    <w:rsid w:val="49E04067"/>
    <w:rsid w:val="49E04860"/>
    <w:rsid w:val="49F20EE5"/>
    <w:rsid w:val="4A0008D3"/>
    <w:rsid w:val="4A064990"/>
    <w:rsid w:val="4A182544"/>
    <w:rsid w:val="4A182708"/>
    <w:rsid w:val="4A190B1F"/>
    <w:rsid w:val="4A2512BA"/>
    <w:rsid w:val="4A2C2648"/>
    <w:rsid w:val="4A2F53F3"/>
    <w:rsid w:val="4A317C5F"/>
    <w:rsid w:val="4A3605A8"/>
    <w:rsid w:val="4A370FED"/>
    <w:rsid w:val="4A3A67A3"/>
    <w:rsid w:val="4A3C1D1B"/>
    <w:rsid w:val="4A3D4856"/>
    <w:rsid w:val="4A3E65D7"/>
    <w:rsid w:val="4A43181B"/>
    <w:rsid w:val="4A477482"/>
    <w:rsid w:val="4A4E6A63"/>
    <w:rsid w:val="4A5A1B93"/>
    <w:rsid w:val="4A5F6809"/>
    <w:rsid w:val="4A631DE2"/>
    <w:rsid w:val="4A6873F9"/>
    <w:rsid w:val="4A6C457F"/>
    <w:rsid w:val="4A6F0787"/>
    <w:rsid w:val="4A6F3D98"/>
    <w:rsid w:val="4A713D5E"/>
    <w:rsid w:val="4A7162AD"/>
    <w:rsid w:val="4A7638C4"/>
    <w:rsid w:val="4A7713A7"/>
    <w:rsid w:val="4A79594B"/>
    <w:rsid w:val="4A7D2EA4"/>
    <w:rsid w:val="4A7F112E"/>
    <w:rsid w:val="4A822AB5"/>
    <w:rsid w:val="4A835FE1"/>
    <w:rsid w:val="4A875AD1"/>
    <w:rsid w:val="4A8B21F5"/>
    <w:rsid w:val="4A8C560A"/>
    <w:rsid w:val="4A9111A3"/>
    <w:rsid w:val="4A9973CA"/>
    <w:rsid w:val="4A9B3349"/>
    <w:rsid w:val="4AAA406F"/>
    <w:rsid w:val="4AAF71AD"/>
    <w:rsid w:val="4AB56533"/>
    <w:rsid w:val="4ABA3B32"/>
    <w:rsid w:val="4ABB39CC"/>
    <w:rsid w:val="4ABC1315"/>
    <w:rsid w:val="4ABC3301"/>
    <w:rsid w:val="4ABE526B"/>
    <w:rsid w:val="4AC705C3"/>
    <w:rsid w:val="4AC72922"/>
    <w:rsid w:val="4AC72AD7"/>
    <w:rsid w:val="4AC97E97"/>
    <w:rsid w:val="4AD131F0"/>
    <w:rsid w:val="4AD52CE0"/>
    <w:rsid w:val="4AD54A8E"/>
    <w:rsid w:val="4AD55CF6"/>
    <w:rsid w:val="4AD66A58"/>
    <w:rsid w:val="4ADD1A9D"/>
    <w:rsid w:val="4AE0698C"/>
    <w:rsid w:val="4AE178D7"/>
    <w:rsid w:val="4AE20F59"/>
    <w:rsid w:val="4AE83552"/>
    <w:rsid w:val="4AEC6208"/>
    <w:rsid w:val="4AF1036B"/>
    <w:rsid w:val="4AF84C20"/>
    <w:rsid w:val="4B055DDA"/>
    <w:rsid w:val="4B0E1D4E"/>
    <w:rsid w:val="4B10647C"/>
    <w:rsid w:val="4B133808"/>
    <w:rsid w:val="4B140B00"/>
    <w:rsid w:val="4B17661E"/>
    <w:rsid w:val="4B1F5D09"/>
    <w:rsid w:val="4B223A4B"/>
    <w:rsid w:val="4B272BB3"/>
    <w:rsid w:val="4B2B3DC2"/>
    <w:rsid w:val="4B3D2B27"/>
    <w:rsid w:val="4B3D6AD7"/>
    <w:rsid w:val="4B410375"/>
    <w:rsid w:val="4B4340EE"/>
    <w:rsid w:val="4B4439C2"/>
    <w:rsid w:val="4B49722A"/>
    <w:rsid w:val="4B4B650F"/>
    <w:rsid w:val="4B4C2876"/>
    <w:rsid w:val="4B555C31"/>
    <w:rsid w:val="4B5605CB"/>
    <w:rsid w:val="4B58746D"/>
    <w:rsid w:val="4B5A4F93"/>
    <w:rsid w:val="4B5C107E"/>
    <w:rsid w:val="4B5E6EB7"/>
    <w:rsid w:val="4B603D34"/>
    <w:rsid w:val="4B6422B6"/>
    <w:rsid w:val="4B643050"/>
    <w:rsid w:val="4B663938"/>
    <w:rsid w:val="4B6776B0"/>
    <w:rsid w:val="4B6B71A0"/>
    <w:rsid w:val="4B6E4EE3"/>
    <w:rsid w:val="4B7778F3"/>
    <w:rsid w:val="4B8743DD"/>
    <w:rsid w:val="4B8806DC"/>
    <w:rsid w:val="4B893ACB"/>
    <w:rsid w:val="4B8E1986"/>
    <w:rsid w:val="4B8E4932"/>
    <w:rsid w:val="4B9506C1"/>
    <w:rsid w:val="4B964554"/>
    <w:rsid w:val="4B971D44"/>
    <w:rsid w:val="4B9A2ED5"/>
    <w:rsid w:val="4B9F32EE"/>
    <w:rsid w:val="4BA10E14"/>
    <w:rsid w:val="4BA252A4"/>
    <w:rsid w:val="4BA916AB"/>
    <w:rsid w:val="4BA91A77"/>
    <w:rsid w:val="4BAB1C93"/>
    <w:rsid w:val="4BAD5A0B"/>
    <w:rsid w:val="4BAF1783"/>
    <w:rsid w:val="4BB225EC"/>
    <w:rsid w:val="4BB23021"/>
    <w:rsid w:val="4BB56B8D"/>
    <w:rsid w:val="4BB56F3D"/>
    <w:rsid w:val="4BBB78AA"/>
    <w:rsid w:val="4BC01147"/>
    <w:rsid w:val="4BC36FDC"/>
    <w:rsid w:val="4BC62629"/>
    <w:rsid w:val="4BCC5028"/>
    <w:rsid w:val="4BD25472"/>
    <w:rsid w:val="4BD40E87"/>
    <w:rsid w:val="4BD51A25"/>
    <w:rsid w:val="4BD905AE"/>
    <w:rsid w:val="4BDA60D4"/>
    <w:rsid w:val="4BE156B5"/>
    <w:rsid w:val="4BEA116A"/>
    <w:rsid w:val="4BEB02E1"/>
    <w:rsid w:val="4BF1634C"/>
    <w:rsid w:val="4BF47196"/>
    <w:rsid w:val="4BF61160"/>
    <w:rsid w:val="4BF75A90"/>
    <w:rsid w:val="4BFC3701"/>
    <w:rsid w:val="4BFE7B5F"/>
    <w:rsid w:val="4BFF5B3B"/>
    <w:rsid w:val="4C03562B"/>
    <w:rsid w:val="4C07336D"/>
    <w:rsid w:val="4C076124"/>
    <w:rsid w:val="4C085898"/>
    <w:rsid w:val="4C0A7F2C"/>
    <w:rsid w:val="4C0F3FD0"/>
    <w:rsid w:val="4C150AB7"/>
    <w:rsid w:val="4C1665CC"/>
    <w:rsid w:val="4C177634"/>
    <w:rsid w:val="4C251FC6"/>
    <w:rsid w:val="4C2973D6"/>
    <w:rsid w:val="4C2A0E0A"/>
    <w:rsid w:val="4C2B0BB7"/>
    <w:rsid w:val="4C2D2E42"/>
    <w:rsid w:val="4C327CBE"/>
    <w:rsid w:val="4C345F7A"/>
    <w:rsid w:val="4C39104D"/>
    <w:rsid w:val="4C392DFB"/>
    <w:rsid w:val="4C393F5F"/>
    <w:rsid w:val="4C3C28EB"/>
    <w:rsid w:val="4C4A3A29"/>
    <w:rsid w:val="4C52210E"/>
    <w:rsid w:val="4C575977"/>
    <w:rsid w:val="4C5A3A1A"/>
    <w:rsid w:val="4C60482B"/>
    <w:rsid w:val="4C61684E"/>
    <w:rsid w:val="4C6221F0"/>
    <w:rsid w:val="4C651E42"/>
    <w:rsid w:val="4C653BF0"/>
    <w:rsid w:val="4C6F2CC0"/>
    <w:rsid w:val="4C805297"/>
    <w:rsid w:val="4C820C46"/>
    <w:rsid w:val="4C893A3D"/>
    <w:rsid w:val="4C9269AF"/>
    <w:rsid w:val="4C940529"/>
    <w:rsid w:val="4C96649F"/>
    <w:rsid w:val="4C97554E"/>
    <w:rsid w:val="4C9E5354"/>
    <w:rsid w:val="4CA301C9"/>
    <w:rsid w:val="4CA31D79"/>
    <w:rsid w:val="4CA706AC"/>
    <w:rsid w:val="4CA77B53"/>
    <w:rsid w:val="4CAC181F"/>
    <w:rsid w:val="4CAC7A71"/>
    <w:rsid w:val="4CBD46A4"/>
    <w:rsid w:val="4CC41E36"/>
    <w:rsid w:val="4CC70D3F"/>
    <w:rsid w:val="4CCC3C6F"/>
    <w:rsid w:val="4CD40D75"/>
    <w:rsid w:val="4CD45776"/>
    <w:rsid w:val="4CDA321D"/>
    <w:rsid w:val="4CDB0356"/>
    <w:rsid w:val="4CDF25AC"/>
    <w:rsid w:val="4CEC4311"/>
    <w:rsid w:val="4CEF5BAF"/>
    <w:rsid w:val="4CFF2296"/>
    <w:rsid w:val="4D07114B"/>
    <w:rsid w:val="4D0B0584"/>
    <w:rsid w:val="4D0E24D9"/>
    <w:rsid w:val="4D0E6DBB"/>
    <w:rsid w:val="4D133390"/>
    <w:rsid w:val="4D1B69A4"/>
    <w:rsid w:val="4D1F0235"/>
    <w:rsid w:val="4D20220D"/>
    <w:rsid w:val="4D251398"/>
    <w:rsid w:val="4D2717ED"/>
    <w:rsid w:val="4D2B3D75"/>
    <w:rsid w:val="4D2E492A"/>
    <w:rsid w:val="4D357A66"/>
    <w:rsid w:val="4D387556"/>
    <w:rsid w:val="4D396031"/>
    <w:rsid w:val="4D3A1520"/>
    <w:rsid w:val="4D3A32CE"/>
    <w:rsid w:val="4D3C262E"/>
    <w:rsid w:val="4D3D31CD"/>
    <w:rsid w:val="4D3D5DE0"/>
    <w:rsid w:val="4D3F08E5"/>
    <w:rsid w:val="4D4203D5"/>
    <w:rsid w:val="4D553C64"/>
    <w:rsid w:val="4D5A74CD"/>
    <w:rsid w:val="4D5F4AE3"/>
    <w:rsid w:val="4D64784A"/>
    <w:rsid w:val="4D673998"/>
    <w:rsid w:val="4D6B60A2"/>
    <w:rsid w:val="4D754306"/>
    <w:rsid w:val="4D7560B4"/>
    <w:rsid w:val="4D773787"/>
    <w:rsid w:val="4D782FD9"/>
    <w:rsid w:val="4D78636E"/>
    <w:rsid w:val="4D8056D5"/>
    <w:rsid w:val="4D850711"/>
    <w:rsid w:val="4D8F52CB"/>
    <w:rsid w:val="4D926C66"/>
    <w:rsid w:val="4D9A3D6D"/>
    <w:rsid w:val="4D9C5D37"/>
    <w:rsid w:val="4D9F1383"/>
    <w:rsid w:val="4DA1334D"/>
    <w:rsid w:val="4DA1635B"/>
    <w:rsid w:val="4DA35DAA"/>
    <w:rsid w:val="4DA90454"/>
    <w:rsid w:val="4DAC20D0"/>
    <w:rsid w:val="4DAC4ACA"/>
    <w:rsid w:val="4DAC72E2"/>
    <w:rsid w:val="4DAE15C6"/>
    <w:rsid w:val="4DAE7818"/>
    <w:rsid w:val="4DB03406"/>
    <w:rsid w:val="4DB30DFC"/>
    <w:rsid w:val="4DBE5CAD"/>
    <w:rsid w:val="4DC36FD1"/>
    <w:rsid w:val="4DC4528E"/>
    <w:rsid w:val="4DCB5530"/>
    <w:rsid w:val="4DD202D7"/>
    <w:rsid w:val="4DD454D1"/>
    <w:rsid w:val="4DDC6134"/>
    <w:rsid w:val="4DDD3C5A"/>
    <w:rsid w:val="4DDE1EAC"/>
    <w:rsid w:val="4DE85CF6"/>
    <w:rsid w:val="4DEA0BB2"/>
    <w:rsid w:val="4DF07E31"/>
    <w:rsid w:val="4E0A23FF"/>
    <w:rsid w:val="4E0D23AD"/>
    <w:rsid w:val="4E133F60"/>
    <w:rsid w:val="4E1B3100"/>
    <w:rsid w:val="4E1C0C26"/>
    <w:rsid w:val="4E2142A9"/>
    <w:rsid w:val="4E247602"/>
    <w:rsid w:val="4E261AA5"/>
    <w:rsid w:val="4E263853"/>
    <w:rsid w:val="4E281379"/>
    <w:rsid w:val="4E2E3285"/>
    <w:rsid w:val="4E37780E"/>
    <w:rsid w:val="4E3A6BF3"/>
    <w:rsid w:val="4E3C6D19"/>
    <w:rsid w:val="4E3D6F1E"/>
    <w:rsid w:val="4E3F139D"/>
    <w:rsid w:val="4E3F66C2"/>
    <w:rsid w:val="4E40026B"/>
    <w:rsid w:val="4E451F2B"/>
    <w:rsid w:val="4E4A12EF"/>
    <w:rsid w:val="4E4D47C5"/>
    <w:rsid w:val="4E4D5283"/>
    <w:rsid w:val="4E4F3487"/>
    <w:rsid w:val="4E4F4E1D"/>
    <w:rsid w:val="4E524648"/>
    <w:rsid w:val="4E5258FB"/>
    <w:rsid w:val="4E5D709A"/>
    <w:rsid w:val="4E5F235C"/>
    <w:rsid w:val="4E61488B"/>
    <w:rsid w:val="4E6A0A71"/>
    <w:rsid w:val="4E6C5709"/>
    <w:rsid w:val="4E6F4101"/>
    <w:rsid w:val="4E7147DF"/>
    <w:rsid w:val="4E797E26"/>
    <w:rsid w:val="4E7C3473"/>
    <w:rsid w:val="4E813A0E"/>
    <w:rsid w:val="4E832A53"/>
    <w:rsid w:val="4E8645F7"/>
    <w:rsid w:val="4E901F40"/>
    <w:rsid w:val="4EA056A9"/>
    <w:rsid w:val="4EA12ED9"/>
    <w:rsid w:val="4EA2737D"/>
    <w:rsid w:val="4EA7124F"/>
    <w:rsid w:val="4EAA6232"/>
    <w:rsid w:val="4EAC3CBD"/>
    <w:rsid w:val="4EAC3D58"/>
    <w:rsid w:val="4EB273E3"/>
    <w:rsid w:val="4EB3158A"/>
    <w:rsid w:val="4EB470B0"/>
    <w:rsid w:val="4EBB3F9B"/>
    <w:rsid w:val="4EC54E1A"/>
    <w:rsid w:val="4EC72940"/>
    <w:rsid w:val="4EC81323"/>
    <w:rsid w:val="4ECB44BE"/>
    <w:rsid w:val="4ECE1184"/>
    <w:rsid w:val="4ECE3A54"/>
    <w:rsid w:val="4ECF3EEA"/>
    <w:rsid w:val="4ED65279"/>
    <w:rsid w:val="4ED65AC3"/>
    <w:rsid w:val="4ED908C5"/>
    <w:rsid w:val="4EDE24FE"/>
    <w:rsid w:val="4EDF237F"/>
    <w:rsid w:val="4EE07EA5"/>
    <w:rsid w:val="4EED611E"/>
    <w:rsid w:val="4EEE25C2"/>
    <w:rsid w:val="4EEF1A5A"/>
    <w:rsid w:val="4EFE032C"/>
    <w:rsid w:val="4F0516BA"/>
    <w:rsid w:val="4F0A5E14"/>
    <w:rsid w:val="4F0C76FA"/>
    <w:rsid w:val="4F1B712F"/>
    <w:rsid w:val="4F2064F4"/>
    <w:rsid w:val="4F2B5DCC"/>
    <w:rsid w:val="4F343D4D"/>
    <w:rsid w:val="4F3B1580"/>
    <w:rsid w:val="4F3B7F03"/>
    <w:rsid w:val="4F3D2C02"/>
    <w:rsid w:val="4F3F0F04"/>
    <w:rsid w:val="4F3F510F"/>
    <w:rsid w:val="4F4026F2"/>
    <w:rsid w:val="4F416B96"/>
    <w:rsid w:val="4F4421E2"/>
    <w:rsid w:val="4F4426F6"/>
    <w:rsid w:val="4F45117A"/>
    <w:rsid w:val="4F4C5E91"/>
    <w:rsid w:val="4F534001"/>
    <w:rsid w:val="4F5A7C3C"/>
    <w:rsid w:val="4F5C39D0"/>
    <w:rsid w:val="4F604B42"/>
    <w:rsid w:val="4F607AAC"/>
    <w:rsid w:val="4F68018C"/>
    <w:rsid w:val="4F6C0472"/>
    <w:rsid w:val="4F700E05"/>
    <w:rsid w:val="4F710579"/>
    <w:rsid w:val="4F871635"/>
    <w:rsid w:val="4F9F38BD"/>
    <w:rsid w:val="4FA13429"/>
    <w:rsid w:val="4FA40ED3"/>
    <w:rsid w:val="4FA7451F"/>
    <w:rsid w:val="4FA93450"/>
    <w:rsid w:val="4FA964E9"/>
    <w:rsid w:val="4FAA2338"/>
    <w:rsid w:val="4FAB1172"/>
    <w:rsid w:val="4FAC106B"/>
    <w:rsid w:val="4FAF29A8"/>
    <w:rsid w:val="4FB071BA"/>
    <w:rsid w:val="4FB22261"/>
    <w:rsid w:val="4FB72413"/>
    <w:rsid w:val="4FB8497E"/>
    <w:rsid w:val="4FB858C2"/>
    <w:rsid w:val="4FBB2829"/>
    <w:rsid w:val="4FBD3D43"/>
    <w:rsid w:val="4FC60E49"/>
    <w:rsid w:val="4FC7765E"/>
    <w:rsid w:val="4FCB31FF"/>
    <w:rsid w:val="4FD5108C"/>
    <w:rsid w:val="4FD74E04"/>
    <w:rsid w:val="4FDD3A7F"/>
    <w:rsid w:val="4FDD43E5"/>
    <w:rsid w:val="4FDE5BC3"/>
    <w:rsid w:val="4FE61EC7"/>
    <w:rsid w:val="4FE87FA6"/>
    <w:rsid w:val="4FE92CD6"/>
    <w:rsid w:val="4FEB0653"/>
    <w:rsid w:val="4FEB4D54"/>
    <w:rsid w:val="4FF04026"/>
    <w:rsid w:val="4FFF120E"/>
    <w:rsid w:val="500252F6"/>
    <w:rsid w:val="50047BC4"/>
    <w:rsid w:val="5006624C"/>
    <w:rsid w:val="50125E3D"/>
    <w:rsid w:val="50175B49"/>
    <w:rsid w:val="501A73E7"/>
    <w:rsid w:val="501C315F"/>
    <w:rsid w:val="50256650"/>
    <w:rsid w:val="5028209B"/>
    <w:rsid w:val="502B6F59"/>
    <w:rsid w:val="502B7D02"/>
    <w:rsid w:val="502D0EE7"/>
    <w:rsid w:val="502D54EA"/>
    <w:rsid w:val="5035213F"/>
    <w:rsid w:val="504306EC"/>
    <w:rsid w:val="50463D38"/>
    <w:rsid w:val="504A46EB"/>
    <w:rsid w:val="50593A6B"/>
    <w:rsid w:val="50630D8E"/>
    <w:rsid w:val="5066314E"/>
    <w:rsid w:val="50677322"/>
    <w:rsid w:val="506F328F"/>
    <w:rsid w:val="50746218"/>
    <w:rsid w:val="507765E7"/>
    <w:rsid w:val="50830C96"/>
    <w:rsid w:val="50863F0E"/>
    <w:rsid w:val="50877DE9"/>
    <w:rsid w:val="508D67A7"/>
    <w:rsid w:val="508F1B83"/>
    <w:rsid w:val="50901457"/>
    <w:rsid w:val="50903FCF"/>
    <w:rsid w:val="509176A9"/>
    <w:rsid w:val="50920766"/>
    <w:rsid w:val="509251CF"/>
    <w:rsid w:val="50940F47"/>
    <w:rsid w:val="50964CC0"/>
    <w:rsid w:val="50975357"/>
    <w:rsid w:val="509E3B74"/>
    <w:rsid w:val="50A126B7"/>
    <w:rsid w:val="50A15412"/>
    <w:rsid w:val="50A373DC"/>
    <w:rsid w:val="50A5479F"/>
    <w:rsid w:val="50A76ECD"/>
    <w:rsid w:val="50AE54F4"/>
    <w:rsid w:val="50B36711"/>
    <w:rsid w:val="50BC224C"/>
    <w:rsid w:val="50BE173C"/>
    <w:rsid w:val="50BF46B5"/>
    <w:rsid w:val="50C32124"/>
    <w:rsid w:val="50C50B26"/>
    <w:rsid w:val="50C6354B"/>
    <w:rsid w:val="50CC09F9"/>
    <w:rsid w:val="50CD09CB"/>
    <w:rsid w:val="50D152E7"/>
    <w:rsid w:val="50D96450"/>
    <w:rsid w:val="50DB55BF"/>
    <w:rsid w:val="50E023F9"/>
    <w:rsid w:val="50E063B5"/>
    <w:rsid w:val="50E36F44"/>
    <w:rsid w:val="50E40385"/>
    <w:rsid w:val="50E579F5"/>
    <w:rsid w:val="50E7551B"/>
    <w:rsid w:val="50E96732"/>
    <w:rsid w:val="50EE4AFC"/>
    <w:rsid w:val="50F25C6E"/>
    <w:rsid w:val="50FB0FC7"/>
    <w:rsid w:val="51000F15"/>
    <w:rsid w:val="51020AA1"/>
    <w:rsid w:val="510559A1"/>
    <w:rsid w:val="51066F16"/>
    <w:rsid w:val="510746C6"/>
    <w:rsid w:val="5112495F"/>
    <w:rsid w:val="511856D5"/>
    <w:rsid w:val="511B754A"/>
    <w:rsid w:val="51226553"/>
    <w:rsid w:val="5128521C"/>
    <w:rsid w:val="512C0ADB"/>
    <w:rsid w:val="512C73D2"/>
    <w:rsid w:val="51363DAD"/>
    <w:rsid w:val="51395A9F"/>
    <w:rsid w:val="513E4F39"/>
    <w:rsid w:val="5140188A"/>
    <w:rsid w:val="51422684"/>
    <w:rsid w:val="514364CA"/>
    <w:rsid w:val="51450494"/>
    <w:rsid w:val="514B6843"/>
    <w:rsid w:val="515406D7"/>
    <w:rsid w:val="51557E73"/>
    <w:rsid w:val="51583D23"/>
    <w:rsid w:val="515D21C4"/>
    <w:rsid w:val="515D57DD"/>
    <w:rsid w:val="51606526"/>
    <w:rsid w:val="51695F30"/>
    <w:rsid w:val="516A7EFA"/>
    <w:rsid w:val="516B1768"/>
    <w:rsid w:val="516C72A2"/>
    <w:rsid w:val="516F4BE7"/>
    <w:rsid w:val="51714DE5"/>
    <w:rsid w:val="5176064D"/>
    <w:rsid w:val="5176689F"/>
    <w:rsid w:val="517A013D"/>
    <w:rsid w:val="517D19DC"/>
    <w:rsid w:val="517D3BB6"/>
    <w:rsid w:val="517D7C2E"/>
    <w:rsid w:val="518260BE"/>
    <w:rsid w:val="518335CA"/>
    <w:rsid w:val="51850890"/>
    <w:rsid w:val="51851EB1"/>
    <w:rsid w:val="5187285A"/>
    <w:rsid w:val="51922AAE"/>
    <w:rsid w:val="5198235F"/>
    <w:rsid w:val="519B00B4"/>
    <w:rsid w:val="51AF7F74"/>
    <w:rsid w:val="51B07B89"/>
    <w:rsid w:val="51B8633F"/>
    <w:rsid w:val="51B86EB8"/>
    <w:rsid w:val="51BD5907"/>
    <w:rsid w:val="51C15D6C"/>
    <w:rsid w:val="51C47ACD"/>
    <w:rsid w:val="51C63383"/>
    <w:rsid w:val="51C74067"/>
    <w:rsid w:val="51CC5E14"/>
    <w:rsid w:val="51CD70D5"/>
    <w:rsid w:val="51D11D63"/>
    <w:rsid w:val="51D51818"/>
    <w:rsid w:val="51E25CE3"/>
    <w:rsid w:val="51ED4DB3"/>
    <w:rsid w:val="51EE7930"/>
    <w:rsid w:val="51EF032B"/>
    <w:rsid w:val="51F6353C"/>
    <w:rsid w:val="51F779E0"/>
    <w:rsid w:val="51FA74D0"/>
    <w:rsid w:val="51FB5AF8"/>
    <w:rsid w:val="51FF0A8E"/>
    <w:rsid w:val="52036385"/>
    <w:rsid w:val="52114A6A"/>
    <w:rsid w:val="521D477A"/>
    <w:rsid w:val="52214A5D"/>
    <w:rsid w:val="5230738F"/>
    <w:rsid w:val="52383B54"/>
    <w:rsid w:val="523B54F8"/>
    <w:rsid w:val="523C6E4B"/>
    <w:rsid w:val="523F3135"/>
    <w:rsid w:val="5244074B"/>
    <w:rsid w:val="524C2706"/>
    <w:rsid w:val="524E4E4A"/>
    <w:rsid w:val="52506A55"/>
    <w:rsid w:val="52526266"/>
    <w:rsid w:val="52546CFC"/>
    <w:rsid w:val="525564B4"/>
    <w:rsid w:val="52595FA5"/>
    <w:rsid w:val="525F1DED"/>
    <w:rsid w:val="525F5585"/>
    <w:rsid w:val="52622653"/>
    <w:rsid w:val="5266638D"/>
    <w:rsid w:val="52666914"/>
    <w:rsid w:val="5269385B"/>
    <w:rsid w:val="526959D1"/>
    <w:rsid w:val="52706D8F"/>
    <w:rsid w:val="52741FD4"/>
    <w:rsid w:val="52754DA9"/>
    <w:rsid w:val="527A5569"/>
    <w:rsid w:val="527B646A"/>
    <w:rsid w:val="52825CD0"/>
    <w:rsid w:val="52831274"/>
    <w:rsid w:val="528327C5"/>
    <w:rsid w:val="5284605D"/>
    <w:rsid w:val="52874BBA"/>
    <w:rsid w:val="52884ADC"/>
    <w:rsid w:val="528E574C"/>
    <w:rsid w:val="52950FE1"/>
    <w:rsid w:val="5297279D"/>
    <w:rsid w:val="529B7A17"/>
    <w:rsid w:val="529B7FFB"/>
    <w:rsid w:val="529E31AB"/>
    <w:rsid w:val="529E42FF"/>
    <w:rsid w:val="52A01E26"/>
    <w:rsid w:val="52AF3C79"/>
    <w:rsid w:val="52B44104"/>
    <w:rsid w:val="52B753C1"/>
    <w:rsid w:val="52B7608C"/>
    <w:rsid w:val="52C11D9C"/>
    <w:rsid w:val="52C65CCD"/>
    <w:rsid w:val="52CB5D1A"/>
    <w:rsid w:val="52CB74D8"/>
    <w:rsid w:val="52CD6B75"/>
    <w:rsid w:val="52D47D21"/>
    <w:rsid w:val="52E8299A"/>
    <w:rsid w:val="52EB65EF"/>
    <w:rsid w:val="52FE538A"/>
    <w:rsid w:val="530C3017"/>
    <w:rsid w:val="5312018A"/>
    <w:rsid w:val="531243A6"/>
    <w:rsid w:val="53157F45"/>
    <w:rsid w:val="531719BC"/>
    <w:rsid w:val="531D5224"/>
    <w:rsid w:val="531E0F9C"/>
    <w:rsid w:val="532109CD"/>
    <w:rsid w:val="5322219A"/>
    <w:rsid w:val="53315FDD"/>
    <w:rsid w:val="533407C0"/>
    <w:rsid w:val="533B56AA"/>
    <w:rsid w:val="533E74D3"/>
    <w:rsid w:val="53456529"/>
    <w:rsid w:val="53490328"/>
    <w:rsid w:val="534D74AF"/>
    <w:rsid w:val="534E6702"/>
    <w:rsid w:val="534E7AD3"/>
    <w:rsid w:val="53572091"/>
    <w:rsid w:val="535B15B5"/>
    <w:rsid w:val="535B5D4C"/>
    <w:rsid w:val="53607807"/>
    <w:rsid w:val="53664BDE"/>
    <w:rsid w:val="536674B6"/>
    <w:rsid w:val="53682217"/>
    <w:rsid w:val="536F7A4A"/>
    <w:rsid w:val="537137C2"/>
    <w:rsid w:val="53740BBC"/>
    <w:rsid w:val="537C041E"/>
    <w:rsid w:val="537D1C8A"/>
    <w:rsid w:val="537D2167"/>
    <w:rsid w:val="538057B3"/>
    <w:rsid w:val="538E1E04"/>
    <w:rsid w:val="5393341E"/>
    <w:rsid w:val="5394300C"/>
    <w:rsid w:val="539560B4"/>
    <w:rsid w:val="53960EF5"/>
    <w:rsid w:val="53963CFA"/>
    <w:rsid w:val="53990623"/>
    <w:rsid w:val="539F391C"/>
    <w:rsid w:val="53A2397B"/>
    <w:rsid w:val="53A45630"/>
    <w:rsid w:val="53AF1153"/>
    <w:rsid w:val="53B37216"/>
    <w:rsid w:val="53BC0B3C"/>
    <w:rsid w:val="53C421A6"/>
    <w:rsid w:val="53C51418"/>
    <w:rsid w:val="53C9715A"/>
    <w:rsid w:val="53CE651E"/>
    <w:rsid w:val="53D17DBD"/>
    <w:rsid w:val="53D37FD9"/>
    <w:rsid w:val="53D55AFF"/>
    <w:rsid w:val="53E04C9E"/>
    <w:rsid w:val="53E17907"/>
    <w:rsid w:val="53E2021C"/>
    <w:rsid w:val="53E53868"/>
    <w:rsid w:val="53EA0E7E"/>
    <w:rsid w:val="53EC109A"/>
    <w:rsid w:val="53ED08FF"/>
    <w:rsid w:val="53F30474"/>
    <w:rsid w:val="53F33A4D"/>
    <w:rsid w:val="53F341D7"/>
    <w:rsid w:val="53F52DB0"/>
    <w:rsid w:val="53F73CC7"/>
    <w:rsid w:val="53F83BBD"/>
    <w:rsid w:val="53FB3B1D"/>
    <w:rsid w:val="53FF0DCE"/>
    <w:rsid w:val="53FF439B"/>
    <w:rsid w:val="540208BE"/>
    <w:rsid w:val="54065CB8"/>
    <w:rsid w:val="5407552B"/>
    <w:rsid w:val="540C5299"/>
    <w:rsid w:val="541923D0"/>
    <w:rsid w:val="54196BAA"/>
    <w:rsid w:val="542425E2"/>
    <w:rsid w:val="5425405E"/>
    <w:rsid w:val="54285E64"/>
    <w:rsid w:val="5429409D"/>
    <w:rsid w:val="543C0C79"/>
    <w:rsid w:val="54400C9A"/>
    <w:rsid w:val="54422A68"/>
    <w:rsid w:val="5445603F"/>
    <w:rsid w:val="544607AB"/>
    <w:rsid w:val="544B7B6F"/>
    <w:rsid w:val="54520EFE"/>
    <w:rsid w:val="54537B65"/>
    <w:rsid w:val="545A049F"/>
    <w:rsid w:val="545C1D7C"/>
    <w:rsid w:val="545C7FCE"/>
    <w:rsid w:val="54612FF9"/>
    <w:rsid w:val="546A01E4"/>
    <w:rsid w:val="546B1C78"/>
    <w:rsid w:val="546E385E"/>
    <w:rsid w:val="546F1220"/>
    <w:rsid w:val="54754BEC"/>
    <w:rsid w:val="54770964"/>
    <w:rsid w:val="547A6B9C"/>
    <w:rsid w:val="547E7F44"/>
    <w:rsid w:val="547F1F0F"/>
    <w:rsid w:val="54890697"/>
    <w:rsid w:val="548D0188"/>
    <w:rsid w:val="54907C78"/>
    <w:rsid w:val="54996B2C"/>
    <w:rsid w:val="549A4653"/>
    <w:rsid w:val="549F1A7B"/>
    <w:rsid w:val="54A07B2F"/>
    <w:rsid w:val="54A35BFD"/>
    <w:rsid w:val="54A66EE6"/>
    <w:rsid w:val="54AD31D9"/>
    <w:rsid w:val="54AD4D7C"/>
    <w:rsid w:val="54B43966"/>
    <w:rsid w:val="54B52D8E"/>
    <w:rsid w:val="54B607F4"/>
    <w:rsid w:val="54B90F7D"/>
    <w:rsid w:val="54BD75DE"/>
    <w:rsid w:val="54C51BDB"/>
    <w:rsid w:val="54C65448"/>
    <w:rsid w:val="54CA6A15"/>
    <w:rsid w:val="54D33745"/>
    <w:rsid w:val="54D77655"/>
    <w:rsid w:val="54D86E3A"/>
    <w:rsid w:val="54D9161F"/>
    <w:rsid w:val="54DA0EF3"/>
    <w:rsid w:val="54DC4C6B"/>
    <w:rsid w:val="54DE4E87"/>
    <w:rsid w:val="54E0475B"/>
    <w:rsid w:val="54E56216"/>
    <w:rsid w:val="54E577FA"/>
    <w:rsid w:val="54E63D3C"/>
    <w:rsid w:val="54EE37EA"/>
    <w:rsid w:val="54F14BBA"/>
    <w:rsid w:val="54F159AB"/>
    <w:rsid w:val="54F16968"/>
    <w:rsid w:val="54F216D5"/>
    <w:rsid w:val="54F2448F"/>
    <w:rsid w:val="54F2623D"/>
    <w:rsid w:val="54F45305"/>
    <w:rsid w:val="54FE4BE1"/>
    <w:rsid w:val="55023BBD"/>
    <w:rsid w:val="550466F6"/>
    <w:rsid w:val="550F3292"/>
    <w:rsid w:val="551065AB"/>
    <w:rsid w:val="55137E50"/>
    <w:rsid w:val="55173EF5"/>
    <w:rsid w:val="55195EBF"/>
    <w:rsid w:val="551E5284"/>
    <w:rsid w:val="55241A05"/>
    <w:rsid w:val="552D196B"/>
    <w:rsid w:val="552D3719"/>
    <w:rsid w:val="552D7DF1"/>
    <w:rsid w:val="552E2FE9"/>
    <w:rsid w:val="55326F81"/>
    <w:rsid w:val="55386341"/>
    <w:rsid w:val="553E1482"/>
    <w:rsid w:val="554B2435"/>
    <w:rsid w:val="5552317F"/>
    <w:rsid w:val="555313D1"/>
    <w:rsid w:val="55545149"/>
    <w:rsid w:val="55546EF7"/>
    <w:rsid w:val="55560EC1"/>
    <w:rsid w:val="555667CB"/>
    <w:rsid w:val="555812F1"/>
    <w:rsid w:val="55591EDD"/>
    <w:rsid w:val="555B64D8"/>
    <w:rsid w:val="556476CD"/>
    <w:rsid w:val="556C0F4F"/>
    <w:rsid w:val="556E620B"/>
    <w:rsid w:val="556F1D9F"/>
    <w:rsid w:val="55757C5B"/>
    <w:rsid w:val="55780E38"/>
    <w:rsid w:val="557A1216"/>
    <w:rsid w:val="5583158B"/>
    <w:rsid w:val="558570B1"/>
    <w:rsid w:val="558E225D"/>
    <w:rsid w:val="55937A20"/>
    <w:rsid w:val="55992B5C"/>
    <w:rsid w:val="559B0682"/>
    <w:rsid w:val="559B4B26"/>
    <w:rsid w:val="559E0172"/>
    <w:rsid w:val="55A0038E"/>
    <w:rsid w:val="55A0213D"/>
    <w:rsid w:val="55A25899"/>
    <w:rsid w:val="55A35789"/>
    <w:rsid w:val="55A82D9F"/>
    <w:rsid w:val="55A90FF1"/>
    <w:rsid w:val="55AA2FBB"/>
    <w:rsid w:val="55B17EA6"/>
    <w:rsid w:val="55BD684B"/>
    <w:rsid w:val="55BF1FC7"/>
    <w:rsid w:val="55CA0F67"/>
    <w:rsid w:val="55CB540B"/>
    <w:rsid w:val="55CC1183"/>
    <w:rsid w:val="55D10548"/>
    <w:rsid w:val="55D818D6"/>
    <w:rsid w:val="55E32352"/>
    <w:rsid w:val="55E70297"/>
    <w:rsid w:val="55EA5788"/>
    <w:rsid w:val="55EB15A9"/>
    <w:rsid w:val="55EB6565"/>
    <w:rsid w:val="55F85053"/>
    <w:rsid w:val="55F93BD0"/>
    <w:rsid w:val="55F93D86"/>
    <w:rsid w:val="55FB1B75"/>
    <w:rsid w:val="55FB4FCC"/>
    <w:rsid w:val="55FC2A88"/>
    <w:rsid w:val="55FF3307"/>
    <w:rsid w:val="560501F2"/>
    <w:rsid w:val="56070E48"/>
    <w:rsid w:val="56076975"/>
    <w:rsid w:val="560C1580"/>
    <w:rsid w:val="560C77D2"/>
    <w:rsid w:val="561346BC"/>
    <w:rsid w:val="561472B4"/>
    <w:rsid w:val="56150435"/>
    <w:rsid w:val="5616545C"/>
    <w:rsid w:val="561873AF"/>
    <w:rsid w:val="56196ACA"/>
    <w:rsid w:val="561D553B"/>
    <w:rsid w:val="56222B52"/>
    <w:rsid w:val="56352885"/>
    <w:rsid w:val="56356D29"/>
    <w:rsid w:val="56372AA1"/>
    <w:rsid w:val="56382375"/>
    <w:rsid w:val="563A7E9B"/>
    <w:rsid w:val="563D3E2F"/>
    <w:rsid w:val="563F3703"/>
    <w:rsid w:val="56420695"/>
    <w:rsid w:val="564D4072"/>
    <w:rsid w:val="565C2507"/>
    <w:rsid w:val="565D28F6"/>
    <w:rsid w:val="565E627F"/>
    <w:rsid w:val="5661367A"/>
    <w:rsid w:val="56616D4A"/>
    <w:rsid w:val="56633896"/>
    <w:rsid w:val="56690780"/>
    <w:rsid w:val="566B4CD4"/>
    <w:rsid w:val="566E56D4"/>
    <w:rsid w:val="567C6706"/>
    <w:rsid w:val="567E48B4"/>
    <w:rsid w:val="56811F6E"/>
    <w:rsid w:val="56821842"/>
    <w:rsid w:val="56844798"/>
    <w:rsid w:val="568E6439"/>
    <w:rsid w:val="568F4122"/>
    <w:rsid w:val="568F6618"/>
    <w:rsid w:val="5699538C"/>
    <w:rsid w:val="569D433F"/>
    <w:rsid w:val="56A1616C"/>
    <w:rsid w:val="56A56B32"/>
    <w:rsid w:val="56A63783"/>
    <w:rsid w:val="56A703F5"/>
    <w:rsid w:val="56A96DCF"/>
    <w:rsid w:val="56AA0DEE"/>
    <w:rsid w:val="56AA3137"/>
    <w:rsid w:val="56B23ED5"/>
    <w:rsid w:val="56B85264"/>
    <w:rsid w:val="56BA722E"/>
    <w:rsid w:val="56C25A96"/>
    <w:rsid w:val="56C43C09"/>
    <w:rsid w:val="56C9121F"/>
    <w:rsid w:val="56CB4F43"/>
    <w:rsid w:val="56D057DA"/>
    <w:rsid w:val="56D05B1A"/>
    <w:rsid w:val="56D4209E"/>
    <w:rsid w:val="56D46344"/>
    <w:rsid w:val="56D57DF5"/>
    <w:rsid w:val="56D97F21"/>
    <w:rsid w:val="56DA3153"/>
    <w:rsid w:val="56E322E1"/>
    <w:rsid w:val="56E378AD"/>
    <w:rsid w:val="56E436DA"/>
    <w:rsid w:val="56E71659"/>
    <w:rsid w:val="56EC7679"/>
    <w:rsid w:val="56EE0C86"/>
    <w:rsid w:val="56F444EE"/>
    <w:rsid w:val="56FC27FF"/>
    <w:rsid w:val="56FF2E93"/>
    <w:rsid w:val="570010E5"/>
    <w:rsid w:val="57087F99"/>
    <w:rsid w:val="570D71FD"/>
    <w:rsid w:val="57172725"/>
    <w:rsid w:val="571D7828"/>
    <w:rsid w:val="57212E09"/>
    <w:rsid w:val="5728768E"/>
    <w:rsid w:val="572D42D7"/>
    <w:rsid w:val="57323268"/>
    <w:rsid w:val="5732516C"/>
    <w:rsid w:val="57346FE0"/>
    <w:rsid w:val="5735078A"/>
    <w:rsid w:val="5737262D"/>
    <w:rsid w:val="57376AD1"/>
    <w:rsid w:val="57395B1B"/>
    <w:rsid w:val="573F0049"/>
    <w:rsid w:val="57405985"/>
    <w:rsid w:val="574161E5"/>
    <w:rsid w:val="57431626"/>
    <w:rsid w:val="5748116E"/>
    <w:rsid w:val="574A6804"/>
    <w:rsid w:val="574F5BC8"/>
    <w:rsid w:val="576A0C54"/>
    <w:rsid w:val="576F1DC6"/>
    <w:rsid w:val="57737EC4"/>
    <w:rsid w:val="57763155"/>
    <w:rsid w:val="577A1A4C"/>
    <w:rsid w:val="577D2735"/>
    <w:rsid w:val="577E11DA"/>
    <w:rsid w:val="57813298"/>
    <w:rsid w:val="578A30A4"/>
    <w:rsid w:val="578A6E9D"/>
    <w:rsid w:val="579051E9"/>
    <w:rsid w:val="57935094"/>
    <w:rsid w:val="579920BA"/>
    <w:rsid w:val="57A05CB7"/>
    <w:rsid w:val="57A06022"/>
    <w:rsid w:val="57A10B57"/>
    <w:rsid w:val="57A20311"/>
    <w:rsid w:val="57A44166"/>
    <w:rsid w:val="57A56669"/>
    <w:rsid w:val="57B63E99"/>
    <w:rsid w:val="57B823F5"/>
    <w:rsid w:val="57BF5FD4"/>
    <w:rsid w:val="57C06AC6"/>
    <w:rsid w:val="57C13D24"/>
    <w:rsid w:val="57C20AC5"/>
    <w:rsid w:val="57C77E54"/>
    <w:rsid w:val="57C956CF"/>
    <w:rsid w:val="57CA524F"/>
    <w:rsid w:val="57CA6C3D"/>
    <w:rsid w:val="57CB2743"/>
    <w:rsid w:val="57D836EC"/>
    <w:rsid w:val="57E26A3C"/>
    <w:rsid w:val="57E30286"/>
    <w:rsid w:val="57E502DB"/>
    <w:rsid w:val="57E73521"/>
    <w:rsid w:val="57F8095F"/>
    <w:rsid w:val="57FB5D50"/>
    <w:rsid w:val="58047C4F"/>
    <w:rsid w:val="58056FFF"/>
    <w:rsid w:val="581110D0"/>
    <w:rsid w:val="5818420C"/>
    <w:rsid w:val="581D1822"/>
    <w:rsid w:val="58241860"/>
    <w:rsid w:val="583062CE"/>
    <w:rsid w:val="58346163"/>
    <w:rsid w:val="58360B36"/>
    <w:rsid w:val="58364EBF"/>
    <w:rsid w:val="583B12A8"/>
    <w:rsid w:val="583C619A"/>
    <w:rsid w:val="583F1B35"/>
    <w:rsid w:val="584128F1"/>
    <w:rsid w:val="58422E3D"/>
    <w:rsid w:val="5844771D"/>
    <w:rsid w:val="58495894"/>
    <w:rsid w:val="584A6FC0"/>
    <w:rsid w:val="584C4139"/>
    <w:rsid w:val="584F1C4F"/>
    <w:rsid w:val="58533496"/>
    <w:rsid w:val="58564D34"/>
    <w:rsid w:val="585711D8"/>
    <w:rsid w:val="585B059D"/>
    <w:rsid w:val="58615BB3"/>
    <w:rsid w:val="586239D9"/>
    <w:rsid w:val="586631C9"/>
    <w:rsid w:val="586B2293"/>
    <w:rsid w:val="586C27AA"/>
    <w:rsid w:val="586D09FC"/>
    <w:rsid w:val="58727DC0"/>
    <w:rsid w:val="58810003"/>
    <w:rsid w:val="58825B29"/>
    <w:rsid w:val="5886561A"/>
    <w:rsid w:val="588751FD"/>
    <w:rsid w:val="588875E4"/>
    <w:rsid w:val="5889335C"/>
    <w:rsid w:val="588E0972"/>
    <w:rsid w:val="58931AE5"/>
    <w:rsid w:val="589324AE"/>
    <w:rsid w:val="5898359F"/>
    <w:rsid w:val="589864C7"/>
    <w:rsid w:val="589A2E73"/>
    <w:rsid w:val="589C308F"/>
    <w:rsid w:val="58A65CBC"/>
    <w:rsid w:val="58A81A34"/>
    <w:rsid w:val="58AB0F0E"/>
    <w:rsid w:val="58AC2BA6"/>
    <w:rsid w:val="58AE691E"/>
    <w:rsid w:val="58B303D9"/>
    <w:rsid w:val="58B633A9"/>
    <w:rsid w:val="58C223CA"/>
    <w:rsid w:val="58C22DDC"/>
    <w:rsid w:val="58C6030A"/>
    <w:rsid w:val="58C84F4B"/>
    <w:rsid w:val="58C8623C"/>
    <w:rsid w:val="58C92E19"/>
    <w:rsid w:val="58E33CEB"/>
    <w:rsid w:val="58E46002"/>
    <w:rsid w:val="58E4675B"/>
    <w:rsid w:val="58E90372"/>
    <w:rsid w:val="58ED3575"/>
    <w:rsid w:val="58EF10B4"/>
    <w:rsid w:val="58F018D7"/>
    <w:rsid w:val="58F033DB"/>
    <w:rsid w:val="58F24A5D"/>
    <w:rsid w:val="58F9524E"/>
    <w:rsid w:val="58FC69CC"/>
    <w:rsid w:val="59060509"/>
    <w:rsid w:val="5909243F"/>
    <w:rsid w:val="590B5B1F"/>
    <w:rsid w:val="591946E0"/>
    <w:rsid w:val="591A3FB4"/>
    <w:rsid w:val="591B0458"/>
    <w:rsid w:val="591C3727"/>
    <w:rsid w:val="591E37F4"/>
    <w:rsid w:val="59232E69"/>
    <w:rsid w:val="59266DFD"/>
    <w:rsid w:val="592E5DFC"/>
    <w:rsid w:val="59352B9C"/>
    <w:rsid w:val="594A4EFC"/>
    <w:rsid w:val="594F3C5E"/>
    <w:rsid w:val="59543023"/>
    <w:rsid w:val="59543BB4"/>
    <w:rsid w:val="59575208"/>
    <w:rsid w:val="595B4E18"/>
    <w:rsid w:val="595E20F3"/>
    <w:rsid w:val="596545F4"/>
    <w:rsid w:val="5967369D"/>
    <w:rsid w:val="59691FED"/>
    <w:rsid w:val="596F60AE"/>
    <w:rsid w:val="59771A9C"/>
    <w:rsid w:val="597A2F72"/>
    <w:rsid w:val="597E4543"/>
    <w:rsid w:val="598C4EB2"/>
    <w:rsid w:val="599124C8"/>
    <w:rsid w:val="599B193E"/>
    <w:rsid w:val="599B50F5"/>
    <w:rsid w:val="59A57D21"/>
    <w:rsid w:val="59AD1935"/>
    <w:rsid w:val="59AD307A"/>
    <w:rsid w:val="59B63CDD"/>
    <w:rsid w:val="59B6770B"/>
    <w:rsid w:val="59BA481A"/>
    <w:rsid w:val="59BB12F3"/>
    <w:rsid w:val="59CD102D"/>
    <w:rsid w:val="59D0262B"/>
    <w:rsid w:val="59D4243C"/>
    <w:rsid w:val="59D81EA5"/>
    <w:rsid w:val="59E20F76"/>
    <w:rsid w:val="59E720E8"/>
    <w:rsid w:val="59E7658C"/>
    <w:rsid w:val="59ED3476"/>
    <w:rsid w:val="59EE3EC5"/>
    <w:rsid w:val="59F1740B"/>
    <w:rsid w:val="59F31DD5"/>
    <w:rsid w:val="59F9006D"/>
    <w:rsid w:val="59FB327B"/>
    <w:rsid w:val="5A032C9A"/>
    <w:rsid w:val="5A0A04CC"/>
    <w:rsid w:val="5A0C1B4F"/>
    <w:rsid w:val="5A1153B7"/>
    <w:rsid w:val="5A151E24"/>
    <w:rsid w:val="5A24333C"/>
    <w:rsid w:val="5A255C83"/>
    <w:rsid w:val="5A2E5F69"/>
    <w:rsid w:val="5A355549"/>
    <w:rsid w:val="5A4126B8"/>
    <w:rsid w:val="5A461504"/>
    <w:rsid w:val="5A4F5EDF"/>
    <w:rsid w:val="5A53777D"/>
    <w:rsid w:val="5A554B26"/>
    <w:rsid w:val="5A5A4FB0"/>
    <w:rsid w:val="5A5B2064"/>
    <w:rsid w:val="5A5B4884"/>
    <w:rsid w:val="5A5C300D"/>
    <w:rsid w:val="5A5F4374"/>
    <w:rsid w:val="5A673229"/>
    <w:rsid w:val="5A676E82"/>
    <w:rsid w:val="5A683452"/>
    <w:rsid w:val="5A6C4CE3"/>
    <w:rsid w:val="5A702DFA"/>
    <w:rsid w:val="5A7B1F0C"/>
    <w:rsid w:val="5A7F0B4D"/>
    <w:rsid w:val="5A7F4A16"/>
    <w:rsid w:val="5A813D7F"/>
    <w:rsid w:val="5A843DDB"/>
    <w:rsid w:val="5A861664"/>
    <w:rsid w:val="5A8770DA"/>
    <w:rsid w:val="5A963B0E"/>
    <w:rsid w:val="5A9A061F"/>
    <w:rsid w:val="5A9A7A80"/>
    <w:rsid w:val="5AA02F8E"/>
    <w:rsid w:val="5AAD1D75"/>
    <w:rsid w:val="5AAD6989"/>
    <w:rsid w:val="5AAF779E"/>
    <w:rsid w:val="5AB02E22"/>
    <w:rsid w:val="5AB04DB2"/>
    <w:rsid w:val="5AB0511D"/>
    <w:rsid w:val="5AB3215E"/>
    <w:rsid w:val="5AB97222"/>
    <w:rsid w:val="5ABB05D6"/>
    <w:rsid w:val="5ABE7224"/>
    <w:rsid w:val="5AC97A40"/>
    <w:rsid w:val="5AD007CE"/>
    <w:rsid w:val="5AD92379"/>
    <w:rsid w:val="5ADA7E9F"/>
    <w:rsid w:val="5ADC7773"/>
    <w:rsid w:val="5ADE201A"/>
    <w:rsid w:val="5ADF1011"/>
    <w:rsid w:val="5AE20B01"/>
    <w:rsid w:val="5AE35A67"/>
    <w:rsid w:val="5AE57637"/>
    <w:rsid w:val="5AE77F3A"/>
    <w:rsid w:val="5AF53743"/>
    <w:rsid w:val="5AF56A87"/>
    <w:rsid w:val="5AF947C9"/>
    <w:rsid w:val="5AFA409D"/>
    <w:rsid w:val="5B04316E"/>
    <w:rsid w:val="5B0A7A07"/>
    <w:rsid w:val="5B0F5D9A"/>
    <w:rsid w:val="5B1038C0"/>
    <w:rsid w:val="5B150ED7"/>
    <w:rsid w:val="5B184523"/>
    <w:rsid w:val="5B1E7D8B"/>
    <w:rsid w:val="5B266EFD"/>
    <w:rsid w:val="5B423199"/>
    <w:rsid w:val="5B430127"/>
    <w:rsid w:val="5B455FE5"/>
    <w:rsid w:val="5B4669BF"/>
    <w:rsid w:val="5B4A5024"/>
    <w:rsid w:val="5B4D0671"/>
    <w:rsid w:val="5B523ED9"/>
    <w:rsid w:val="5B5639C9"/>
    <w:rsid w:val="5B5714EF"/>
    <w:rsid w:val="5B590DC3"/>
    <w:rsid w:val="5B5B5CAE"/>
    <w:rsid w:val="5B6854AA"/>
    <w:rsid w:val="5B706CF3"/>
    <w:rsid w:val="5B71598D"/>
    <w:rsid w:val="5B7200D7"/>
    <w:rsid w:val="5B730143"/>
    <w:rsid w:val="5B7756EE"/>
    <w:rsid w:val="5B841BB9"/>
    <w:rsid w:val="5B85605C"/>
    <w:rsid w:val="5B861235"/>
    <w:rsid w:val="5B8A693E"/>
    <w:rsid w:val="5B93792A"/>
    <w:rsid w:val="5B9F2091"/>
    <w:rsid w:val="5BA02E96"/>
    <w:rsid w:val="5BA67D81"/>
    <w:rsid w:val="5BA746EF"/>
    <w:rsid w:val="5BA835D7"/>
    <w:rsid w:val="5BA83CAD"/>
    <w:rsid w:val="5BAB0BC1"/>
    <w:rsid w:val="5BAB5397"/>
    <w:rsid w:val="5BAD2995"/>
    <w:rsid w:val="5BAF5A18"/>
    <w:rsid w:val="5BB65DB4"/>
    <w:rsid w:val="5BB66216"/>
    <w:rsid w:val="5BB823D4"/>
    <w:rsid w:val="5BBA55DA"/>
    <w:rsid w:val="5BC16969"/>
    <w:rsid w:val="5BC872EC"/>
    <w:rsid w:val="5BD33445"/>
    <w:rsid w:val="5BD36320"/>
    <w:rsid w:val="5BE10896"/>
    <w:rsid w:val="5BE508A9"/>
    <w:rsid w:val="5BE74621"/>
    <w:rsid w:val="5BE82147"/>
    <w:rsid w:val="5BF31218"/>
    <w:rsid w:val="5BF33B63"/>
    <w:rsid w:val="5BF925A6"/>
    <w:rsid w:val="5BF94355"/>
    <w:rsid w:val="5BFB1170"/>
    <w:rsid w:val="5BFF1C79"/>
    <w:rsid w:val="5C007CAF"/>
    <w:rsid w:val="5C074A7D"/>
    <w:rsid w:val="5C074CC3"/>
    <w:rsid w:val="5C0A6AF3"/>
    <w:rsid w:val="5C0C0EB5"/>
    <w:rsid w:val="5C0D5892"/>
    <w:rsid w:val="5C1D6295"/>
    <w:rsid w:val="5C273E95"/>
    <w:rsid w:val="5C28645E"/>
    <w:rsid w:val="5C337866"/>
    <w:rsid w:val="5C3929A3"/>
    <w:rsid w:val="5C3F445D"/>
    <w:rsid w:val="5C545A2F"/>
    <w:rsid w:val="5C5477DD"/>
    <w:rsid w:val="5C5B758C"/>
    <w:rsid w:val="5C677510"/>
    <w:rsid w:val="5C6B34A4"/>
    <w:rsid w:val="5C6F4617"/>
    <w:rsid w:val="5C7165E1"/>
    <w:rsid w:val="5C74717A"/>
    <w:rsid w:val="5C757E7F"/>
    <w:rsid w:val="5C764DF0"/>
    <w:rsid w:val="5C7659A5"/>
    <w:rsid w:val="5C7730D8"/>
    <w:rsid w:val="5C7837CE"/>
    <w:rsid w:val="5C7C3148"/>
    <w:rsid w:val="5C8648E5"/>
    <w:rsid w:val="5C950521"/>
    <w:rsid w:val="5C981DBF"/>
    <w:rsid w:val="5C98591B"/>
    <w:rsid w:val="5C9948B7"/>
    <w:rsid w:val="5C9B365E"/>
    <w:rsid w:val="5C9D6C67"/>
    <w:rsid w:val="5C9E12FA"/>
    <w:rsid w:val="5C9F6CAA"/>
    <w:rsid w:val="5CA954F9"/>
    <w:rsid w:val="5CB07109"/>
    <w:rsid w:val="5CB84210"/>
    <w:rsid w:val="5CB87D6C"/>
    <w:rsid w:val="5CBC3D00"/>
    <w:rsid w:val="5CBF559E"/>
    <w:rsid w:val="5CC2508E"/>
    <w:rsid w:val="5CC52E42"/>
    <w:rsid w:val="5CC606DB"/>
    <w:rsid w:val="5CC826A5"/>
    <w:rsid w:val="5CC93B2E"/>
    <w:rsid w:val="5CCB6B2B"/>
    <w:rsid w:val="5CDD5A24"/>
    <w:rsid w:val="5CF24E57"/>
    <w:rsid w:val="5CF6124B"/>
    <w:rsid w:val="5CF72CB1"/>
    <w:rsid w:val="5CFB5EAA"/>
    <w:rsid w:val="5CFC1D3D"/>
    <w:rsid w:val="5D003BC4"/>
    <w:rsid w:val="5D017965"/>
    <w:rsid w:val="5D027239"/>
    <w:rsid w:val="5D067F49"/>
    <w:rsid w:val="5D07484F"/>
    <w:rsid w:val="5D092EE3"/>
    <w:rsid w:val="5D096819"/>
    <w:rsid w:val="5D0A765F"/>
    <w:rsid w:val="5D117CF7"/>
    <w:rsid w:val="5D126EEF"/>
    <w:rsid w:val="5D1458EA"/>
    <w:rsid w:val="5D1D4073"/>
    <w:rsid w:val="5D1F603D"/>
    <w:rsid w:val="5D227C36"/>
    <w:rsid w:val="5D235B2D"/>
    <w:rsid w:val="5D284EF1"/>
    <w:rsid w:val="5D2C3D36"/>
    <w:rsid w:val="5D352289"/>
    <w:rsid w:val="5D380EAD"/>
    <w:rsid w:val="5D3A69D3"/>
    <w:rsid w:val="5D3E57E7"/>
    <w:rsid w:val="5D3F048D"/>
    <w:rsid w:val="5D3F25BA"/>
    <w:rsid w:val="5D426742"/>
    <w:rsid w:val="5D4567E9"/>
    <w:rsid w:val="5D4806FF"/>
    <w:rsid w:val="5D4D7E0E"/>
    <w:rsid w:val="5D537A94"/>
    <w:rsid w:val="5D55380D"/>
    <w:rsid w:val="5D6610B7"/>
    <w:rsid w:val="5D6D6DA8"/>
    <w:rsid w:val="5D6E48CE"/>
    <w:rsid w:val="5D6F6A3F"/>
    <w:rsid w:val="5D7012E1"/>
    <w:rsid w:val="5D755C5D"/>
    <w:rsid w:val="5D774C0D"/>
    <w:rsid w:val="5D7A7717"/>
    <w:rsid w:val="5D7C4FD7"/>
    <w:rsid w:val="5D7D03C6"/>
    <w:rsid w:val="5D7F5BC5"/>
    <w:rsid w:val="5D83481E"/>
    <w:rsid w:val="5D8506A1"/>
    <w:rsid w:val="5D852344"/>
    <w:rsid w:val="5D883BE2"/>
    <w:rsid w:val="5D892330"/>
    <w:rsid w:val="5D911B45"/>
    <w:rsid w:val="5D9702C9"/>
    <w:rsid w:val="5DA13666"/>
    <w:rsid w:val="5DA405FE"/>
    <w:rsid w:val="5DA87DE0"/>
    <w:rsid w:val="5DAB49FC"/>
    <w:rsid w:val="5DAD189A"/>
    <w:rsid w:val="5DAD6C25"/>
    <w:rsid w:val="5DAF5613"/>
    <w:rsid w:val="5DBB459D"/>
    <w:rsid w:val="5DBF350B"/>
    <w:rsid w:val="5DC12353"/>
    <w:rsid w:val="5DC13DAD"/>
    <w:rsid w:val="5DC34C1A"/>
    <w:rsid w:val="5DC83D9E"/>
    <w:rsid w:val="5DCF5572"/>
    <w:rsid w:val="5DD15589"/>
    <w:rsid w:val="5DDE1A54"/>
    <w:rsid w:val="5DDF5B1F"/>
    <w:rsid w:val="5DE30E18"/>
    <w:rsid w:val="5DE75EA5"/>
    <w:rsid w:val="5DE80B25"/>
    <w:rsid w:val="5DEC1CA0"/>
    <w:rsid w:val="5DF24B50"/>
    <w:rsid w:val="5DF271A3"/>
    <w:rsid w:val="5DF470A8"/>
    <w:rsid w:val="5E0771FD"/>
    <w:rsid w:val="5E086AD1"/>
    <w:rsid w:val="5E0B036F"/>
    <w:rsid w:val="5E0F60B1"/>
    <w:rsid w:val="5E0F7E5F"/>
    <w:rsid w:val="5E115985"/>
    <w:rsid w:val="5E142764"/>
    <w:rsid w:val="5E180840"/>
    <w:rsid w:val="5E1831B8"/>
    <w:rsid w:val="5E185D25"/>
    <w:rsid w:val="5E190CDE"/>
    <w:rsid w:val="5E1A67C6"/>
    <w:rsid w:val="5E1B6804"/>
    <w:rsid w:val="5E1C277D"/>
    <w:rsid w:val="5E224037"/>
    <w:rsid w:val="5E2A4C99"/>
    <w:rsid w:val="5E317DD6"/>
    <w:rsid w:val="5E335697"/>
    <w:rsid w:val="5E381A8A"/>
    <w:rsid w:val="5E385608"/>
    <w:rsid w:val="5E39312E"/>
    <w:rsid w:val="5E3D4F56"/>
    <w:rsid w:val="5E4105E7"/>
    <w:rsid w:val="5E414336"/>
    <w:rsid w:val="5E4153F5"/>
    <w:rsid w:val="5E4512CB"/>
    <w:rsid w:val="5E465A3C"/>
    <w:rsid w:val="5E482795"/>
    <w:rsid w:val="5E4C2E61"/>
    <w:rsid w:val="5E4F64AE"/>
    <w:rsid w:val="5E6422A1"/>
    <w:rsid w:val="5E671693"/>
    <w:rsid w:val="5E6732B8"/>
    <w:rsid w:val="5E6D4B86"/>
    <w:rsid w:val="5E6F6B50"/>
    <w:rsid w:val="5E806F6F"/>
    <w:rsid w:val="5E886680"/>
    <w:rsid w:val="5E8B689C"/>
    <w:rsid w:val="5E8C37C6"/>
    <w:rsid w:val="5E8E1D57"/>
    <w:rsid w:val="5E912F6A"/>
    <w:rsid w:val="5E93283E"/>
    <w:rsid w:val="5E9860A7"/>
    <w:rsid w:val="5EA944E1"/>
    <w:rsid w:val="5EAC7607"/>
    <w:rsid w:val="5EAD4A28"/>
    <w:rsid w:val="5EAE7678"/>
    <w:rsid w:val="5EB44459"/>
    <w:rsid w:val="5EBE53E1"/>
    <w:rsid w:val="5EBF3633"/>
    <w:rsid w:val="5EC56770"/>
    <w:rsid w:val="5ECB4491"/>
    <w:rsid w:val="5ECB647C"/>
    <w:rsid w:val="5ECC5D50"/>
    <w:rsid w:val="5ED35331"/>
    <w:rsid w:val="5ED4172E"/>
    <w:rsid w:val="5ED6097D"/>
    <w:rsid w:val="5ED74D86"/>
    <w:rsid w:val="5ED85791"/>
    <w:rsid w:val="5EDF45D6"/>
    <w:rsid w:val="5EEB02AD"/>
    <w:rsid w:val="5EF37781"/>
    <w:rsid w:val="5EF52F7B"/>
    <w:rsid w:val="5EFC7E27"/>
    <w:rsid w:val="5EFE73E8"/>
    <w:rsid w:val="5F011E9E"/>
    <w:rsid w:val="5F061262"/>
    <w:rsid w:val="5F1073D0"/>
    <w:rsid w:val="5F13572D"/>
    <w:rsid w:val="5F17346F"/>
    <w:rsid w:val="5F195121"/>
    <w:rsid w:val="5F1A63D6"/>
    <w:rsid w:val="5F1F40D2"/>
    <w:rsid w:val="5F245B8C"/>
    <w:rsid w:val="5F2D4A41"/>
    <w:rsid w:val="5F2D60E0"/>
    <w:rsid w:val="5F313E05"/>
    <w:rsid w:val="5F324C8B"/>
    <w:rsid w:val="5F381638"/>
    <w:rsid w:val="5F3B6A32"/>
    <w:rsid w:val="5F3C1030"/>
    <w:rsid w:val="5F3C4C84"/>
    <w:rsid w:val="5F4019C2"/>
    <w:rsid w:val="5F422A20"/>
    <w:rsid w:val="5F434264"/>
    <w:rsid w:val="5F4467D8"/>
    <w:rsid w:val="5F462C64"/>
    <w:rsid w:val="5F49114F"/>
    <w:rsid w:val="5F4914FA"/>
    <w:rsid w:val="5F4928E4"/>
    <w:rsid w:val="5F4A5375"/>
    <w:rsid w:val="5F4B77EB"/>
    <w:rsid w:val="5F4C034B"/>
    <w:rsid w:val="5F57386C"/>
    <w:rsid w:val="5F5875E4"/>
    <w:rsid w:val="5F5F6BC4"/>
    <w:rsid w:val="5F601C40"/>
    <w:rsid w:val="5F605F9A"/>
    <w:rsid w:val="5F6438DF"/>
    <w:rsid w:val="5F692468"/>
    <w:rsid w:val="5F77006F"/>
    <w:rsid w:val="5F785962"/>
    <w:rsid w:val="5F824661"/>
    <w:rsid w:val="5F832EB3"/>
    <w:rsid w:val="5F893C41"/>
    <w:rsid w:val="5F8B5C0B"/>
    <w:rsid w:val="5F8F4C77"/>
    <w:rsid w:val="5F9040D5"/>
    <w:rsid w:val="5F9A7BFD"/>
    <w:rsid w:val="5F9C3975"/>
    <w:rsid w:val="5FA10F8B"/>
    <w:rsid w:val="5FA665A1"/>
    <w:rsid w:val="5FB011CE"/>
    <w:rsid w:val="5FB3107C"/>
    <w:rsid w:val="5FB46F10"/>
    <w:rsid w:val="5FB7306B"/>
    <w:rsid w:val="5FBC7B73"/>
    <w:rsid w:val="5FBF7663"/>
    <w:rsid w:val="5FC2513E"/>
    <w:rsid w:val="5FC52ECB"/>
    <w:rsid w:val="5FCB425A"/>
    <w:rsid w:val="5FCD5CFB"/>
    <w:rsid w:val="5FD56823"/>
    <w:rsid w:val="5FDC720B"/>
    <w:rsid w:val="5FE01AB3"/>
    <w:rsid w:val="5FE23141"/>
    <w:rsid w:val="5FE552B9"/>
    <w:rsid w:val="5FE62E42"/>
    <w:rsid w:val="5FE64BF0"/>
    <w:rsid w:val="5FED5F7E"/>
    <w:rsid w:val="5FEE5FA9"/>
    <w:rsid w:val="5FF53085"/>
    <w:rsid w:val="5FF76DFD"/>
    <w:rsid w:val="60003F04"/>
    <w:rsid w:val="6008061C"/>
    <w:rsid w:val="60082DB8"/>
    <w:rsid w:val="60085BF5"/>
    <w:rsid w:val="600A6B30"/>
    <w:rsid w:val="600F6F06"/>
    <w:rsid w:val="60213E7A"/>
    <w:rsid w:val="602B6AA7"/>
    <w:rsid w:val="60301F55"/>
    <w:rsid w:val="603040BD"/>
    <w:rsid w:val="60320560"/>
    <w:rsid w:val="60335C18"/>
    <w:rsid w:val="603D6F06"/>
    <w:rsid w:val="603F5681"/>
    <w:rsid w:val="603F5E05"/>
    <w:rsid w:val="6040533D"/>
    <w:rsid w:val="60430294"/>
    <w:rsid w:val="60480F55"/>
    <w:rsid w:val="604A517F"/>
    <w:rsid w:val="60543E36"/>
    <w:rsid w:val="6056497F"/>
    <w:rsid w:val="605E5044"/>
    <w:rsid w:val="605E6476"/>
    <w:rsid w:val="6060478C"/>
    <w:rsid w:val="6061107E"/>
    <w:rsid w:val="60620F67"/>
    <w:rsid w:val="60661BBD"/>
    <w:rsid w:val="60687CFB"/>
    <w:rsid w:val="606C3347"/>
    <w:rsid w:val="607034DD"/>
    <w:rsid w:val="607641C6"/>
    <w:rsid w:val="60771860"/>
    <w:rsid w:val="60787F3E"/>
    <w:rsid w:val="607C09C6"/>
    <w:rsid w:val="607C76DB"/>
    <w:rsid w:val="607D37A6"/>
    <w:rsid w:val="60830F1F"/>
    <w:rsid w:val="60870181"/>
    <w:rsid w:val="608D150F"/>
    <w:rsid w:val="608E0F42"/>
    <w:rsid w:val="60932FCA"/>
    <w:rsid w:val="60934D78"/>
    <w:rsid w:val="60936B26"/>
    <w:rsid w:val="60955422"/>
    <w:rsid w:val="60991818"/>
    <w:rsid w:val="609B00D0"/>
    <w:rsid w:val="60A54AAB"/>
    <w:rsid w:val="60A56859"/>
    <w:rsid w:val="60A615E0"/>
    <w:rsid w:val="60AF1486"/>
    <w:rsid w:val="60B116A2"/>
    <w:rsid w:val="60C442E0"/>
    <w:rsid w:val="60C90799"/>
    <w:rsid w:val="60CD7695"/>
    <w:rsid w:val="60D64C64"/>
    <w:rsid w:val="60D809DC"/>
    <w:rsid w:val="60D86C2E"/>
    <w:rsid w:val="60DD5FF3"/>
    <w:rsid w:val="60DE0684"/>
    <w:rsid w:val="60E47381"/>
    <w:rsid w:val="60E530F9"/>
    <w:rsid w:val="60E92064"/>
    <w:rsid w:val="60EB4BB4"/>
    <w:rsid w:val="60F12D55"/>
    <w:rsid w:val="60F8107F"/>
    <w:rsid w:val="60F9034D"/>
    <w:rsid w:val="60FC0281"/>
    <w:rsid w:val="61065C77"/>
    <w:rsid w:val="610D26F0"/>
    <w:rsid w:val="61167757"/>
    <w:rsid w:val="611B6B1B"/>
    <w:rsid w:val="611D2735"/>
    <w:rsid w:val="611F2AAF"/>
    <w:rsid w:val="6122434D"/>
    <w:rsid w:val="61241E74"/>
    <w:rsid w:val="61273712"/>
    <w:rsid w:val="61281730"/>
    <w:rsid w:val="61286B5F"/>
    <w:rsid w:val="612A53A0"/>
    <w:rsid w:val="612B4FB0"/>
    <w:rsid w:val="61300818"/>
    <w:rsid w:val="61371BA7"/>
    <w:rsid w:val="613A51F3"/>
    <w:rsid w:val="613C540F"/>
    <w:rsid w:val="614147D4"/>
    <w:rsid w:val="6142054C"/>
    <w:rsid w:val="61436FDD"/>
    <w:rsid w:val="61477912"/>
    <w:rsid w:val="6148257C"/>
    <w:rsid w:val="614C7B34"/>
    <w:rsid w:val="615269E1"/>
    <w:rsid w:val="615A3AE7"/>
    <w:rsid w:val="615A7643"/>
    <w:rsid w:val="615B45BF"/>
    <w:rsid w:val="615F10FE"/>
    <w:rsid w:val="615F4C5A"/>
    <w:rsid w:val="61683FF2"/>
    <w:rsid w:val="61706E67"/>
    <w:rsid w:val="6171498D"/>
    <w:rsid w:val="617149E4"/>
    <w:rsid w:val="61740303"/>
    <w:rsid w:val="61747A77"/>
    <w:rsid w:val="61826B9A"/>
    <w:rsid w:val="619012B7"/>
    <w:rsid w:val="61921DB2"/>
    <w:rsid w:val="6192502F"/>
    <w:rsid w:val="619A3EE4"/>
    <w:rsid w:val="619B1B56"/>
    <w:rsid w:val="619C7C5C"/>
    <w:rsid w:val="619F599E"/>
    <w:rsid w:val="619F78E4"/>
    <w:rsid w:val="61A813C7"/>
    <w:rsid w:val="61A82AA5"/>
    <w:rsid w:val="61A90ADF"/>
    <w:rsid w:val="61A97B22"/>
    <w:rsid w:val="61AA7929"/>
    <w:rsid w:val="61AB60F1"/>
    <w:rsid w:val="61B42017"/>
    <w:rsid w:val="61BE4076"/>
    <w:rsid w:val="61C251E9"/>
    <w:rsid w:val="61C37858"/>
    <w:rsid w:val="61C47E4F"/>
    <w:rsid w:val="61C55405"/>
    <w:rsid w:val="61C564E0"/>
    <w:rsid w:val="61CB0541"/>
    <w:rsid w:val="61CB0DA2"/>
    <w:rsid w:val="61D218D0"/>
    <w:rsid w:val="61D27B22"/>
    <w:rsid w:val="61D31C02"/>
    <w:rsid w:val="61D45648"/>
    <w:rsid w:val="61DE2C95"/>
    <w:rsid w:val="61E14532"/>
    <w:rsid w:val="61E17D65"/>
    <w:rsid w:val="61E41603"/>
    <w:rsid w:val="61E63FF8"/>
    <w:rsid w:val="61EE673E"/>
    <w:rsid w:val="61F515AC"/>
    <w:rsid w:val="61F746F0"/>
    <w:rsid w:val="61F92102"/>
    <w:rsid w:val="61F96E5C"/>
    <w:rsid w:val="61FB0E26"/>
    <w:rsid w:val="61FE0917"/>
    <w:rsid w:val="62051CA5"/>
    <w:rsid w:val="620646AB"/>
    <w:rsid w:val="620A72BB"/>
    <w:rsid w:val="621023F8"/>
    <w:rsid w:val="62106C7C"/>
    <w:rsid w:val="62160145"/>
    <w:rsid w:val="6217502E"/>
    <w:rsid w:val="62175534"/>
    <w:rsid w:val="621912AD"/>
    <w:rsid w:val="621C15A0"/>
    <w:rsid w:val="621E2D67"/>
    <w:rsid w:val="62232B09"/>
    <w:rsid w:val="622B1E20"/>
    <w:rsid w:val="622C743C"/>
    <w:rsid w:val="623460E6"/>
    <w:rsid w:val="62347E94"/>
    <w:rsid w:val="62390C3F"/>
    <w:rsid w:val="623A4D70"/>
    <w:rsid w:val="623F023C"/>
    <w:rsid w:val="6243457B"/>
    <w:rsid w:val="62465E1A"/>
    <w:rsid w:val="624B3430"/>
    <w:rsid w:val="624C1682"/>
    <w:rsid w:val="624D387D"/>
    <w:rsid w:val="624F3EEF"/>
    <w:rsid w:val="62516C98"/>
    <w:rsid w:val="62542B7F"/>
    <w:rsid w:val="625978FB"/>
    <w:rsid w:val="625B1CD5"/>
    <w:rsid w:val="625B4AF6"/>
    <w:rsid w:val="62606EDB"/>
    <w:rsid w:val="626B3B80"/>
    <w:rsid w:val="626C11F0"/>
    <w:rsid w:val="626C5880"/>
    <w:rsid w:val="62726C0F"/>
    <w:rsid w:val="6273741A"/>
    <w:rsid w:val="627625F6"/>
    <w:rsid w:val="629D3C8C"/>
    <w:rsid w:val="629F4BEA"/>
    <w:rsid w:val="62A3501A"/>
    <w:rsid w:val="62A52B40"/>
    <w:rsid w:val="62A80882"/>
    <w:rsid w:val="62A84159"/>
    <w:rsid w:val="62AB5051"/>
    <w:rsid w:val="62AE0E01"/>
    <w:rsid w:val="62AE66F6"/>
    <w:rsid w:val="62B37719"/>
    <w:rsid w:val="62BE3C02"/>
    <w:rsid w:val="62C53589"/>
    <w:rsid w:val="62C76F5B"/>
    <w:rsid w:val="62CE02E9"/>
    <w:rsid w:val="62D13935"/>
    <w:rsid w:val="62E23D94"/>
    <w:rsid w:val="62E64C00"/>
    <w:rsid w:val="62E811AA"/>
    <w:rsid w:val="62EE44E7"/>
    <w:rsid w:val="62F37D50"/>
    <w:rsid w:val="62F85366"/>
    <w:rsid w:val="62FB4E56"/>
    <w:rsid w:val="63092A34"/>
    <w:rsid w:val="631A52DC"/>
    <w:rsid w:val="631B72A6"/>
    <w:rsid w:val="631F0609"/>
    <w:rsid w:val="63200C00"/>
    <w:rsid w:val="63226E50"/>
    <w:rsid w:val="63250F34"/>
    <w:rsid w:val="63292F0E"/>
    <w:rsid w:val="632C3261"/>
    <w:rsid w:val="632E7C88"/>
    <w:rsid w:val="63304B4A"/>
    <w:rsid w:val="63367C3C"/>
    <w:rsid w:val="63381C06"/>
    <w:rsid w:val="633D0FCB"/>
    <w:rsid w:val="63471E49"/>
    <w:rsid w:val="6347265C"/>
    <w:rsid w:val="634D1ACC"/>
    <w:rsid w:val="634E4F86"/>
    <w:rsid w:val="63514A76"/>
    <w:rsid w:val="63524764"/>
    <w:rsid w:val="63604CB9"/>
    <w:rsid w:val="63627732"/>
    <w:rsid w:val="63665FEE"/>
    <w:rsid w:val="63676048"/>
    <w:rsid w:val="636C18B0"/>
    <w:rsid w:val="63733F5D"/>
    <w:rsid w:val="63750765"/>
    <w:rsid w:val="63752CC9"/>
    <w:rsid w:val="63770981"/>
    <w:rsid w:val="637C7910"/>
    <w:rsid w:val="637F5A87"/>
    <w:rsid w:val="63807109"/>
    <w:rsid w:val="638C3D00"/>
    <w:rsid w:val="638E1826"/>
    <w:rsid w:val="63901A42"/>
    <w:rsid w:val="63902AC3"/>
    <w:rsid w:val="639A229E"/>
    <w:rsid w:val="63A454EE"/>
    <w:rsid w:val="63A4729C"/>
    <w:rsid w:val="63A5515E"/>
    <w:rsid w:val="63A70B3A"/>
    <w:rsid w:val="63AA30D7"/>
    <w:rsid w:val="63AD43A2"/>
    <w:rsid w:val="63B15515"/>
    <w:rsid w:val="63B53257"/>
    <w:rsid w:val="63C35974"/>
    <w:rsid w:val="63C60FC0"/>
    <w:rsid w:val="63CD2E60"/>
    <w:rsid w:val="63D44E13"/>
    <w:rsid w:val="63D53D2B"/>
    <w:rsid w:val="63DC07E4"/>
    <w:rsid w:val="63E1404C"/>
    <w:rsid w:val="63E31B72"/>
    <w:rsid w:val="63E638BD"/>
    <w:rsid w:val="63F024E1"/>
    <w:rsid w:val="63F068E5"/>
    <w:rsid w:val="63F55C10"/>
    <w:rsid w:val="63F55D49"/>
    <w:rsid w:val="63FA3360"/>
    <w:rsid w:val="640F5618"/>
    <w:rsid w:val="64153CF6"/>
    <w:rsid w:val="641A55BD"/>
    <w:rsid w:val="641D732B"/>
    <w:rsid w:val="6421708A"/>
    <w:rsid w:val="642276F0"/>
    <w:rsid w:val="642D54E3"/>
    <w:rsid w:val="64322AF9"/>
    <w:rsid w:val="64371EBE"/>
    <w:rsid w:val="643979E4"/>
    <w:rsid w:val="643A5739"/>
    <w:rsid w:val="643F5AA9"/>
    <w:rsid w:val="64480AEA"/>
    <w:rsid w:val="645034B9"/>
    <w:rsid w:val="64507A64"/>
    <w:rsid w:val="645B3DFE"/>
    <w:rsid w:val="645C1924"/>
    <w:rsid w:val="645E38EF"/>
    <w:rsid w:val="646507D9"/>
    <w:rsid w:val="64654C7D"/>
    <w:rsid w:val="646F3406"/>
    <w:rsid w:val="64837769"/>
    <w:rsid w:val="64882719"/>
    <w:rsid w:val="648B2AD1"/>
    <w:rsid w:val="648C7EFE"/>
    <w:rsid w:val="648F687F"/>
    <w:rsid w:val="64986E00"/>
    <w:rsid w:val="64992502"/>
    <w:rsid w:val="649D751B"/>
    <w:rsid w:val="649E4FA9"/>
    <w:rsid w:val="64A36DD6"/>
    <w:rsid w:val="64AD3E11"/>
    <w:rsid w:val="64B33C3A"/>
    <w:rsid w:val="64B81251"/>
    <w:rsid w:val="64BB3ED9"/>
    <w:rsid w:val="64BE438D"/>
    <w:rsid w:val="64BE613B"/>
    <w:rsid w:val="64C729AF"/>
    <w:rsid w:val="64C9691A"/>
    <w:rsid w:val="64CF659A"/>
    <w:rsid w:val="64D15E6F"/>
    <w:rsid w:val="64D94D23"/>
    <w:rsid w:val="64DB6CED"/>
    <w:rsid w:val="64DE67DD"/>
    <w:rsid w:val="64ED10BC"/>
    <w:rsid w:val="64EF09EB"/>
    <w:rsid w:val="64F81356"/>
    <w:rsid w:val="64F909E0"/>
    <w:rsid w:val="64FB2EEB"/>
    <w:rsid w:val="65000502"/>
    <w:rsid w:val="65010389"/>
    <w:rsid w:val="65053D6A"/>
    <w:rsid w:val="6516077A"/>
    <w:rsid w:val="65165F77"/>
    <w:rsid w:val="65197815"/>
    <w:rsid w:val="651F553D"/>
    <w:rsid w:val="652076EC"/>
    <w:rsid w:val="65240698"/>
    <w:rsid w:val="6524497B"/>
    <w:rsid w:val="652D6860"/>
    <w:rsid w:val="65322E75"/>
    <w:rsid w:val="653528A1"/>
    <w:rsid w:val="653E077F"/>
    <w:rsid w:val="65440D49"/>
    <w:rsid w:val="6545060B"/>
    <w:rsid w:val="655536E6"/>
    <w:rsid w:val="655553D6"/>
    <w:rsid w:val="655F347A"/>
    <w:rsid w:val="65637788"/>
    <w:rsid w:val="65640162"/>
    <w:rsid w:val="656E7B61"/>
    <w:rsid w:val="656F3050"/>
    <w:rsid w:val="65743AAE"/>
    <w:rsid w:val="657B5DDA"/>
    <w:rsid w:val="657B62F9"/>
    <w:rsid w:val="657D1B52"/>
    <w:rsid w:val="657D79A5"/>
    <w:rsid w:val="657F58CB"/>
    <w:rsid w:val="65853702"/>
    <w:rsid w:val="65931376"/>
    <w:rsid w:val="65975EE4"/>
    <w:rsid w:val="65982E30"/>
    <w:rsid w:val="659F41BF"/>
    <w:rsid w:val="659F72AD"/>
    <w:rsid w:val="65A13A93"/>
    <w:rsid w:val="65A17F37"/>
    <w:rsid w:val="65A74E21"/>
    <w:rsid w:val="65B25CA0"/>
    <w:rsid w:val="65B2734B"/>
    <w:rsid w:val="65B57B97"/>
    <w:rsid w:val="65B761F3"/>
    <w:rsid w:val="65B80DDC"/>
    <w:rsid w:val="65BC6B1F"/>
    <w:rsid w:val="65BD2897"/>
    <w:rsid w:val="65BE5EFE"/>
    <w:rsid w:val="65C14135"/>
    <w:rsid w:val="65C23A09"/>
    <w:rsid w:val="65C621BF"/>
    <w:rsid w:val="65C92FEA"/>
    <w:rsid w:val="65CA1689"/>
    <w:rsid w:val="65CE6852"/>
    <w:rsid w:val="65D06126"/>
    <w:rsid w:val="65D5373C"/>
    <w:rsid w:val="65DA6FA5"/>
    <w:rsid w:val="65DC0F6F"/>
    <w:rsid w:val="65E15EAB"/>
    <w:rsid w:val="65ED5B1C"/>
    <w:rsid w:val="65F37669"/>
    <w:rsid w:val="65F433F2"/>
    <w:rsid w:val="65F454D6"/>
    <w:rsid w:val="65FB4BDC"/>
    <w:rsid w:val="65FF07B9"/>
    <w:rsid w:val="65FF278F"/>
    <w:rsid w:val="66010729"/>
    <w:rsid w:val="66014531"/>
    <w:rsid w:val="66045580"/>
    <w:rsid w:val="66045B9D"/>
    <w:rsid w:val="6607508D"/>
    <w:rsid w:val="660C769A"/>
    <w:rsid w:val="660E4009"/>
    <w:rsid w:val="661848D1"/>
    <w:rsid w:val="66187ACD"/>
    <w:rsid w:val="66291CDA"/>
    <w:rsid w:val="66430FEE"/>
    <w:rsid w:val="664B39FF"/>
    <w:rsid w:val="664D7777"/>
    <w:rsid w:val="664F3369"/>
    <w:rsid w:val="66521231"/>
    <w:rsid w:val="66522FDF"/>
    <w:rsid w:val="66583DDD"/>
    <w:rsid w:val="665D1B75"/>
    <w:rsid w:val="665D58DE"/>
    <w:rsid w:val="665F56FC"/>
    <w:rsid w:val="66622660"/>
    <w:rsid w:val="6670349F"/>
    <w:rsid w:val="667261CD"/>
    <w:rsid w:val="667C1E0A"/>
    <w:rsid w:val="667C39AD"/>
    <w:rsid w:val="667F18FA"/>
    <w:rsid w:val="66811B16"/>
    <w:rsid w:val="668120DB"/>
    <w:rsid w:val="66817EF2"/>
    <w:rsid w:val="668313EA"/>
    <w:rsid w:val="66884F53"/>
    <w:rsid w:val="668A367F"/>
    <w:rsid w:val="6691080B"/>
    <w:rsid w:val="669406BC"/>
    <w:rsid w:val="66941658"/>
    <w:rsid w:val="66947B1D"/>
    <w:rsid w:val="66974E96"/>
    <w:rsid w:val="66976C44"/>
    <w:rsid w:val="669B4986"/>
    <w:rsid w:val="66A16E18"/>
    <w:rsid w:val="66AE57C5"/>
    <w:rsid w:val="66B141AA"/>
    <w:rsid w:val="66B477F6"/>
    <w:rsid w:val="66B617C0"/>
    <w:rsid w:val="66B73D42"/>
    <w:rsid w:val="66B75538"/>
    <w:rsid w:val="66B94F97"/>
    <w:rsid w:val="66BB0F04"/>
    <w:rsid w:val="66BC2B4E"/>
    <w:rsid w:val="66BD3B89"/>
    <w:rsid w:val="66C13CC1"/>
    <w:rsid w:val="66C814F3"/>
    <w:rsid w:val="66CA36E1"/>
    <w:rsid w:val="66CB20A8"/>
    <w:rsid w:val="66D04907"/>
    <w:rsid w:val="66DD4F9F"/>
    <w:rsid w:val="66E2321F"/>
    <w:rsid w:val="66E31E89"/>
    <w:rsid w:val="66E3530E"/>
    <w:rsid w:val="66EA76BB"/>
    <w:rsid w:val="66EC51E2"/>
    <w:rsid w:val="66F10A4A"/>
    <w:rsid w:val="66F366C0"/>
    <w:rsid w:val="66FE1E6C"/>
    <w:rsid w:val="670562A3"/>
    <w:rsid w:val="670818F0"/>
    <w:rsid w:val="67095EBA"/>
    <w:rsid w:val="670D0080"/>
    <w:rsid w:val="671256B5"/>
    <w:rsid w:val="67151E92"/>
    <w:rsid w:val="67177D85"/>
    <w:rsid w:val="671A62EE"/>
    <w:rsid w:val="671C61EA"/>
    <w:rsid w:val="671D0F54"/>
    <w:rsid w:val="671D35ED"/>
    <w:rsid w:val="6723497B"/>
    <w:rsid w:val="672A7AB8"/>
    <w:rsid w:val="672D1356"/>
    <w:rsid w:val="672F1572"/>
    <w:rsid w:val="67334BBF"/>
    <w:rsid w:val="67362901"/>
    <w:rsid w:val="67404FA6"/>
    <w:rsid w:val="674C3ED2"/>
    <w:rsid w:val="674F751F"/>
    <w:rsid w:val="67566AFF"/>
    <w:rsid w:val="675F3C06"/>
    <w:rsid w:val="675F6CEE"/>
    <w:rsid w:val="6764121C"/>
    <w:rsid w:val="67683120"/>
    <w:rsid w:val="67684380"/>
    <w:rsid w:val="67696832"/>
    <w:rsid w:val="67697339"/>
    <w:rsid w:val="677376B1"/>
    <w:rsid w:val="6784273E"/>
    <w:rsid w:val="67845667"/>
    <w:rsid w:val="67874F0A"/>
    <w:rsid w:val="6788081E"/>
    <w:rsid w:val="67896ED4"/>
    <w:rsid w:val="678B58B0"/>
    <w:rsid w:val="678C2521"/>
    <w:rsid w:val="6793565D"/>
    <w:rsid w:val="67987E26"/>
    <w:rsid w:val="679A69EC"/>
    <w:rsid w:val="679F4002"/>
    <w:rsid w:val="67A23AF2"/>
    <w:rsid w:val="67A4129A"/>
    <w:rsid w:val="67A71109"/>
    <w:rsid w:val="67AA54E0"/>
    <w:rsid w:val="67B101D9"/>
    <w:rsid w:val="67B536F4"/>
    <w:rsid w:val="67B83316"/>
    <w:rsid w:val="67BD092C"/>
    <w:rsid w:val="67BF4478"/>
    <w:rsid w:val="67C47F0C"/>
    <w:rsid w:val="67C609EB"/>
    <w:rsid w:val="67C65A33"/>
    <w:rsid w:val="67C972D1"/>
    <w:rsid w:val="67CB129B"/>
    <w:rsid w:val="67CD01F5"/>
    <w:rsid w:val="67CF7936"/>
    <w:rsid w:val="67D75874"/>
    <w:rsid w:val="67D85766"/>
    <w:rsid w:val="67D86D04"/>
    <w:rsid w:val="67E1461B"/>
    <w:rsid w:val="67E23EE9"/>
    <w:rsid w:val="67E608A7"/>
    <w:rsid w:val="67F00651"/>
    <w:rsid w:val="67FC76A6"/>
    <w:rsid w:val="68012F0F"/>
    <w:rsid w:val="680A6137"/>
    <w:rsid w:val="680A680D"/>
    <w:rsid w:val="680B1697"/>
    <w:rsid w:val="680D18B3"/>
    <w:rsid w:val="68153BCE"/>
    <w:rsid w:val="681A5D7E"/>
    <w:rsid w:val="681F2B7E"/>
    <w:rsid w:val="68272A1B"/>
    <w:rsid w:val="682730F1"/>
    <w:rsid w:val="683230C8"/>
    <w:rsid w:val="68352BB8"/>
    <w:rsid w:val="68376930"/>
    <w:rsid w:val="68383EAC"/>
    <w:rsid w:val="68394457"/>
    <w:rsid w:val="683A1F7D"/>
    <w:rsid w:val="683C3F47"/>
    <w:rsid w:val="683D13F8"/>
    <w:rsid w:val="68414080"/>
    <w:rsid w:val="68424519"/>
    <w:rsid w:val="6844781F"/>
    <w:rsid w:val="684825E0"/>
    <w:rsid w:val="684828EC"/>
    <w:rsid w:val="68490412"/>
    <w:rsid w:val="684C5A7B"/>
    <w:rsid w:val="6850657F"/>
    <w:rsid w:val="686015C3"/>
    <w:rsid w:val="68623CCE"/>
    <w:rsid w:val="68680898"/>
    <w:rsid w:val="686911D8"/>
    <w:rsid w:val="68694610"/>
    <w:rsid w:val="686B0388"/>
    <w:rsid w:val="686E3FED"/>
    <w:rsid w:val="686E7D63"/>
    <w:rsid w:val="68727968"/>
    <w:rsid w:val="68761EF8"/>
    <w:rsid w:val="688222C7"/>
    <w:rsid w:val="68896A60"/>
    <w:rsid w:val="68915B8C"/>
    <w:rsid w:val="689254AB"/>
    <w:rsid w:val="68945B31"/>
    <w:rsid w:val="689625FE"/>
    <w:rsid w:val="689B286C"/>
    <w:rsid w:val="689F0B5F"/>
    <w:rsid w:val="68A467A0"/>
    <w:rsid w:val="68A613C0"/>
    <w:rsid w:val="68AA7102"/>
    <w:rsid w:val="68AB6624"/>
    <w:rsid w:val="68AD09A1"/>
    <w:rsid w:val="68AE33AF"/>
    <w:rsid w:val="68BE670A"/>
    <w:rsid w:val="68BF08FC"/>
    <w:rsid w:val="68C55CEA"/>
    <w:rsid w:val="68C65B7A"/>
    <w:rsid w:val="68CF6B69"/>
    <w:rsid w:val="68D50FF4"/>
    <w:rsid w:val="68D75A50"/>
    <w:rsid w:val="68DC1286"/>
    <w:rsid w:val="68DD3D60"/>
    <w:rsid w:val="68DE4FFE"/>
    <w:rsid w:val="68E048D2"/>
    <w:rsid w:val="68E32614"/>
    <w:rsid w:val="68ED0CA1"/>
    <w:rsid w:val="68ED5241"/>
    <w:rsid w:val="68EF0FB9"/>
    <w:rsid w:val="68EF42FF"/>
    <w:rsid w:val="68F05F69"/>
    <w:rsid w:val="68F27CB8"/>
    <w:rsid w:val="68F55EA4"/>
    <w:rsid w:val="68FB795E"/>
    <w:rsid w:val="68FD36D6"/>
    <w:rsid w:val="68FE2FAA"/>
    <w:rsid w:val="69015441"/>
    <w:rsid w:val="690305C1"/>
    <w:rsid w:val="69044CCB"/>
    <w:rsid w:val="690B56C7"/>
    <w:rsid w:val="690E2403"/>
    <w:rsid w:val="691B0000"/>
    <w:rsid w:val="691F1ACC"/>
    <w:rsid w:val="692A1FF1"/>
    <w:rsid w:val="692D388F"/>
    <w:rsid w:val="693052F5"/>
    <w:rsid w:val="69346A48"/>
    <w:rsid w:val="69366BE8"/>
    <w:rsid w:val="693B136E"/>
    <w:rsid w:val="693D54D2"/>
    <w:rsid w:val="693F19BC"/>
    <w:rsid w:val="6941503B"/>
    <w:rsid w:val="694420C2"/>
    <w:rsid w:val="694A4B1A"/>
    <w:rsid w:val="694B2839"/>
    <w:rsid w:val="695232F6"/>
    <w:rsid w:val="695F7CDB"/>
    <w:rsid w:val="696279DD"/>
    <w:rsid w:val="69666E14"/>
    <w:rsid w:val="696857DB"/>
    <w:rsid w:val="696A0640"/>
    <w:rsid w:val="696A6B77"/>
    <w:rsid w:val="696B77D6"/>
    <w:rsid w:val="69702ECB"/>
    <w:rsid w:val="69735910"/>
    <w:rsid w:val="697A077E"/>
    <w:rsid w:val="697B1894"/>
    <w:rsid w:val="697D65C5"/>
    <w:rsid w:val="69826D1D"/>
    <w:rsid w:val="69841830"/>
    <w:rsid w:val="69895E31"/>
    <w:rsid w:val="698C05B6"/>
    <w:rsid w:val="698E54B3"/>
    <w:rsid w:val="699022E4"/>
    <w:rsid w:val="69931944"/>
    <w:rsid w:val="699D09D8"/>
    <w:rsid w:val="69A60F3C"/>
    <w:rsid w:val="69A91168"/>
    <w:rsid w:val="69A96191"/>
    <w:rsid w:val="69AA5692"/>
    <w:rsid w:val="69AC2A06"/>
    <w:rsid w:val="69B1021E"/>
    <w:rsid w:val="69B12712"/>
    <w:rsid w:val="69B44F51"/>
    <w:rsid w:val="69BC2190"/>
    <w:rsid w:val="69BE4554"/>
    <w:rsid w:val="69C064B2"/>
    <w:rsid w:val="69C53AC8"/>
    <w:rsid w:val="69CC0FC6"/>
    <w:rsid w:val="69CE35C4"/>
    <w:rsid w:val="69D32E91"/>
    <w:rsid w:val="69D63F27"/>
    <w:rsid w:val="69DD7494"/>
    <w:rsid w:val="69E179C2"/>
    <w:rsid w:val="69E55F18"/>
    <w:rsid w:val="69EB79D2"/>
    <w:rsid w:val="69F83E9D"/>
    <w:rsid w:val="69FF347E"/>
    <w:rsid w:val="6A002D52"/>
    <w:rsid w:val="6A070584"/>
    <w:rsid w:val="6A0B28E8"/>
    <w:rsid w:val="6A116D0D"/>
    <w:rsid w:val="6A1707C7"/>
    <w:rsid w:val="6A183A5C"/>
    <w:rsid w:val="6A222CC8"/>
    <w:rsid w:val="6A243740"/>
    <w:rsid w:val="6A243F51"/>
    <w:rsid w:val="6A253BE6"/>
    <w:rsid w:val="6A274783"/>
    <w:rsid w:val="6A2B7964"/>
    <w:rsid w:val="6A2F40E2"/>
    <w:rsid w:val="6A4610AD"/>
    <w:rsid w:val="6A464C09"/>
    <w:rsid w:val="6A4B66C3"/>
    <w:rsid w:val="6A587E3E"/>
    <w:rsid w:val="6A640780"/>
    <w:rsid w:val="6A641533"/>
    <w:rsid w:val="6A647785"/>
    <w:rsid w:val="6A6B0B13"/>
    <w:rsid w:val="6A6E23B2"/>
    <w:rsid w:val="6A7379C8"/>
    <w:rsid w:val="6A745C1A"/>
    <w:rsid w:val="6A753F97"/>
    <w:rsid w:val="6A770132"/>
    <w:rsid w:val="6A773014"/>
    <w:rsid w:val="6A8614A9"/>
    <w:rsid w:val="6A8D2838"/>
    <w:rsid w:val="6A95793E"/>
    <w:rsid w:val="6A963266"/>
    <w:rsid w:val="6A971908"/>
    <w:rsid w:val="6AA638F9"/>
    <w:rsid w:val="6AA67D9D"/>
    <w:rsid w:val="6AAD4C88"/>
    <w:rsid w:val="6AC25A30"/>
    <w:rsid w:val="6AC36259"/>
    <w:rsid w:val="6AC364B9"/>
    <w:rsid w:val="6AC46303"/>
    <w:rsid w:val="6AC975E8"/>
    <w:rsid w:val="6ACA605F"/>
    <w:rsid w:val="6ACD0E86"/>
    <w:rsid w:val="6ACF2E50"/>
    <w:rsid w:val="6AD634AC"/>
    <w:rsid w:val="6ADD0DDB"/>
    <w:rsid w:val="6AE6019A"/>
    <w:rsid w:val="6AEA5550"/>
    <w:rsid w:val="6AF02DC7"/>
    <w:rsid w:val="6AF13D8B"/>
    <w:rsid w:val="6AF742E0"/>
    <w:rsid w:val="6AFE0445"/>
    <w:rsid w:val="6B0548C4"/>
    <w:rsid w:val="6B055FFE"/>
    <w:rsid w:val="6B0B31C1"/>
    <w:rsid w:val="6B1116BB"/>
    <w:rsid w:val="6B1765A5"/>
    <w:rsid w:val="6B183069"/>
    <w:rsid w:val="6B20042D"/>
    <w:rsid w:val="6B23319C"/>
    <w:rsid w:val="6B2A452A"/>
    <w:rsid w:val="6B2A6220"/>
    <w:rsid w:val="6B2A62D8"/>
    <w:rsid w:val="6B2C2614"/>
    <w:rsid w:val="6B2D401B"/>
    <w:rsid w:val="6B301415"/>
    <w:rsid w:val="6B3709F5"/>
    <w:rsid w:val="6B380848"/>
    <w:rsid w:val="6B3D5CD6"/>
    <w:rsid w:val="6B447DEC"/>
    <w:rsid w:val="6B4A7F87"/>
    <w:rsid w:val="6B4E7B4D"/>
    <w:rsid w:val="6B5779C3"/>
    <w:rsid w:val="6B581A5F"/>
    <w:rsid w:val="6B59096C"/>
    <w:rsid w:val="6B596BBE"/>
    <w:rsid w:val="6B5B0B88"/>
    <w:rsid w:val="6B61300E"/>
    <w:rsid w:val="6B6C0D22"/>
    <w:rsid w:val="6B6E2157"/>
    <w:rsid w:val="6B6F63E1"/>
    <w:rsid w:val="6B87372B"/>
    <w:rsid w:val="6B882FFF"/>
    <w:rsid w:val="6B8A6D77"/>
    <w:rsid w:val="6B8C0D41"/>
    <w:rsid w:val="6B8C6F93"/>
    <w:rsid w:val="6B945E48"/>
    <w:rsid w:val="6B9F7ED9"/>
    <w:rsid w:val="6BA563A9"/>
    <w:rsid w:val="6BA75B7B"/>
    <w:rsid w:val="6BAC3EA4"/>
    <w:rsid w:val="6BB22A33"/>
    <w:rsid w:val="6BB43DF4"/>
    <w:rsid w:val="6BB97078"/>
    <w:rsid w:val="6BBD1842"/>
    <w:rsid w:val="6BBD539F"/>
    <w:rsid w:val="6BC4672D"/>
    <w:rsid w:val="6BC71D79"/>
    <w:rsid w:val="6BCB3DAE"/>
    <w:rsid w:val="6BCB6BB1"/>
    <w:rsid w:val="6BCB7ABB"/>
    <w:rsid w:val="6BCE3108"/>
    <w:rsid w:val="6BCF1CE1"/>
    <w:rsid w:val="6BD85DF2"/>
    <w:rsid w:val="6BD9334B"/>
    <w:rsid w:val="6BDA5F51"/>
    <w:rsid w:val="6BDF70C3"/>
    <w:rsid w:val="6BE56D52"/>
    <w:rsid w:val="6BE768BF"/>
    <w:rsid w:val="6BEC269B"/>
    <w:rsid w:val="6BEF307E"/>
    <w:rsid w:val="6BF12A33"/>
    <w:rsid w:val="6BF6657C"/>
    <w:rsid w:val="6BFE229C"/>
    <w:rsid w:val="6C033A1C"/>
    <w:rsid w:val="6C070C5C"/>
    <w:rsid w:val="6C0905E4"/>
    <w:rsid w:val="6C094140"/>
    <w:rsid w:val="6C0A2B51"/>
    <w:rsid w:val="6C0C59DE"/>
    <w:rsid w:val="6C0D4ACE"/>
    <w:rsid w:val="6C0E79A8"/>
    <w:rsid w:val="6C1331CB"/>
    <w:rsid w:val="6C150D37"/>
    <w:rsid w:val="6C155E31"/>
    <w:rsid w:val="6C276CBC"/>
    <w:rsid w:val="6C2948E8"/>
    <w:rsid w:val="6C2B055A"/>
    <w:rsid w:val="6C2B67AC"/>
    <w:rsid w:val="6C353187"/>
    <w:rsid w:val="6C4258A4"/>
    <w:rsid w:val="6C4B5B80"/>
    <w:rsid w:val="6C4D6722"/>
    <w:rsid w:val="6C4F4059"/>
    <w:rsid w:val="6C500390"/>
    <w:rsid w:val="6C53185F"/>
    <w:rsid w:val="6C586E75"/>
    <w:rsid w:val="6C621AA2"/>
    <w:rsid w:val="6C622D5E"/>
    <w:rsid w:val="6C641928"/>
    <w:rsid w:val="6C6860E7"/>
    <w:rsid w:val="6C6B6BA9"/>
    <w:rsid w:val="6C6E3873"/>
    <w:rsid w:val="6C6F13C2"/>
    <w:rsid w:val="6C7A6DEC"/>
    <w:rsid w:val="6C841F60"/>
    <w:rsid w:val="6C862AEA"/>
    <w:rsid w:val="6C8B2DA7"/>
    <w:rsid w:val="6C8E6023"/>
    <w:rsid w:val="6C97174C"/>
    <w:rsid w:val="6C975BF0"/>
    <w:rsid w:val="6C9A748E"/>
    <w:rsid w:val="6C9C30BE"/>
    <w:rsid w:val="6C9C3206"/>
    <w:rsid w:val="6C9F52A8"/>
    <w:rsid w:val="6CA4030D"/>
    <w:rsid w:val="6CA468E0"/>
    <w:rsid w:val="6CA701A8"/>
    <w:rsid w:val="6CA96FB6"/>
    <w:rsid w:val="6CAD529C"/>
    <w:rsid w:val="6CAD71C1"/>
    <w:rsid w:val="6CB165AA"/>
    <w:rsid w:val="6CB25261"/>
    <w:rsid w:val="6CBA32DA"/>
    <w:rsid w:val="6CC174CE"/>
    <w:rsid w:val="6CC85DA9"/>
    <w:rsid w:val="6CCA7D73"/>
    <w:rsid w:val="6CD009DE"/>
    <w:rsid w:val="6CD8449D"/>
    <w:rsid w:val="6CDB1F80"/>
    <w:rsid w:val="6CDC1854"/>
    <w:rsid w:val="6CDE3DB2"/>
    <w:rsid w:val="6CE55E74"/>
    <w:rsid w:val="6CE95D1F"/>
    <w:rsid w:val="6CEB1A97"/>
    <w:rsid w:val="6CEC7186"/>
    <w:rsid w:val="6CEF1588"/>
    <w:rsid w:val="6CF5179E"/>
    <w:rsid w:val="6CF6233D"/>
    <w:rsid w:val="6D0019E7"/>
    <w:rsid w:val="6D022035"/>
    <w:rsid w:val="6D036DE1"/>
    <w:rsid w:val="6D077330"/>
    <w:rsid w:val="6D090170"/>
    <w:rsid w:val="6D09091E"/>
    <w:rsid w:val="6D1159A2"/>
    <w:rsid w:val="6D14701B"/>
    <w:rsid w:val="6D160FC4"/>
    <w:rsid w:val="6D1774CF"/>
    <w:rsid w:val="6D192AA9"/>
    <w:rsid w:val="6D194CD4"/>
    <w:rsid w:val="6D1A237D"/>
    <w:rsid w:val="6D1A3A46"/>
    <w:rsid w:val="6D2B2537"/>
    <w:rsid w:val="6D332585"/>
    <w:rsid w:val="6D4B2536"/>
    <w:rsid w:val="6D526662"/>
    <w:rsid w:val="6D527369"/>
    <w:rsid w:val="6D5D0BE7"/>
    <w:rsid w:val="6D5E04BB"/>
    <w:rsid w:val="6D643260"/>
    <w:rsid w:val="6D6C1D7A"/>
    <w:rsid w:val="6D711C78"/>
    <w:rsid w:val="6D711E2E"/>
    <w:rsid w:val="6D747CDF"/>
    <w:rsid w:val="6D7777CF"/>
    <w:rsid w:val="6D83283D"/>
    <w:rsid w:val="6D8343C6"/>
    <w:rsid w:val="6D86046C"/>
    <w:rsid w:val="6D8E655C"/>
    <w:rsid w:val="6D913AA6"/>
    <w:rsid w:val="6D930DF0"/>
    <w:rsid w:val="6D9B170F"/>
    <w:rsid w:val="6DA4377E"/>
    <w:rsid w:val="6DA73C10"/>
    <w:rsid w:val="6DA97D78"/>
    <w:rsid w:val="6DAD4F9F"/>
    <w:rsid w:val="6DAE1443"/>
    <w:rsid w:val="6DAF0D17"/>
    <w:rsid w:val="6DB3264F"/>
    <w:rsid w:val="6DB70237"/>
    <w:rsid w:val="6DB8318D"/>
    <w:rsid w:val="6DBD2ACA"/>
    <w:rsid w:val="6DC24EEE"/>
    <w:rsid w:val="6DC347C2"/>
    <w:rsid w:val="6DC9002B"/>
    <w:rsid w:val="6DD318FB"/>
    <w:rsid w:val="6DD644F6"/>
    <w:rsid w:val="6DE0700D"/>
    <w:rsid w:val="6DE309C1"/>
    <w:rsid w:val="6DE36081"/>
    <w:rsid w:val="6DE54BFE"/>
    <w:rsid w:val="6DE74A35"/>
    <w:rsid w:val="6DE8487B"/>
    <w:rsid w:val="6DEA7FA1"/>
    <w:rsid w:val="6DEC5AC7"/>
    <w:rsid w:val="6DF1132F"/>
    <w:rsid w:val="6DF45246"/>
    <w:rsid w:val="6DF57072"/>
    <w:rsid w:val="6DF64B98"/>
    <w:rsid w:val="6DF6696C"/>
    <w:rsid w:val="6DF809A5"/>
    <w:rsid w:val="6DFB21AE"/>
    <w:rsid w:val="6DFC3BBF"/>
    <w:rsid w:val="6DFF3A4C"/>
    <w:rsid w:val="6E033F65"/>
    <w:rsid w:val="6E0A419F"/>
    <w:rsid w:val="6E0D5AED"/>
    <w:rsid w:val="6E0E5B84"/>
    <w:rsid w:val="6E112B79"/>
    <w:rsid w:val="6E1374F8"/>
    <w:rsid w:val="6E146DCC"/>
    <w:rsid w:val="6E245261"/>
    <w:rsid w:val="6E274AC3"/>
    <w:rsid w:val="6E2A36C5"/>
    <w:rsid w:val="6E2A4841"/>
    <w:rsid w:val="6E2A65EF"/>
    <w:rsid w:val="6E2E60E0"/>
    <w:rsid w:val="6E2F0A19"/>
    <w:rsid w:val="6E301E58"/>
    <w:rsid w:val="6E3336F6"/>
    <w:rsid w:val="6E38049E"/>
    <w:rsid w:val="6E380D0C"/>
    <w:rsid w:val="6E423939"/>
    <w:rsid w:val="6E511DCE"/>
    <w:rsid w:val="6E533D98"/>
    <w:rsid w:val="6E573888"/>
    <w:rsid w:val="6E5754A9"/>
    <w:rsid w:val="6E58315D"/>
    <w:rsid w:val="6E5F098F"/>
    <w:rsid w:val="6E621725"/>
    <w:rsid w:val="6E62222D"/>
    <w:rsid w:val="6E662DA3"/>
    <w:rsid w:val="6E6724D5"/>
    <w:rsid w:val="6E681D50"/>
    <w:rsid w:val="6E7F2DDF"/>
    <w:rsid w:val="6E85086A"/>
    <w:rsid w:val="6E865F1C"/>
    <w:rsid w:val="6E8814CD"/>
    <w:rsid w:val="6E8940A3"/>
    <w:rsid w:val="6E8E3022"/>
    <w:rsid w:val="6E902A48"/>
    <w:rsid w:val="6E9248C1"/>
    <w:rsid w:val="6E9758D2"/>
    <w:rsid w:val="6EA42846"/>
    <w:rsid w:val="6EAA61E1"/>
    <w:rsid w:val="6EB8444E"/>
    <w:rsid w:val="6EBC36EB"/>
    <w:rsid w:val="6EC03A0B"/>
    <w:rsid w:val="6EC627BC"/>
    <w:rsid w:val="6ECB182C"/>
    <w:rsid w:val="6ECC302C"/>
    <w:rsid w:val="6ECC3702"/>
    <w:rsid w:val="6ECD4DCC"/>
    <w:rsid w:val="6ECD58F9"/>
    <w:rsid w:val="6ED8332C"/>
    <w:rsid w:val="6EDB2F69"/>
    <w:rsid w:val="6EDB4F7D"/>
    <w:rsid w:val="6EDE40A1"/>
    <w:rsid w:val="6EE40E94"/>
    <w:rsid w:val="6EEB76D5"/>
    <w:rsid w:val="6EEE7E9D"/>
    <w:rsid w:val="6EEF588A"/>
    <w:rsid w:val="6EF551D6"/>
    <w:rsid w:val="6EF65400"/>
    <w:rsid w:val="6EF8049C"/>
    <w:rsid w:val="6EFA2466"/>
    <w:rsid w:val="6EFC1D3A"/>
    <w:rsid w:val="6EFC7F8C"/>
    <w:rsid w:val="6F046D30"/>
    <w:rsid w:val="6F06705D"/>
    <w:rsid w:val="6F095D9E"/>
    <w:rsid w:val="6F0E7CBF"/>
    <w:rsid w:val="6F1A48B6"/>
    <w:rsid w:val="6F1B21D8"/>
    <w:rsid w:val="6F1B634E"/>
    <w:rsid w:val="6F1C418A"/>
    <w:rsid w:val="6F222375"/>
    <w:rsid w:val="6F235519"/>
    <w:rsid w:val="6F24024B"/>
    <w:rsid w:val="6F2A4AF9"/>
    <w:rsid w:val="6F2D283B"/>
    <w:rsid w:val="6F2F38BE"/>
    <w:rsid w:val="6F2F54CD"/>
    <w:rsid w:val="6F321C00"/>
    <w:rsid w:val="6F3239AE"/>
    <w:rsid w:val="6F3518C1"/>
    <w:rsid w:val="6F372C75"/>
    <w:rsid w:val="6F43767F"/>
    <w:rsid w:val="6F4638FD"/>
    <w:rsid w:val="6F5217A3"/>
    <w:rsid w:val="6F524178"/>
    <w:rsid w:val="6F5558EE"/>
    <w:rsid w:val="6F55769C"/>
    <w:rsid w:val="6F5C6C7D"/>
    <w:rsid w:val="6F6049BF"/>
    <w:rsid w:val="6F665D41"/>
    <w:rsid w:val="6F66605F"/>
    <w:rsid w:val="6F6965FE"/>
    <w:rsid w:val="6F751AEC"/>
    <w:rsid w:val="6F7530AC"/>
    <w:rsid w:val="6F784AF0"/>
    <w:rsid w:val="6F7A74E5"/>
    <w:rsid w:val="6F830281"/>
    <w:rsid w:val="6F8320E9"/>
    <w:rsid w:val="6F865AA7"/>
    <w:rsid w:val="6F9000DE"/>
    <w:rsid w:val="6F912DCA"/>
    <w:rsid w:val="6F94493F"/>
    <w:rsid w:val="6F954CB0"/>
    <w:rsid w:val="6F9C351D"/>
    <w:rsid w:val="6F9E7295"/>
    <w:rsid w:val="6F9F7B2E"/>
    <w:rsid w:val="6FA028AE"/>
    <w:rsid w:val="6FA128E1"/>
    <w:rsid w:val="6FA64737"/>
    <w:rsid w:val="6FB62831"/>
    <w:rsid w:val="6FBB1BF5"/>
    <w:rsid w:val="6FBE3493"/>
    <w:rsid w:val="6FBE7937"/>
    <w:rsid w:val="6FC52A74"/>
    <w:rsid w:val="6FC82564"/>
    <w:rsid w:val="6FCD1928"/>
    <w:rsid w:val="6FCF2A35"/>
    <w:rsid w:val="6FDB4045"/>
    <w:rsid w:val="6FDD5985"/>
    <w:rsid w:val="6FDD7EEB"/>
    <w:rsid w:val="6FE3553D"/>
    <w:rsid w:val="6FED466F"/>
    <w:rsid w:val="6FEE246B"/>
    <w:rsid w:val="6FEF5D43"/>
    <w:rsid w:val="6FF70E2D"/>
    <w:rsid w:val="6FFA0647"/>
    <w:rsid w:val="6FFC4326"/>
    <w:rsid w:val="70003AAC"/>
    <w:rsid w:val="7007308C"/>
    <w:rsid w:val="70194D0D"/>
    <w:rsid w:val="701C6DDB"/>
    <w:rsid w:val="70221C74"/>
    <w:rsid w:val="702F7EED"/>
    <w:rsid w:val="70345611"/>
    <w:rsid w:val="704020FA"/>
    <w:rsid w:val="70455732"/>
    <w:rsid w:val="7047792D"/>
    <w:rsid w:val="704C0A9F"/>
    <w:rsid w:val="704D50B7"/>
    <w:rsid w:val="70551E67"/>
    <w:rsid w:val="705636CC"/>
    <w:rsid w:val="705931BC"/>
    <w:rsid w:val="705C2F35"/>
    <w:rsid w:val="705C33D8"/>
    <w:rsid w:val="705F1CC7"/>
    <w:rsid w:val="707149AA"/>
    <w:rsid w:val="70774359"/>
    <w:rsid w:val="707A1AB0"/>
    <w:rsid w:val="707A385E"/>
    <w:rsid w:val="70837AF6"/>
    <w:rsid w:val="7084521C"/>
    <w:rsid w:val="7086667D"/>
    <w:rsid w:val="708D71A0"/>
    <w:rsid w:val="708E3DDC"/>
    <w:rsid w:val="708F2B0E"/>
    <w:rsid w:val="70912956"/>
    <w:rsid w:val="70951216"/>
    <w:rsid w:val="70985F24"/>
    <w:rsid w:val="709D472F"/>
    <w:rsid w:val="709D4933"/>
    <w:rsid w:val="70A02B99"/>
    <w:rsid w:val="70A1528F"/>
    <w:rsid w:val="70A94143"/>
    <w:rsid w:val="70AE6490"/>
    <w:rsid w:val="70B07280"/>
    <w:rsid w:val="70B40B15"/>
    <w:rsid w:val="70BD7BEF"/>
    <w:rsid w:val="70C20D61"/>
    <w:rsid w:val="70C42D2B"/>
    <w:rsid w:val="70C745CA"/>
    <w:rsid w:val="70D051C8"/>
    <w:rsid w:val="70D2143C"/>
    <w:rsid w:val="70DC0935"/>
    <w:rsid w:val="70E35C37"/>
    <w:rsid w:val="70E37655"/>
    <w:rsid w:val="70E909E4"/>
    <w:rsid w:val="70EB650A"/>
    <w:rsid w:val="70ED4030"/>
    <w:rsid w:val="70F32156"/>
    <w:rsid w:val="70F52EE5"/>
    <w:rsid w:val="70F57389"/>
    <w:rsid w:val="70FF3D63"/>
    <w:rsid w:val="7101188A"/>
    <w:rsid w:val="71035E00"/>
    <w:rsid w:val="710547C7"/>
    <w:rsid w:val="71066EA0"/>
    <w:rsid w:val="710B095A"/>
    <w:rsid w:val="71107D1F"/>
    <w:rsid w:val="71125845"/>
    <w:rsid w:val="71180294"/>
    <w:rsid w:val="711A294B"/>
    <w:rsid w:val="711E068D"/>
    <w:rsid w:val="71285068"/>
    <w:rsid w:val="71313367"/>
    <w:rsid w:val="71371314"/>
    <w:rsid w:val="713779A1"/>
    <w:rsid w:val="713E40E7"/>
    <w:rsid w:val="714300F4"/>
    <w:rsid w:val="71430C35"/>
    <w:rsid w:val="714E48D5"/>
    <w:rsid w:val="7153100B"/>
    <w:rsid w:val="715414DE"/>
    <w:rsid w:val="715B3A61"/>
    <w:rsid w:val="715E6CDC"/>
    <w:rsid w:val="7160306C"/>
    <w:rsid w:val="71614A1E"/>
    <w:rsid w:val="71641E18"/>
    <w:rsid w:val="71655B6B"/>
    <w:rsid w:val="716B41C3"/>
    <w:rsid w:val="716D33C3"/>
    <w:rsid w:val="717464FF"/>
    <w:rsid w:val="717808C3"/>
    <w:rsid w:val="71786A41"/>
    <w:rsid w:val="71790700"/>
    <w:rsid w:val="71794BBE"/>
    <w:rsid w:val="717C53B4"/>
    <w:rsid w:val="71841563"/>
    <w:rsid w:val="71847896"/>
    <w:rsid w:val="71880FC8"/>
    <w:rsid w:val="71883D59"/>
    <w:rsid w:val="71926986"/>
    <w:rsid w:val="71940098"/>
    <w:rsid w:val="719721EE"/>
    <w:rsid w:val="71997D14"/>
    <w:rsid w:val="719E532A"/>
    <w:rsid w:val="71A2244A"/>
    <w:rsid w:val="71A24560"/>
    <w:rsid w:val="71A3637F"/>
    <w:rsid w:val="71A36DE5"/>
    <w:rsid w:val="71A500A8"/>
    <w:rsid w:val="71A558AC"/>
    <w:rsid w:val="71A64520"/>
    <w:rsid w:val="71A93054"/>
    <w:rsid w:val="71B0505E"/>
    <w:rsid w:val="71B2527A"/>
    <w:rsid w:val="71B40FF2"/>
    <w:rsid w:val="71BA7C8A"/>
    <w:rsid w:val="71BB770A"/>
    <w:rsid w:val="71C01745"/>
    <w:rsid w:val="71C942C6"/>
    <w:rsid w:val="71CC00E9"/>
    <w:rsid w:val="71CF357D"/>
    <w:rsid w:val="71D23226"/>
    <w:rsid w:val="71D7083C"/>
    <w:rsid w:val="71DB032D"/>
    <w:rsid w:val="71DC5E53"/>
    <w:rsid w:val="71DF6DDE"/>
    <w:rsid w:val="71E44C91"/>
    <w:rsid w:val="71EA6A44"/>
    <w:rsid w:val="71F736F4"/>
    <w:rsid w:val="71F75576"/>
    <w:rsid w:val="72021D5D"/>
    <w:rsid w:val="7205184D"/>
    <w:rsid w:val="720535FB"/>
    <w:rsid w:val="720930EC"/>
    <w:rsid w:val="721101F2"/>
    <w:rsid w:val="721455EC"/>
    <w:rsid w:val="721D2DA2"/>
    <w:rsid w:val="721D4D44"/>
    <w:rsid w:val="721E646B"/>
    <w:rsid w:val="722A3062"/>
    <w:rsid w:val="722C2936"/>
    <w:rsid w:val="72336AEC"/>
    <w:rsid w:val="72337E0B"/>
    <w:rsid w:val="72395053"/>
    <w:rsid w:val="723A2DA8"/>
    <w:rsid w:val="723B0853"/>
    <w:rsid w:val="723D2D95"/>
    <w:rsid w:val="724A3704"/>
    <w:rsid w:val="724E11C4"/>
    <w:rsid w:val="724F2AC9"/>
    <w:rsid w:val="725325B9"/>
    <w:rsid w:val="72536115"/>
    <w:rsid w:val="72552C5C"/>
    <w:rsid w:val="725A3947"/>
    <w:rsid w:val="725B2D60"/>
    <w:rsid w:val="725D3437"/>
    <w:rsid w:val="725E2D0C"/>
    <w:rsid w:val="72640322"/>
    <w:rsid w:val="72655E48"/>
    <w:rsid w:val="726A7902"/>
    <w:rsid w:val="726E2F4F"/>
    <w:rsid w:val="727979CE"/>
    <w:rsid w:val="727A2B5F"/>
    <w:rsid w:val="727A7B45"/>
    <w:rsid w:val="727B1B10"/>
    <w:rsid w:val="727B7064"/>
    <w:rsid w:val="72856AAC"/>
    <w:rsid w:val="728C7879"/>
    <w:rsid w:val="72914E8F"/>
    <w:rsid w:val="72933FAE"/>
    <w:rsid w:val="72A22A1E"/>
    <w:rsid w:val="72A2705C"/>
    <w:rsid w:val="72AC3A77"/>
    <w:rsid w:val="72B22828"/>
    <w:rsid w:val="72B868C0"/>
    <w:rsid w:val="72BA43E6"/>
    <w:rsid w:val="72C65FB9"/>
    <w:rsid w:val="72C708B1"/>
    <w:rsid w:val="72D66D46"/>
    <w:rsid w:val="72D74F98"/>
    <w:rsid w:val="72D8486C"/>
    <w:rsid w:val="72DC25AE"/>
    <w:rsid w:val="72E15E16"/>
    <w:rsid w:val="72E40166"/>
    <w:rsid w:val="72EB27F1"/>
    <w:rsid w:val="72ED5B8D"/>
    <w:rsid w:val="72F70609"/>
    <w:rsid w:val="72F861B0"/>
    <w:rsid w:val="72FB01C7"/>
    <w:rsid w:val="72FF09A1"/>
    <w:rsid w:val="73040267"/>
    <w:rsid w:val="730833A3"/>
    <w:rsid w:val="7309711B"/>
    <w:rsid w:val="730B4C41"/>
    <w:rsid w:val="730D7029"/>
    <w:rsid w:val="73131D48"/>
    <w:rsid w:val="73155EB6"/>
    <w:rsid w:val="73171838"/>
    <w:rsid w:val="731E21C5"/>
    <w:rsid w:val="731E36F9"/>
    <w:rsid w:val="731F25E1"/>
    <w:rsid w:val="7320374B"/>
    <w:rsid w:val="73214465"/>
    <w:rsid w:val="732857F3"/>
    <w:rsid w:val="7330175C"/>
    <w:rsid w:val="733073FE"/>
    <w:rsid w:val="733E6DC5"/>
    <w:rsid w:val="733F48EB"/>
    <w:rsid w:val="73426189"/>
    <w:rsid w:val="7343262D"/>
    <w:rsid w:val="73465C7A"/>
    <w:rsid w:val="735105D2"/>
    <w:rsid w:val="73530005"/>
    <w:rsid w:val="73531308"/>
    <w:rsid w:val="735A7977"/>
    <w:rsid w:val="735C724B"/>
    <w:rsid w:val="736103BB"/>
    <w:rsid w:val="73614861"/>
    <w:rsid w:val="73630011"/>
    <w:rsid w:val="737063C8"/>
    <w:rsid w:val="73745B3F"/>
    <w:rsid w:val="737756DC"/>
    <w:rsid w:val="737A3B75"/>
    <w:rsid w:val="737C169B"/>
    <w:rsid w:val="73812C97"/>
    <w:rsid w:val="73852193"/>
    <w:rsid w:val="73852C46"/>
    <w:rsid w:val="738844E4"/>
    <w:rsid w:val="73896B11"/>
    <w:rsid w:val="738B5FC5"/>
    <w:rsid w:val="738D5656"/>
    <w:rsid w:val="738E13CF"/>
    <w:rsid w:val="739336A0"/>
    <w:rsid w:val="739369E5"/>
    <w:rsid w:val="739447BA"/>
    <w:rsid w:val="739F35DC"/>
    <w:rsid w:val="73A11102"/>
    <w:rsid w:val="73AB7D4A"/>
    <w:rsid w:val="73AF2114"/>
    <w:rsid w:val="73B01345"/>
    <w:rsid w:val="73B130DA"/>
    <w:rsid w:val="73B2330F"/>
    <w:rsid w:val="73B57AA8"/>
    <w:rsid w:val="73B742FA"/>
    <w:rsid w:val="73B928EF"/>
    <w:rsid w:val="73B9644B"/>
    <w:rsid w:val="73BF56F0"/>
    <w:rsid w:val="73C179F6"/>
    <w:rsid w:val="73C72FEB"/>
    <w:rsid w:val="73C848E1"/>
    <w:rsid w:val="73CF2113"/>
    <w:rsid w:val="73D019E7"/>
    <w:rsid w:val="73D46CB4"/>
    <w:rsid w:val="73D56C31"/>
    <w:rsid w:val="73D72D76"/>
    <w:rsid w:val="73D74B24"/>
    <w:rsid w:val="73D82886"/>
    <w:rsid w:val="73D93474"/>
    <w:rsid w:val="73D94D40"/>
    <w:rsid w:val="73DA2F1D"/>
    <w:rsid w:val="73DD583E"/>
    <w:rsid w:val="73E5065A"/>
    <w:rsid w:val="73EA2AA9"/>
    <w:rsid w:val="73EB6821"/>
    <w:rsid w:val="73EE76EE"/>
    <w:rsid w:val="73EF6311"/>
    <w:rsid w:val="73EF7F54"/>
    <w:rsid w:val="73F10083"/>
    <w:rsid w:val="73F55FED"/>
    <w:rsid w:val="73F7090D"/>
    <w:rsid w:val="73FA488D"/>
    <w:rsid w:val="73FD6BAD"/>
    <w:rsid w:val="73FE6554"/>
    <w:rsid w:val="74000C22"/>
    <w:rsid w:val="740616BD"/>
    <w:rsid w:val="740A4EF9"/>
    <w:rsid w:val="740A6D83"/>
    <w:rsid w:val="74174858"/>
    <w:rsid w:val="7423420D"/>
    <w:rsid w:val="7425151C"/>
    <w:rsid w:val="7426022B"/>
    <w:rsid w:val="742A7349"/>
    <w:rsid w:val="742C30C1"/>
    <w:rsid w:val="74341F76"/>
    <w:rsid w:val="74365CEE"/>
    <w:rsid w:val="7438477F"/>
    <w:rsid w:val="7439758C"/>
    <w:rsid w:val="743B3304"/>
    <w:rsid w:val="74471CA9"/>
    <w:rsid w:val="74474F84"/>
    <w:rsid w:val="74477EFB"/>
    <w:rsid w:val="74493C73"/>
    <w:rsid w:val="744A3547"/>
    <w:rsid w:val="74503451"/>
    <w:rsid w:val="7456013E"/>
    <w:rsid w:val="74561EEC"/>
    <w:rsid w:val="74566390"/>
    <w:rsid w:val="74575C64"/>
    <w:rsid w:val="745A5E80"/>
    <w:rsid w:val="74697F33"/>
    <w:rsid w:val="746C136D"/>
    <w:rsid w:val="746E7BAE"/>
    <w:rsid w:val="74721668"/>
    <w:rsid w:val="74746816"/>
    <w:rsid w:val="747D1B6F"/>
    <w:rsid w:val="747D2327"/>
    <w:rsid w:val="74830F70"/>
    <w:rsid w:val="748A04EA"/>
    <w:rsid w:val="74933140"/>
    <w:rsid w:val="74936C9D"/>
    <w:rsid w:val="74943A50"/>
    <w:rsid w:val="74980BA6"/>
    <w:rsid w:val="74A429AE"/>
    <w:rsid w:val="74A70BD1"/>
    <w:rsid w:val="74B01BBA"/>
    <w:rsid w:val="74B3733F"/>
    <w:rsid w:val="74B65081"/>
    <w:rsid w:val="74BE41EE"/>
    <w:rsid w:val="74C07CAE"/>
    <w:rsid w:val="74C36E18"/>
    <w:rsid w:val="74C755EA"/>
    <w:rsid w:val="74D3178F"/>
    <w:rsid w:val="74DA3A60"/>
    <w:rsid w:val="74DC4AE7"/>
    <w:rsid w:val="74DF1EE2"/>
    <w:rsid w:val="74E219D2"/>
    <w:rsid w:val="74E219ED"/>
    <w:rsid w:val="74EC2F8E"/>
    <w:rsid w:val="74F31E31"/>
    <w:rsid w:val="74F636CF"/>
    <w:rsid w:val="74F811F5"/>
    <w:rsid w:val="74FB2A94"/>
    <w:rsid w:val="74FD2BE4"/>
    <w:rsid w:val="74FD4A5E"/>
    <w:rsid w:val="7501454E"/>
    <w:rsid w:val="75063441"/>
    <w:rsid w:val="7506440F"/>
    <w:rsid w:val="750B31FF"/>
    <w:rsid w:val="750C6A4F"/>
    <w:rsid w:val="7513602F"/>
    <w:rsid w:val="751A0EF3"/>
    <w:rsid w:val="751A1835"/>
    <w:rsid w:val="751A5670"/>
    <w:rsid w:val="751F0770"/>
    <w:rsid w:val="752336E6"/>
    <w:rsid w:val="7535244A"/>
    <w:rsid w:val="753816C8"/>
    <w:rsid w:val="753931F6"/>
    <w:rsid w:val="75400D35"/>
    <w:rsid w:val="75412B9C"/>
    <w:rsid w:val="7541494A"/>
    <w:rsid w:val="754216B4"/>
    <w:rsid w:val="75483F2B"/>
    <w:rsid w:val="754D7BEF"/>
    <w:rsid w:val="75546838"/>
    <w:rsid w:val="75574608"/>
    <w:rsid w:val="755B4233"/>
    <w:rsid w:val="755F1275"/>
    <w:rsid w:val="756479DC"/>
    <w:rsid w:val="756643B1"/>
    <w:rsid w:val="75682771"/>
    <w:rsid w:val="75693EA1"/>
    <w:rsid w:val="756B7C19"/>
    <w:rsid w:val="75705230"/>
    <w:rsid w:val="75713487"/>
    <w:rsid w:val="757410A2"/>
    <w:rsid w:val="75764D82"/>
    <w:rsid w:val="757A4300"/>
    <w:rsid w:val="758111EB"/>
    <w:rsid w:val="758331B5"/>
    <w:rsid w:val="758B68E5"/>
    <w:rsid w:val="758D46EB"/>
    <w:rsid w:val="758F7BB5"/>
    <w:rsid w:val="75932CCC"/>
    <w:rsid w:val="75981265"/>
    <w:rsid w:val="759C5B81"/>
    <w:rsid w:val="759D2027"/>
    <w:rsid w:val="759F3DE9"/>
    <w:rsid w:val="759F5B15"/>
    <w:rsid w:val="75AB44BA"/>
    <w:rsid w:val="75AB5501"/>
    <w:rsid w:val="75AB73BA"/>
    <w:rsid w:val="75B275F6"/>
    <w:rsid w:val="75B74C0D"/>
    <w:rsid w:val="75C17839"/>
    <w:rsid w:val="75C80561"/>
    <w:rsid w:val="75C86E1A"/>
    <w:rsid w:val="75D014F7"/>
    <w:rsid w:val="75D752AF"/>
    <w:rsid w:val="75D82ADC"/>
    <w:rsid w:val="75D91C72"/>
    <w:rsid w:val="75E86CEC"/>
    <w:rsid w:val="75E874BC"/>
    <w:rsid w:val="75EB0D5A"/>
    <w:rsid w:val="75EE39E4"/>
    <w:rsid w:val="760327D0"/>
    <w:rsid w:val="76036776"/>
    <w:rsid w:val="76053BCA"/>
    <w:rsid w:val="760A5684"/>
    <w:rsid w:val="760F46CE"/>
    <w:rsid w:val="76114ECB"/>
    <w:rsid w:val="76142BC8"/>
    <w:rsid w:val="76191D5D"/>
    <w:rsid w:val="761E4C8C"/>
    <w:rsid w:val="761E5BCD"/>
    <w:rsid w:val="761E6A3A"/>
    <w:rsid w:val="76202654"/>
    <w:rsid w:val="762229CE"/>
    <w:rsid w:val="76257DC8"/>
    <w:rsid w:val="76277FE4"/>
    <w:rsid w:val="762D4ECF"/>
    <w:rsid w:val="76307777"/>
    <w:rsid w:val="763077F0"/>
    <w:rsid w:val="7635761A"/>
    <w:rsid w:val="76391AC6"/>
    <w:rsid w:val="76397D18"/>
    <w:rsid w:val="763E70DC"/>
    <w:rsid w:val="764346F2"/>
    <w:rsid w:val="76496EC6"/>
    <w:rsid w:val="764C5733"/>
    <w:rsid w:val="76536785"/>
    <w:rsid w:val="765608C9"/>
    <w:rsid w:val="7657019E"/>
    <w:rsid w:val="765C7562"/>
    <w:rsid w:val="76647254"/>
    <w:rsid w:val="766823AB"/>
    <w:rsid w:val="76682F3C"/>
    <w:rsid w:val="76685F07"/>
    <w:rsid w:val="766C1E9B"/>
    <w:rsid w:val="766F1796"/>
    <w:rsid w:val="76746FA2"/>
    <w:rsid w:val="767936DC"/>
    <w:rsid w:val="767945B8"/>
    <w:rsid w:val="7684793E"/>
    <w:rsid w:val="768A2321"/>
    <w:rsid w:val="768F5C74"/>
    <w:rsid w:val="768F7938"/>
    <w:rsid w:val="76967E0B"/>
    <w:rsid w:val="76AC2297"/>
    <w:rsid w:val="76BA0E58"/>
    <w:rsid w:val="76BA2FBA"/>
    <w:rsid w:val="76BB18DA"/>
    <w:rsid w:val="76BD6253"/>
    <w:rsid w:val="76C267F5"/>
    <w:rsid w:val="76C415FC"/>
    <w:rsid w:val="76C61413"/>
    <w:rsid w:val="76CA0970"/>
    <w:rsid w:val="76CD16D4"/>
    <w:rsid w:val="76CF41D8"/>
    <w:rsid w:val="76D016A8"/>
    <w:rsid w:val="76D101FA"/>
    <w:rsid w:val="76D161A2"/>
    <w:rsid w:val="76D37824"/>
    <w:rsid w:val="76E5705D"/>
    <w:rsid w:val="76EA1012"/>
    <w:rsid w:val="76EB1E9C"/>
    <w:rsid w:val="76F61765"/>
    <w:rsid w:val="76F93003"/>
    <w:rsid w:val="76FC2343"/>
    <w:rsid w:val="76FF686B"/>
    <w:rsid w:val="770519A8"/>
    <w:rsid w:val="770B3462"/>
    <w:rsid w:val="770F2826"/>
    <w:rsid w:val="77105D20"/>
    <w:rsid w:val="77106CCA"/>
    <w:rsid w:val="77197D0F"/>
    <w:rsid w:val="771A36A5"/>
    <w:rsid w:val="771A5453"/>
    <w:rsid w:val="771D50DB"/>
    <w:rsid w:val="77216056"/>
    <w:rsid w:val="77244524"/>
    <w:rsid w:val="77260081"/>
    <w:rsid w:val="772B4FA1"/>
    <w:rsid w:val="772E7150"/>
    <w:rsid w:val="772F5170"/>
    <w:rsid w:val="7731279D"/>
    <w:rsid w:val="77336515"/>
    <w:rsid w:val="77444479"/>
    <w:rsid w:val="774A7326"/>
    <w:rsid w:val="775646F9"/>
    <w:rsid w:val="7758241F"/>
    <w:rsid w:val="775C1580"/>
    <w:rsid w:val="7763329E"/>
    <w:rsid w:val="77672662"/>
    <w:rsid w:val="77722EA8"/>
    <w:rsid w:val="777C7EBC"/>
    <w:rsid w:val="77836141"/>
    <w:rsid w:val="77876861"/>
    <w:rsid w:val="778B6940"/>
    <w:rsid w:val="77950F7E"/>
    <w:rsid w:val="7799050D"/>
    <w:rsid w:val="779A355D"/>
    <w:rsid w:val="779A6594"/>
    <w:rsid w:val="779E726F"/>
    <w:rsid w:val="779F2A68"/>
    <w:rsid w:val="77A17922"/>
    <w:rsid w:val="77AD4519"/>
    <w:rsid w:val="77B37656"/>
    <w:rsid w:val="77B92EBE"/>
    <w:rsid w:val="77BC793B"/>
    <w:rsid w:val="77BE0AF9"/>
    <w:rsid w:val="77BF249E"/>
    <w:rsid w:val="77C013CA"/>
    <w:rsid w:val="77C135BE"/>
    <w:rsid w:val="77C16289"/>
    <w:rsid w:val="77C3319D"/>
    <w:rsid w:val="77D00208"/>
    <w:rsid w:val="77D01FB6"/>
    <w:rsid w:val="77D9530E"/>
    <w:rsid w:val="77E31CE9"/>
    <w:rsid w:val="77E63040"/>
    <w:rsid w:val="77E77FA4"/>
    <w:rsid w:val="77EA5ECC"/>
    <w:rsid w:val="77F07F70"/>
    <w:rsid w:val="77F55179"/>
    <w:rsid w:val="77F967D4"/>
    <w:rsid w:val="77FC1457"/>
    <w:rsid w:val="77FE0C6C"/>
    <w:rsid w:val="77FF1E63"/>
    <w:rsid w:val="7800228C"/>
    <w:rsid w:val="78007FBD"/>
    <w:rsid w:val="78015D7F"/>
    <w:rsid w:val="780A371A"/>
    <w:rsid w:val="780E3BD3"/>
    <w:rsid w:val="78171359"/>
    <w:rsid w:val="781E2697"/>
    <w:rsid w:val="781E2CD5"/>
    <w:rsid w:val="7821446A"/>
    <w:rsid w:val="782406BB"/>
    <w:rsid w:val="78250B22"/>
    <w:rsid w:val="7826607A"/>
    <w:rsid w:val="78273EFF"/>
    <w:rsid w:val="782A3DBC"/>
    <w:rsid w:val="782C2386"/>
    <w:rsid w:val="782F7E72"/>
    <w:rsid w:val="78372035"/>
    <w:rsid w:val="78397B5B"/>
    <w:rsid w:val="783A61D4"/>
    <w:rsid w:val="783C3AEF"/>
    <w:rsid w:val="783E33C3"/>
    <w:rsid w:val="784309DA"/>
    <w:rsid w:val="784B5AE0"/>
    <w:rsid w:val="784C3D32"/>
    <w:rsid w:val="784F5340"/>
    <w:rsid w:val="785A48F6"/>
    <w:rsid w:val="78664144"/>
    <w:rsid w:val="78670B6C"/>
    <w:rsid w:val="786A3801"/>
    <w:rsid w:val="787050BC"/>
    <w:rsid w:val="787119EB"/>
    <w:rsid w:val="78825DD6"/>
    <w:rsid w:val="78847BB2"/>
    <w:rsid w:val="78925404"/>
    <w:rsid w:val="789454CF"/>
    <w:rsid w:val="789F69F9"/>
    <w:rsid w:val="78AB718F"/>
    <w:rsid w:val="78AC47D1"/>
    <w:rsid w:val="78AF64EE"/>
    <w:rsid w:val="78AF75C8"/>
    <w:rsid w:val="78B11DE7"/>
    <w:rsid w:val="78B43685"/>
    <w:rsid w:val="78B744D1"/>
    <w:rsid w:val="78BC253A"/>
    <w:rsid w:val="78BF024C"/>
    <w:rsid w:val="78C77FCD"/>
    <w:rsid w:val="78C85655"/>
    <w:rsid w:val="78CB776D"/>
    <w:rsid w:val="78CF6711"/>
    <w:rsid w:val="78D02FC1"/>
    <w:rsid w:val="78D20616"/>
    <w:rsid w:val="78D37807"/>
    <w:rsid w:val="78D46D79"/>
    <w:rsid w:val="78D66532"/>
    <w:rsid w:val="78DF3BEC"/>
    <w:rsid w:val="78E315A2"/>
    <w:rsid w:val="78E36E19"/>
    <w:rsid w:val="78E90AFB"/>
    <w:rsid w:val="78EA0495"/>
    <w:rsid w:val="78EE6B97"/>
    <w:rsid w:val="78F47F26"/>
    <w:rsid w:val="790B6163"/>
    <w:rsid w:val="790C1713"/>
    <w:rsid w:val="79116D2A"/>
    <w:rsid w:val="791505C8"/>
    <w:rsid w:val="79162F7A"/>
    <w:rsid w:val="79167E9C"/>
    <w:rsid w:val="79224A93"/>
    <w:rsid w:val="79232704"/>
    <w:rsid w:val="79273E57"/>
    <w:rsid w:val="79294073"/>
    <w:rsid w:val="792A3948"/>
    <w:rsid w:val="792F0F95"/>
    <w:rsid w:val="793238A9"/>
    <w:rsid w:val="79333A86"/>
    <w:rsid w:val="793425DB"/>
    <w:rsid w:val="79353545"/>
    <w:rsid w:val="79382508"/>
    <w:rsid w:val="793F284C"/>
    <w:rsid w:val="794269D6"/>
    <w:rsid w:val="79517074"/>
    <w:rsid w:val="79592940"/>
    <w:rsid w:val="795C61F7"/>
    <w:rsid w:val="7961380D"/>
    <w:rsid w:val="79634125"/>
    <w:rsid w:val="79674674"/>
    <w:rsid w:val="7969375C"/>
    <w:rsid w:val="797B7924"/>
    <w:rsid w:val="797F465B"/>
    <w:rsid w:val="798B2638"/>
    <w:rsid w:val="79984D55"/>
    <w:rsid w:val="799B4150"/>
    <w:rsid w:val="79A61220"/>
    <w:rsid w:val="79A67270"/>
    <w:rsid w:val="79A85041"/>
    <w:rsid w:val="79A97134"/>
    <w:rsid w:val="79AA3A5C"/>
    <w:rsid w:val="79AC25AE"/>
    <w:rsid w:val="79B1044B"/>
    <w:rsid w:val="79B778D1"/>
    <w:rsid w:val="79BA6714"/>
    <w:rsid w:val="79C773E8"/>
    <w:rsid w:val="79C8563A"/>
    <w:rsid w:val="79CC49FF"/>
    <w:rsid w:val="79D34EAE"/>
    <w:rsid w:val="79D52942"/>
    <w:rsid w:val="79D7229C"/>
    <w:rsid w:val="79D97847"/>
    <w:rsid w:val="79E26C4A"/>
    <w:rsid w:val="79E93803"/>
    <w:rsid w:val="79EE0E19"/>
    <w:rsid w:val="79EE2A5F"/>
    <w:rsid w:val="79F10445"/>
    <w:rsid w:val="79FA2B6C"/>
    <w:rsid w:val="79FA77BE"/>
    <w:rsid w:val="79FC3536"/>
    <w:rsid w:val="7A020420"/>
    <w:rsid w:val="7A041304"/>
    <w:rsid w:val="7A067F0C"/>
    <w:rsid w:val="7A0C718E"/>
    <w:rsid w:val="7A195E96"/>
    <w:rsid w:val="7A2126FE"/>
    <w:rsid w:val="7A214D4A"/>
    <w:rsid w:val="7A2860D9"/>
    <w:rsid w:val="7A291E51"/>
    <w:rsid w:val="7A2937CC"/>
    <w:rsid w:val="7A293BFF"/>
    <w:rsid w:val="7A2B35EB"/>
    <w:rsid w:val="7A330376"/>
    <w:rsid w:val="7A340F22"/>
    <w:rsid w:val="7A350790"/>
    <w:rsid w:val="7A3A5E0C"/>
    <w:rsid w:val="7A410F49"/>
    <w:rsid w:val="7A5213A8"/>
    <w:rsid w:val="7A5E7D4D"/>
    <w:rsid w:val="7A652E89"/>
    <w:rsid w:val="7A745551"/>
    <w:rsid w:val="7A75650D"/>
    <w:rsid w:val="7A806649"/>
    <w:rsid w:val="7A807CC3"/>
    <w:rsid w:val="7A835790"/>
    <w:rsid w:val="7A8A6D94"/>
    <w:rsid w:val="7A8E7F0B"/>
    <w:rsid w:val="7A8F0AEF"/>
    <w:rsid w:val="7A9343F5"/>
    <w:rsid w:val="7A94376E"/>
    <w:rsid w:val="7A995229"/>
    <w:rsid w:val="7A996D60"/>
    <w:rsid w:val="7AA17C39"/>
    <w:rsid w:val="7AA27811"/>
    <w:rsid w:val="7AA634A2"/>
    <w:rsid w:val="7AAA74E3"/>
    <w:rsid w:val="7AAC0AB8"/>
    <w:rsid w:val="7AAD1E77"/>
    <w:rsid w:val="7AAD2A82"/>
    <w:rsid w:val="7AAF05A8"/>
    <w:rsid w:val="7AB1214E"/>
    <w:rsid w:val="7AB3043C"/>
    <w:rsid w:val="7AB4796D"/>
    <w:rsid w:val="7AB759D6"/>
    <w:rsid w:val="7ABA3B24"/>
    <w:rsid w:val="7ACA25E3"/>
    <w:rsid w:val="7AD24297"/>
    <w:rsid w:val="7AD46261"/>
    <w:rsid w:val="7AE00762"/>
    <w:rsid w:val="7AE244DA"/>
    <w:rsid w:val="7AE34C3A"/>
    <w:rsid w:val="7AF1626C"/>
    <w:rsid w:val="7AF4245F"/>
    <w:rsid w:val="7AF470B9"/>
    <w:rsid w:val="7AF6294A"/>
    <w:rsid w:val="7AF64035"/>
    <w:rsid w:val="7AF83CFD"/>
    <w:rsid w:val="7AFE61F7"/>
    <w:rsid w:val="7B046B46"/>
    <w:rsid w:val="7B0703E4"/>
    <w:rsid w:val="7B072192"/>
    <w:rsid w:val="7B087CB8"/>
    <w:rsid w:val="7B097E4E"/>
    <w:rsid w:val="7B0B6AD3"/>
    <w:rsid w:val="7B0C2101"/>
    <w:rsid w:val="7B0E1C19"/>
    <w:rsid w:val="7B114DBF"/>
    <w:rsid w:val="7B1511FF"/>
    <w:rsid w:val="7B152B01"/>
    <w:rsid w:val="7B1B79EC"/>
    <w:rsid w:val="7B1E128A"/>
    <w:rsid w:val="7B25086A"/>
    <w:rsid w:val="7B25353B"/>
    <w:rsid w:val="7B3048BE"/>
    <w:rsid w:val="7B346CFF"/>
    <w:rsid w:val="7B3563A3"/>
    <w:rsid w:val="7B3A1A33"/>
    <w:rsid w:val="7B3E72C4"/>
    <w:rsid w:val="7B4056A4"/>
    <w:rsid w:val="7B4412F3"/>
    <w:rsid w:val="7B4414B7"/>
    <w:rsid w:val="7B446F42"/>
    <w:rsid w:val="7B477DF0"/>
    <w:rsid w:val="7B4B6523"/>
    <w:rsid w:val="7B5C3128"/>
    <w:rsid w:val="7B672C31"/>
    <w:rsid w:val="7B6F1AE6"/>
    <w:rsid w:val="7B7470FC"/>
    <w:rsid w:val="7B7D2454"/>
    <w:rsid w:val="7B840887"/>
    <w:rsid w:val="7B881ADD"/>
    <w:rsid w:val="7B9309F9"/>
    <w:rsid w:val="7B945FC9"/>
    <w:rsid w:val="7B964140"/>
    <w:rsid w:val="7B9F686F"/>
    <w:rsid w:val="7BA21487"/>
    <w:rsid w:val="7BA40185"/>
    <w:rsid w:val="7BA9718D"/>
    <w:rsid w:val="7BB265A2"/>
    <w:rsid w:val="7BBB4D2B"/>
    <w:rsid w:val="7BC0508A"/>
    <w:rsid w:val="7BC5342E"/>
    <w:rsid w:val="7BCB7664"/>
    <w:rsid w:val="7BCC6F38"/>
    <w:rsid w:val="7BCD518A"/>
    <w:rsid w:val="7BD37BAA"/>
    <w:rsid w:val="7BDF4A83"/>
    <w:rsid w:val="7BE1060B"/>
    <w:rsid w:val="7BE14907"/>
    <w:rsid w:val="7BE424D4"/>
    <w:rsid w:val="7BE76A7D"/>
    <w:rsid w:val="7BEC019F"/>
    <w:rsid w:val="7BEE19FB"/>
    <w:rsid w:val="7BF070CA"/>
    <w:rsid w:val="7BF44347"/>
    <w:rsid w:val="7C044924"/>
    <w:rsid w:val="7C104CD2"/>
    <w:rsid w:val="7C1728A9"/>
    <w:rsid w:val="7C2356F3"/>
    <w:rsid w:val="7C345209"/>
    <w:rsid w:val="7C352FED"/>
    <w:rsid w:val="7C372391"/>
    <w:rsid w:val="7C3F3BAE"/>
    <w:rsid w:val="7C431DAC"/>
    <w:rsid w:val="7C445DA6"/>
    <w:rsid w:val="7C457B4B"/>
    <w:rsid w:val="7C485F25"/>
    <w:rsid w:val="7C52568F"/>
    <w:rsid w:val="7C572CA5"/>
    <w:rsid w:val="7C671657"/>
    <w:rsid w:val="7C6F4493"/>
    <w:rsid w:val="7C7574B9"/>
    <w:rsid w:val="7C790E6E"/>
    <w:rsid w:val="7C8372EE"/>
    <w:rsid w:val="7C924A10"/>
    <w:rsid w:val="7C9E2682"/>
    <w:rsid w:val="7CA51C63"/>
    <w:rsid w:val="7CA757A6"/>
    <w:rsid w:val="7CA83501"/>
    <w:rsid w:val="7CAF4890"/>
    <w:rsid w:val="7CB00608"/>
    <w:rsid w:val="7CB368C4"/>
    <w:rsid w:val="7CB5634F"/>
    <w:rsid w:val="7CC974B5"/>
    <w:rsid w:val="7CCE7DCA"/>
    <w:rsid w:val="7CD04806"/>
    <w:rsid w:val="7CDF5C73"/>
    <w:rsid w:val="7CE16A13"/>
    <w:rsid w:val="7CE458D1"/>
    <w:rsid w:val="7CE45EC7"/>
    <w:rsid w:val="7CE47D4A"/>
    <w:rsid w:val="7CE617A9"/>
    <w:rsid w:val="7CE64887"/>
    <w:rsid w:val="7CE65DD7"/>
    <w:rsid w:val="7CE704CD"/>
    <w:rsid w:val="7CEC5AE4"/>
    <w:rsid w:val="7CEF7382"/>
    <w:rsid w:val="7CF130FA"/>
    <w:rsid w:val="7CF17AA4"/>
    <w:rsid w:val="7CF95B0B"/>
    <w:rsid w:val="7CFB1883"/>
    <w:rsid w:val="7CFC55FB"/>
    <w:rsid w:val="7CFE66BC"/>
    <w:rsid w:val="7D00036C"/>
    <w:rsid w:val="7D083FA0"/>
    <w:rsid w:val="7D0D41C0"/>
    <w:rsid w:val="7D1312C2"/>
    <w:rsid w:val="7D133070"/>
    <w:rsid w:val="7D1D3EEF"/>
    <w:rsid w:val="7D221505"/>
    <w:rsid w:val="7D250DA9"/>
    <w:rsid w:val="7D284642"/>
    <w:rsid w:val="7D2863F0"/>
    <w:rsid w:val="7D2E2162"/>
    <w:rsid w:val="7D31427A"/>
    <w:rsid w:val="7D356F30"/>
    <w:rsid w:val="7D364FB1"/>
    <w:rsid w:val="7D366731"/>
    <w:rsid w:val="7D382AD7"/>
    <w:rsid w:val="7D3B2FF7"/>
    <w:rsid w:val="7D427D30"/>
    <w:rsid w:val="7D4476CE"/>
    <w:rsid w:val="7D4551F4"/>
    <w:rsid w:val="7D4606AB"/>
    <w:rsid w:val="7D490DDB"/>
    <w:rsid w:val="7D4E40A8"/>
    <w:rsid w:val="7D4F211A"/>
    <w:rsid w:val="7D5E0064"/>
    <w:rsid w:val="7D5E1E12"/>
    <w:rsid w:val="7D6513F2"/>
    <w:rsid w:val="7D6C1D7F"/>
    <w:rsid w:val="7D6C452F"/>
    <w:rsid w:val="7D6C6800"/>
    <w:rsid w:val="7D734D87"/>
    <w:rsid w:val="7D75194E"/>
    <w:rsid w:val="7D7653AD"/>
    <w:rsid w:val="7D7D2BE0"/>
    <w:rsid w:val="7D823D52"/>
    <w:rsid w:val="7D8A2C07"/>
    <w:rsid w:val="7D8C4BD1"/>
    <w:rsid w:val="7D8E0CD4"/>
    <w:rsid w:val="7D910439"/>
    <w:rsid w:val="7D9615AC"/>
    <w:rsid w:val="7D987C0D"/>
    <w:rsid w:val="7D9A5540"/>
    <w:rsid w:val="7D9D0B8C"/>
    <w:rsid w:val="7DA513CC"/>
    <w:rsid w:val="7DAC69B0"/>
    <w:rsid w:val="7DB22DA3"/>
    <w:rsid w:val="7DB3106F"/>
    <w:rsid w:val="7DB54EBB"/>
    <w:rsid w:val="7DB67EA0"/>
    <w:rsid w:val="7DB9054B"/>
    <w:rsid w:val="7DC223A1"/>
    <w:rsid w:val="7DCB394B"/>
    <w:rsid w:val="7DCE6B52"/>
    <w:rsid w:val="7DD10836"/>
    <w:rsid w:val="7DD270EF"/>
    <w:rsid w:val="7DDA465A"/>
    <w:rsid w:val="7DE93DD1"/>
    <w:rsid w:val="7DEB3451"/>
    <w:rsid w:val="7DF32EA2"/>
    <w:rsid w:val="7DF86670"/>
    <w:rsid w:val="7DF86D46"/>
    <w:rsid w:val="7E0354EC"/>
    <w:rsid w:val="7E096221"/>
    <w:rsid w:val="7E0C308A"/>
    <w:rsid w:val="7E0E55E6"/>
    <w:rsid w:val="7E1075B0"/>
    <w:rsid w:val="7E1370A0"/>
    <w:rsid w:val="7E152F02"/>
    <w:rsid w:val="7E172803"/>
    <w:rsid w:val="7E1803F3"/>
    <w:rsid w:val="7E22507B"/>
    <w:rsid w:val="7E2412AD"/>
    <w:rsid w:val="7E24305B"/>
    <w:rsid w:val="7E2C3CBE"/>
    <w:rsid w:val="7E3037AE"/>
    <w:rsid w:val="7E3239CA"/>
    <w:rsid w:val="7E377166"/>
    <w:rsid w:val="7E3F60E7"/>
    <w:rsid w:val="7E490D14"/>
    <w:rsid w:val="7E5000A8"/>
    <w:rsid w:val="7E527BC8"/>
    <w:rsid w:val="7E5356EF"/>
    <w:rsid w:val="7E53749D"/>
    <w:rsid w:val="7E5758FF"/>
    <w:rsid w:val="7E576F8D"/>
    <w:rsid w:val="7E577FCC"/>
    <w:rsid w:val="7E6B1E5B"/>
    <w:rsid w:val="7E6B3CDD"/>
    <w:rsid w:val="7E773B63"/>
    <w:rsid w:val="7E7C2E97"/>
    <w:rsid w:val="7E815F22"/>
    <w:rsid w:val="7E843514"/>
    <w:rsid w:val="7E88183C"/>
    <w:rsid w:val="7E905F9E"/>
    <w:rsid w:val="7E987E2B"/>
    <w:rsid w:val="7E9975A5"/>
    <w:rsid w:val="7EA5274C"/>
    <w:rsid w:val="7EA6304A"/>
    <w:rsid w:val="7EAB576E"/>
    <w:rsid w:val="7EAB72D9"/>
    <w:rsid w:val="7EB22415"/>
    <w:rsid w:val="7EB663A9"/>
    <w:rsid w:val="7EB750C1"/>
    <w:rsid w:val="7EBC033C"/>
    <w:rsid w:val="7EBC7828"/>
    <w:rsid w:val="7EC5039A"/>
    <w:rsid w:val="7EC87E8B"/>
    <w:rsid w:val="7ECA3C03"/>
    <w:rsid w:val="7ECB1729"/>
    <w:rsid w:val="7ECF4B58"/>
    <w:rsid w:val="7ED14F91"/>
    <w:rsid w:val="7ED21F55"/>
    <w:rsid w:val="7ED4682F"/>
    <w:rsid w:val="7EDB7BBE"/>
    <w:rsid w:val="7EDC3936"/>
    <w:rsid w:val="7EDF693E"/>
    <w:rsid w:val="7EE30820"/>
    <w:rsid w:val="7EED169F"/>
    <w:rsid w:val="7EEE618D"/>
    <w:rsid w:val="7EF156AE"/>
    <w:rsid w:val="7EF219DA"/>
    <w:rsid w:val="7EF23CD9"/>
    <w:rsid w:val="7EF50E1E"/>
    <w:rsid w:val="7EF70770"/>
    <w:rsid w:val="7EF849CF"/>
    <w:rsid w:val="7EF90044"/>
    <w:rsid w:val="7EFB4F6E"/>
    <w:rsid w:val="7F107805"/>
    <w:rsid w:val="7F121106"/>
    <w:rsid w:val="7F1716D0"/>
    <w:rsid w:val="7F182BC0"/>
    <w:rsid w:val="7F1B445E"/>
    <w:rsid w:val="7F1D5900"/>
    <w:rsid w:val="7F1E201E"/>
    <w:rsid w:val="7F231011"/>
    <w:rsid w:val="7F2A28F3"/>
    <w:rsid w:val="7F346DC0"/>
    <w:rsid w:val="7F352326"/>
    <w:rsid w:val="7F3C0728"/>
    <w:rsid w:val="7F3D43D5"/>
    <w:rsid w:val="7F3F45A7"/>
    <w:rsid w:val="7F4671ED"/>
    <w:rsid w:val="7F4D520C"/>
    <w:rsid w:val="7F556756"/>
    <w:rsid w:val="7F572FBC"/>
    <w:rsid w:val="7F57554F"/>
    <w:rsid w:val="7F6852F2"/>
    <w:rsid w:val="7F6A7194"/>
    <w:rsid w:val="7F6F47AA"/>
    <w:rsid w:val="7F736048"/>
    <w:rsid w:val="7F74591C"/>
    <w:rsid w:val="7F7818B1"/>
    <w:rsid w:val="7F7F2C3F"/>
    <w:rsid w:val="7F7F2FD4"/>
    <w:rsid w:val="7F7F3672"/>
    <w:rsid w:val="7F83107B"/>
    <w:rsid w:val="7F8E2E82"/>
    <w:rsid w:val="7F932247"/>
    <w:rsid w:val="7F9452D1"/>
    <w:rsid w:val="7F983D01"/>
    <w:rsid w:val="7FA52E58"/>
    <w:rsid w:val="7FA62BA4"/>
    <w:rsid w:val="7FAA5E00"/>
    <w:rsid w:val="7FAC753D"/>
    <w:rsid w:val="7FC235B4"/>
    <w:rsid w:val="7FCB6186"/>
    <w:rsid w:val="7FCC39AA"/>
    <w:rsid w:val="7FD832C2"/>
    <w:rsid w:val="7FD91C23"/>
    <w:rsid w:val="7FE65E0B"/>
    <w:rsid w:val="7FEA5394"/>
    <w:rsid w:val="7FEC35BC"/>
    <w:rsid w:val="7FF30F37"/>
    <w:rsid w:val="7FF43CBB"/>
    <w:rsid w:val="7FF5783B"/>
    <w:rsid w:val="7FF76723"/>
    <w:rsid w:val="7FF8479F"/>
    <w:rsid w:val="7FFC3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snapToGrid w:val="0"/>
      <w:spacing w:before="60" w:after="160" w:line="259" w:lineRule="auto"/>
      <w:ind w:right="113"/>
    </w:pPr>
    <w:rPr>
      <w:kern w:val="0"/>
      <w:sz w:val="18"/>
      <w:szCs w:val="20"/>
    </w:rPr>
  </w:style>
  <w:style w:type="paragraph" w:styleId="4">
    <w:name w:val="Normal Indent"/>
    <w:basedOn w:val="1"/>
    <w:next w:val="1"/>
    <w:qFormat/>
    <w:uiPriority w:val="0"/>
    <w:pPr>
      <w:ind w:firstLine="420" w:firstLineChars="200"/>
    </w:pPr>
    <w:rPr>
      <w:sz w:val="24"/>
      <w:szCs w:val="20"/>
    </w:rPr>
  </w:style>
  <w:style w:type="paragraph" w:styleId="5">
    <w:name w:val="annotation text"/>
    <w:basedOn w:val="1"/>
    <w:qFormat/>
    <w:uiPriority w:val="0"/>
    <w:pPr>
      <w:jc w:val="left"/>
    </w:pPr>
    <w:rPr>
      <w:kern w:val="0"/>
      <w:sz w:val="24"/>
      <w:szCs w:val="20"/>
    </w:rPr>
  </w:style>
  <w:style w:type="paragraph" w:styleId="6">
    <w:name w:val="Body Text Indent"/>
    <w:basedOn w:val="1"/>
    <w:qFormat/>
    <w:uiPriority w:val="0"/>
    <w:pPr>
      <w:spacing w:after="120"/>
      <w:ind w:left="420" w:leftChars="200"/>
    </w:pPr>
    <w:rPr>
      <w:kern w:val="0"/>
      <w:sz w:val="24"/>
      <w:szCs w:val="20"/>
    </w:rPr>
  </w:style>
  <w:style w:type="paragraph" w:styleId="7">
    <w:name w:val="Block Text"/>
    <w:basedOn w:val="1"/>
    <w:next w:val="1"/>
    <w:qFormat/>
    <w:uiPriority w:val="0"/>
    <w:pPr>
      <w:spacing w:line="360" w:lineRule="auto"/>
      <w:ind w:left="540" w:leftChars="257" w:right="113" w:firstLine="403" w:firstLineChars="192"/>
    </w:pPr>
    <w:rPr>
      <w:rFonts w:ascii="宋体"/>
    </w:rPr>
  </w:style>
  <w:style w:type="paragraph" w:styleId="8">
    <w:name w:val="List Bullet 5"/>
    <w:basedOn w:val="1"/>
    <w:qFormat/>
    <w:uiPriority w:val="0"/>
    <w:pPr>
      <w:numPr>
        <w:ilvl w:val="0"/>
        <w:numId w:val="1"/>
      </w:numPr>
    </w:p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99"/>
    <w:pPr>
      <w:tabs>
        <w:tab w:val="center" w:pos="4153"/>
        <w:tab w:val="right" w:pos="8306"/>
      </w:tabs>
      <w:snapToGrid w:val="0"/>
      <w:jc w:val="left"/>
    </w:pPr>
    <w:rPr>
      <w:kern w:val="0"/>
      <w:sz w:val="18"/>
      <w:szCs w:val="20"/>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index heading"/>
    <w:basedOn w:val="1"/>
    <w:next w:val="14"/>
    <w:qFormat/>
    <w:uiPriority w:val="0"/>
  </w:style>
  <w:style w:type="paragraph" w:styleId="14">
    <w:name w:val="index 1"/>
    <w:basedOn w:val="1"/>
    <w:next w:val="1"/>
    <w:qFormat/>
    <w:uiPriority w:val="0"/>
    <w:pPr>
      <w:jc w:val="center"/>
    </w:pPr>
  </w:style>
  <w:style w:type="paragraph" w:styleId="15">
    <w:name w:val="List"/>
    <w:basedOn w:val="1"/>
    <w:qFormat/>
    <w:uiPriority w:val="0"/>
    <w:pPr>
      <w:spacing w:line="400" w:lineRule="exact"/>
      <w:jc w:val="center"/>
    </w:pPr>
    <w:rPr>
      <w:rFonts w:ascii="宋体" w:hAnsi="宋体"/>
      <w:sz w:val="24"/>
      <w:szCs w:val="20"/>
    </w:rPr>
  </w:style>
  <w:style w:type="paragraph" w:styleId="16">
    <w:name w:val="Body Text Indent 3"/>
    <w:basedOn w:val="1"/>
    <w:qFormat/>
    <w:uiPriority w:val="0"/>
    <w:pPr>
      <w:spacing w:after="120"/>
      <w:ind w:left="420" w:leftChars="200"/>
    </w:pPr>
    <w:rPr>
      <w:sz w:val="16"/>
      <w:szCs w:val="16"/>
    </w:rPr>
  </w:style>
  <w:style w:type="paragraph" w:styleId="17">
    <w:name w:val="table of figures"/>
    <w:basedOn w:val="1"/>
    <w:next w:val="1"/>
    <w:semiHidden/>
    <w:qFormat/>
    <w:uiPriority w:val="0"/>
    <w:pPr>
      <w:jc w:val="center"/>
    </w:pPr>
    <w:rPr>
      <w:rFonts w:eastAsia="楷体_GB2312"/>
      <w:color w:val="000000"/>
      <w:spacing w:val="-4"/>
      <w:szCs w:val="20"/>
    </w:r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9">
    <w:name w:val="Body Text First Indent 2"/>
    <w:basedOn w:val="6"/>
    <w:qFormat/>
    <w:uiPriority w:val="0"/>
    <w:pPr>
      <w:ind w:firstLine="420" w:firstLineChars="200"/>
    </w:pPr>
    <w:rPr>
      <w:kern w:val="2"/>
      <w:sz w:val="21"/>
      <w:szCs w:val="24"/>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annotation reference"/>
    <w:qFormat/>
    <w:uiPriority w:val="0"/>
    <w:rPr>
      <w:sz w:val="21"/>
    </w:rPr>
  </w:style>
  <w:style w:type="paragraph" w:customStyle="1" w:styleId="25">
    <w:name w:val="0正文"/>
    <w:basedOn w:val="18"/>
    <w:qFormat/>
    <w:uiPriority w:val="0"/>
    <w:pPr>
      <w:spacing w:line="360" w:lineRule="auto"/>
      <w:ind w:firstLine="482"/>
    </w:pPr>
  </w:style>
  <w:style w:type="paragraph" w:customStyle="1" w:styleId="26">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paragraph" w:customStyle="1" w:styleId="27">
    <w:name w:val="正文缩进2"/>
    <w:basedOn w:val="1"/>
    <w:qFormat/>
    <w:uiPriority w:val="0"/>
    <w:pPr>
      <w:spacing w:line="500" w:lineRule="exact"/>
      <w:ind w:firstLine="200" w:firstLineChars="200"/>
    </w:pPr>
  </w:style>
  <w:style w:type="paragraph" w:customStyle="1" w:styleId="28">
    <w:name w:val="正文首行缩进2个字 Char"/>
    <w:basedOn w:val="1"/>
    <w:qFormat/>
    <w:uiPriority w:val="0"/>
    <w:pPr>
      <w:ind w:firstLine="480" w:firstLineChars="200"/>
    </w:pPr>
    <w:rPr>
      <w:rFonts w:eastAsia="楷体"/>
    </w:rPr>
  </w:style>
  <w:style w:type="paragraph" w:customStyle="1" w:styleId="29">
    <w:name w:val="Default"/>
    <w:basedOn w:val="3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1">
    <w:name w:val="表表文字"/>
    <w:basedOn w:val="1"/>
    <w:qFormat/>
    <w:uiPriority w:val="0"/>
    <w:pPr>
      <w:wordWrap w:val="0"/>
      <w:adjustRightInd w:val="0"/>
      <w:snapToGrid w:val="0"/>
      <w:jc w:val="center"/>
    </w:pPr>
    <w:rPr>
      <w:kern w:val="0"/>
      <w:szCs w:val="21"/>
    </w:rPr>
  </w:style>
  <w:style w:type="paragraph" w:customStyle="1" w:styleId="32">
    <w:name w:val="样式1"/>
    <w:basedOn w:val="3"/>
    <w:qFormat/>
    <w:uiPriority w:val="0"/>
    <w:pPr>
      <w:tabs>
        <w:tab w:val="left" w:pos="720"/>
      </w:tabs>
      <w:snapToGrid w:val="0"/>
      <w:spacing w:before="0" w:after="0" w:line="360" w:lineRule="auto"/>
      <w:ind w:left="567" w:hanging="720"/>
    </w:pPr>
    <w:rPr>
      <w:rFonts w:eastAsia="黑体"/>
      <w:b w:val="0"/>
      <w:bCs w:val="0"/>
      <w:sz w:val="28"/>
      <w:szCs w:val="20"/>
    </w:rPr>
  </w:style>
  <w:style w:type="paragraph" w:customStyle="1" w:styleId="33">
    <w:name w:val="我的表头"/>
    <w:qFormat/>
    <w:uiPriority w:val="0"/>
    <w:pPr>
      <w:widowControl w:val="0"/>
      <w:numPr>
        <w:ilvl w:val="0"/>
        <w:numId w:val="2"/>
      </w:numPr>
      <w:spacing w:line="500" w:lineRule="exact"/>
      <w:jc w:val="center"/>
    </w:pPr>
    <w:rPr>
      <w:rFonts w:hint="eastAsia" w:ascii="Times New Roman" w:hAnsi="Times New Roman" w:eastAsia="Times New Roman" w:cs="Times New Roman"/>
      <w:b/>
      <w:kern w:val="2"/>
      <w:sz w:val="24"/>
      <w:szCs w:val="21"/>
      <w:lang w:val="en-US" w:eastAsia="zh-CN" w:bidi="ar-SA"/>
    </w:rPr>
  </w:style>
  <w:style w:type="paragraph" w:customStyle="1" w:styleId="34">
    <w:name w:val="表格内文字"/>
    <w:basedOn w:val="1"/>
    <w:qFormat/>
    <w:uiPriority w:val="0"/>
    <w:pPr>
      <w:tabs>
        <w:tab w:val="left" w:pos="0"/>
      </w:tabs>
      <w:adjustRightInd w:val="0"/>
      <w:snapToGrid w:val="0"/>
      <w:jc w:val="center"/>
    </w:pPr>
    <w:rPr>
      <w:rFonts w:ascii="Times New Roman" w:hAnsi="Times New Roman" w:eastAsia="仿宋"/>
      <w:snapToGrid w:val="0"/>
      <w:kern w:val="0"/>
      <w:szCs w:val="21"/>
    </w:rPr>
  </w:style>
  <w:style w:type="paragraph" w:customStyle="1" w:styleId="35">
    <w:name w:val="环评正文"/>
    <w:qFormat/>
    <w:uiPriority w:val="0"/>
    <w:pPr>
      <w:spacing w:line="440" w:lineRule="exact"/>
      <w:ind w:firstLine="200" w:firstLineChars="200"/>
    </w:pPr>
    <w:rPr>
      <w:rFonts w:ascii="Calibri" w:hAnsi="Calibri" w:eastAsia="Calibri" w:cs="Times New Roman"/>
      <w:bCs/>
      <w:kern w:val="2"/>
      <w:sz w:val="24"/>
      <w:szCs w:val="24"/>
      <w:lang w:val="en-US" w:eastAsia="zh-CN" w:bidi="ar-SA"/>
    </w:rPr>
  </w:style>
  <w:style w:type="paragraph" w:customStyle="1" w:styleId="36">
    <w:name w:val="表格"/>
    <w:basedOn w:val="37"/>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表头"/>
    <w:basedOn w:val="4"/>
    <w:next w:val="1"/>
    <w:qFormat/>
    <w:uiPriority w:val="0"/>
    <w:pPr>
      <w:adjustRightInd w:val="0"/>
      <w:spacing w:line="320" w:lineRule="atLeast"/>
      <w:jc w:val="center"/>
      <w:textAlignment w:val="baseline"/>
    </w:pPr>
    <w:rPr>
      <w:rFonts w:eastAsia="黑体"/>
      <w:spacing w:val="-10"/>
    </w:rPr>
  </w:style>
  <w:style w:type="paragraph" w:customStyle="1" w:styleId="38">
    <w:name w:val="表标题"/>
    <w:basedOn w:val="2"/>
    <w:next w:val="1"/>
    <w:qFormat/>
    <w:uiPriority w:val="0"/>
    <w:pPr>
      <w:spacing w:after="0" w:line="400" w:lineRule="exact"/>
      <w:jc w:val="center"/>
    </w:pPr>
    <w:rPr>
      <w:rFonts w:ascii="Calibri" w:hAnsi="Calibri"/>
      <w:spacing w:val="-4"/>
      <w:sz w:val="24"/>
    </w:rPr>
  </w:style>
  <w:style w:type="paragraph" w:customStyle="1" w:styleId="39">
    <w:name w:val="5 正文，首行缩进"/>
    <w:basedOn w:val="1"/>
    <w:qFormat/>
    <w:uiPriority w:val="0"/>
    <w:pPr>
      <w:topLinePunct/>
      <w:adjustRightInd w:val="0"/>
      <w:snapToGrid w:val="0"/>
      <w:spacing w:line="360" w:lineRule="auto"/>
      <w:ind w:firstLine="200" w:firstLineChars="200"/>
    </w:pPr>
    <w:rPr>
      <w:color w:val="000000"/>
      <w:kern w:val="0"/>
      <w:sz w:val="24"/>
      <w:szCs w:val="20"/>
    </w:rPr>
  </w:style>
  <w:style w:type="paragraph" w:customStyle="1" w:styleId="40">
    <w:name w:val="Table Paragraph"/>
    <w:basedOn w:val="1"/>
    <w:qFormat/>
    <w:uiPriority w:val="0"/>
    <w:rPr>
      <w:rFonts w:ascii="宋体" w:hAnsi="宋体" w:cs="宋体"/>
      <w:lang w:val="zh-CN"/>
    </w:rPr>
  </w:style>
  <w:style w:type="paragraph" w:customStyle="1" w:styleId="41">
    <w:name w:val="正文 4"/>
    <w:basedOn w:val="1"/>
    <w:qFormat/>
    <w:uiPriority w:val="0"/>
    <w:pPr>
      <w:autoSpaceDE w:val="0"/>
      <w:autoSpaceDN w:val="0"/>
      <w:adjustRightInd w:val="0"/>
      <w:snapToGrid w:val="0"/>
      <w:spacing w:line="360" w:lineRule="auto"/>
      <w:ind w:firstLine="480" w:firstLineChars="200"/>
      <w:jc w:val="left"/>
    </w:pPr>
    <w:rPr>
      <w:rFonts w:hAnsi="宋体"/>
      <w:bCs/>
      <w:color w:val="000000"/>
      <w:kern w:val="0"/>
      <w:sz w:val="24"/>
    </w:rPr>
  </w:style>
  <w:style w:type="character" w:customStyle="1" w:styleId="42">
    <w:name w:val="font41"/>
    <w:basedOn w:val="22"/>
    <w:qFormat/>
    <w:uiPriority w:val="0"/>
    <w:rPr>
      <w:rFonts w:hint="eastAsia" w:ascii="宋体" w:hAnsi="宋体" w:eastAsia="宋体" w:cs="宋体"/>
      <w:color w:val="000000"/>
      <w:sz w:val="20"/>
      <w:szCs w:val="20"/>
      <w:u w:val="none"/>
    </w:rPr>
  </w:style>
  <w:style w:type="character" w:customStyle="1" w:styleId="43">
    <w:name w:val="font51"/>
    <w:basedOn w:val="22"/>
    <w:qFormat/>
    <w:uiPriority w:val="0"/>
    <w:rPr>
      <w:rFonts w:hint="default" w:ascii="Times New Roman" w:hAnsi="Times New Roman" w:cs="Times New Roman"/>
      <w:color w:val="000000"/>
      <w:sz w:val="21"/>
      <w:szCs w:val="21"/>
      <w:u w:val="none"/>
    </w:rPr>
  </w:style>
  <w:style w:type="character" w:customStyle="1" w:styleId="44">
    <w:name w:val="font61"/>
    <w:basedOn w:val="22"/>
    <w:qFormat/>
    <w:uiPriority w:val="0"/>
    <w:rPr>
      <w:rFonts w:hint="eastAsia" w:ascii="宋体" w:hAnsi="宋体" w:eastAsia="宋体" w:cs="宋体"/>
      <w:color w:val="000000"/>
      <w:sz w:val="21"/>
      <w:szCs w:val="21"/>
      <w:u w:val="none"/>
    </w:rPr>
  </w:style>
  <w:style w:type="character" w:customStyle="1" w:styleId="45">
    <w:name w:val="font31"/>
    <w:basedOn w:val="22"/>
    <w:qFormat/>
    <w:uiPriority w:val="0"/>
    <w:rPr>
      <w:rFonts w:hint="default" w:ascii="Times New Roman" w:hAnsi="Times New Roman" w:cs="Times New Roman"/>
      <w:color w:val="000000"/>
      <w:sz w:val="20"/>
      <w:szCs w:val="20"/>
      <w:u w:val="none"/>
    </w:rPr>
  </w:style>
  <w:style w:type="paragraph" w:customStyle="1" w:styleId="46">
    <w:name w:val="表格文字"/>
    <w:basedOn w:val="9"/>
    <w:next w:val="1"/>
    <w:qFormat/>
    <w:uiPriority w:val="0"/>
    <w:pPr>
      <w:widowControl/>
      <w:snapToGrid w:val="0"/>
      <w:spacing w:before="60" w:after="160" w:line="400" w:lineRule="exact"/>
      <w:ind w:right="113"/>
      <w:jc w:val="center"/>
    </w:pPr>
    <w:rPr>
      <w:rFonts w:eastAsia="仿宋_GB2312"/>
      <w:kern w:val="0"/>
      <w:sz w:val="18"/>
    </w:rPr>
  </w:style>
  <w:style w:type="paragraph" w:customStyle="1" w:styleId="47">
    <w:name w:val="表格居中"/>
    <w:qFormat/>
    <w:uiPriority w:val="0"/>
    <w:pPr>
      <w:jc w:val="center"/>
    </w:pPr>
    <w:rPr>
      <w:rFonts w:ascii="Times New Roman" w:hAnsi="Times New Roman" w:eastAsia="宋体" w:cs="Times New Roman"/>
      <w:kern w:val="2"/>
      <w:sz w:val="24"/>
      <w:szCs w:val="24"/>
      <w:lang w:val="en-US" w:eastAsia="zh-CN" w:bidi="ar-SA"/>
    </w:rPr>
  </w:style>
  <w:style w:type="table" w:customStyle="1" w:styleId="48">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49">
    <w:name w:val="Table Text"/>
    <w:basedOn w:val="1"/>
    <w:semiHidden/>
    <w:qFormat/>
    <w:uiPriority w:val="0"/>
    <w:rPr>
      <w:rFonts w:ascii="宋体" w:hAnsi="宋体" w:eastAsia="宋体" w:cs="宋体"/>
      <w:sz w:val="24"/>
      <w:szCs w:val="24"/>
      <w:lang w:val="en-US" w:eastAsia="en-US" w:bidi="ar-SA"/>
    </w:rPr>
  </w:style>
  <w:style w:type="paragraph" w:customStyle="1" w:styleId="50">
    <w:name w:val="表头zy"/>
    <w:basedOn w:val="1"/>
    <w:qFormat/>
    <w:uiPriority w:val="0"/>
    <w:pPr>
      <w:spacing w:line="360" w:lineRule="auto"/>
      <w:ind w:firstLine="200" w:firstLineChars="200"/>
      <w:jc w:val="center"/>
    </w:pPr>
    <w:rPr>
      <w:rFonts w:ascii="Times New Roman" w:hAnsi="Times New Roman" w:eastAsia="宋体" w:cs="Times New Roman"/>
      <w:b/>
      <w:kern w:val="0"/>
      <w:sz w:val="24"/>
      <w:szCs w:val="20"/>
    </w:rPr>
  </w:style>
  <w:style w:type="paragraph" w:customStyle="1" w:styleId="51">
    <w:name w:val="表文-zy"/>
    <w:basedOn w:val="1"/>
    <w:qFormat/>
    <w:uiPriority w:val="0"/>
    <w:pPr>
      <w:spacing w:line="360" w:lineRule="auto"/>
      <w:ind w:firstLine="200" w:firstLineChars="200"/>
      <w:jc w:val="center"/>
    </w:pPr>
    <w:rPr>
      <w:rFonts w:ascii="Times New Roman" w:hAnsi="Times New Roman" w:eastAsia="宋体" w:cs="Times New Roman"/>
      <w:sz w:val="24"/>
      <w:szCs w:val="21"/>
    </w:rPr>
  </w:style>
  <w:style w:type="paragraph" w:customStyle="1" w:styleId="52">
    <w:name w:val="正文zy"/>
    <w:basedOn w:val="1"/>
    <w:qFormat/>
    <w:uiPriority w:val="0"/>
    <w:pPr>
      <w:snapToGrid w:val="0"/>
      <w:spacing w:line="360" w:lineRule="auto"/>
      <w:ind w:firstLine="480" w:firstLineChars="200"/>
    </w:pPr>
    <w:rPr>
      <w:rFonts w:ascii="楷体_GB2312" w:hAnsi="楷体_GB2312" w:eastAsia="楷体_GB2312"/>
      <w:color w:val="000000"/>
      <w:kern w:val="0"/>
      <w:sz w:val="24"/>
      <w:szCs w:val="20"/>
    </w:rPr>
  </w:style>
  <w:style w:type="character" w:customStyle="1" w:styleId="53">
    <w:name w:val="title31"/>
    <w:basedOn w:val="22"/>
    <w:qFormat/>
    <w:uiPriority w:val="0"/>
    <w:rPr>
      <w:rFonts w:hint="eastAsia" w:ascii="黑体" w:eastAsia="黑体"/>
      <w:sz w:val="42"/>
      <w:szCs w:val="42"/>
    </w:rPr>
  </w:style>
  <w:style w:type="character" w:customStyle="1" w:styleId="54">
    <w:name w:val="title41"/>
    <w:basedOn w:val="22"/>
    <w:qFormat/>
    <w:uiPriority w:val="0"/>
    <w:rPr>
      <w:rFonts w:hint="eastAsia" w:ascii="宋体" w:hAnsi="宋体" w:eastAsia="宋体"/>
      <w:color w:val="FF6600"/>
      <w:sz w:val="42"/>
      <w:szCs w:val="42"/>
    </w:rPr>
  </w:style>
  <w:style w:type="paragraph" w:customStyle="1" w:styleId="55">
    <w:name w:val="图表标题2"/>
    <w:basedOn w:val="1"/>
    <w:qFormat/>
    <w:uiPriority w:val="0"/>
    <w:pPr>
      <w:snapToGrid w:val="0"/>
      <w:spacing w:line="490" w:lineRule="exact"/>
      <w:ind w:firstLine="482" w:firstLineChars="200"/>
      <w:jc w:val="center"/>
    </w:pPr>
    <w:rPr>
      <w:b/>
      <w:sz w:val="24"/>
      <w:szCs w:val="21"/>
    </w:rPr>
  </w:style>
  <w:style w:type="character" w:customStyle="1" w:styleId="56">
    <w:name w:val="font21"/>
    <w:basedOn w:val="22"/>
    <w:qFormat/>
    <w:uiPriority w:val="0"/>
    <w:rPr>
      <w:rFonts w:hint="eastAsia" w:ascii="宋体" w:hAnsi="宋体" w:eastAsia="宋体" w:cs="宋体"/>
      <w:color w:val="000000"/>
      <w:sz w:val="21"/>
      <w:szCs w:val="21"/>
      <w:u w:val="none"/>
    </w:rPr>
  </w:style>
  <w:style w:type="character" w:customStyle="1" w:styleId="57">
    <w:name w:val="font11"/>
    <w:basedOn w:val="22"/>
    <w:qFormat/>
    <w:uiPriority w:val="0"/>
    <w:rPr>
      <w:rFonts w:hint="default" w:ascii="Times New Roman" w:hAnsi="Times New Roman" w:cs="Times New Roman"/>
      <w:color w:val="000000"/>
      <w:sz w:val="21"/>
      <w:szCs w:val="21"/>
      <w:u w:val="none"/>
    </w:rPr>
  </w:style>
  <w:style w:type="paragraph" w:customStyle="1" w:styleId="58">
    <w:name w:val="正文新 Char"/>
    <w:basedOn w:val="1"/>
    <w:qFormat/>
    <w:uiPriority w:val="0"/>
    <w:pPr>
      <w:spacing w:line="360" w:lineRule="auto"/>
      <w:ind w:firstLine="480" w:firstLineChars="200"/>
    </w:pPr>
    <w:rPr>
      <w:rFonts w:cs="宋体"/>
      <w:szCs w:val="20"/>
    </w:rPr>
  </w:style>
  <w:style w:type="paragraph" w:customStyle="1" w:styleId="59">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9.png"/><Relationship Id="rId5" Type="http://schemas.openxmlformats.org/officeDocument/2006/relationships/footer" Target="foot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emf"/><Relationship Id="rId35" Type="http://schemas.openxmlformats.org/officeDocument/2006/relationships/oleObject" Target="embeddings/oleObject13.bin"/><Relationship Id="rId34" Type="http://schemas.openxmlformats.org/officeDocument/2006/relationships/image" Target="media/image14.wmf"/><Relationship Id="rId33" Type="http://schemas.openxmlformats.org/officeDocument/2006/relationships/oleObject" Target="embeddings/oleObject12.bin"/><Relationship Id="rId32" Type="http://schemas.openxmlformats.org/officeDocument/2006/relationships/image" Target="media/image13.png"/><Relationship Id="rId31" Type="http://schemas.openxmlformats.org/officeDocument/2006/relationships/image" Target="media/image12.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oleObject" Target="embeddings/oleObject9.bin"/><Relationship Id="rId24" Type="http://schemas.openxmlformats.org/officeDocument/2006/relationships/image" Target="media/image8.emf"/><Relationship Id="rId23" Type="http://schemas.openxmlformats.org/officeDocument/2006/relationships/oleObject" Target="embeddings/oleObject8.bin"/><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7b6c7149-f6ae-4502-b3e9-2ca6075f4a45</errorID>
      <errorWord>城</errorWord>
      <group>L1_Word</group>
      <groupName>字词问题</groupName>
      <ability>L2_Typo</ability>
      <abilityName>字词错误</abilityName>
      <candidateList>
        <item>城区</item>
      </candidateList>
      <explain/>
      <paraID>47B73027</paraID>
      <start>53</start>
      <end>54</end>
      <status>unmodified</status>
      <modifiedWord/>
      <trackRevisions>false</trackRevisions>
    </reviewItem>
    <reviewItem>
      <errorID>06767a48-73a9-4846-8cbf-2eebc0b8bc66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257892E7</paraID>
      <start>0</start>
      <end>2</end>
      <status>unmodified</status>
      <modifiedWord/>
      <trackRevisions>false</trackRevisions>
    </reviewItem>
    <reviewItem>
      <errorID>501e69a2-c839-420d-8bf4-900f35484581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30AB645C</paraID>
      <start>0</start>
      <end>2</end>
      <status>unmodified</status>
      <modifiedWord/>
      <trackRevisions>false</trackRevisions>
    </reviewItem>
    <reviewItem>
      <errorID>43308edd-10f5-46a5-856e-235d5353d3d7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79E59C9</paraID>
      <start>0</start>
      <end>2</end>
      <status>unmodified</status>
      <modifiedWord/>
      <trackRevisions>false</trackRevisions>
    </reviewItem>
    <reviewItem>
      <errorID>60c10283-a041-4edd-90dd-1c0ce3098a4c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1D841265</paraID>
      <start>0</start>
      <end>2</end>
      <status>unmodified</status>
      <modifiedWord/>
      <trackRevisions>false</trackRevisions>
    </reviewItem>
    <reviewItem>
      <errorID>5fa32ffc-8046-4b3e-8a7e-1cf561b4f30c</errorID>
      <errorWord>。</errorWord>
      <group>L1_Grammar</group>
      <groupName>语法问题</groupName>
      <ability>L2_Missing</ability>
      <abilityName>成分残缺</abilityName>
      <candidateList>
        <item>区域。</item>
      </candidateList>
      <explain>句子中可能存在主谓宾、修饰语或者必要的词语残缺。</explain>
      <paraID>1D841265</paraID>
      <start>79</start>
      <end>80</end>
      <status>unmodified</status>
      <modifiedWord/>
      <trackRevisions>false</trackRevisions>
    </reviewItem>
    <reviewItem>
      <errorID>5af0b80c-e158-4895-92ad-5bcec0392847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42541FAC</paraID>
      <start>0</start>
      <end>2</end>
      <status>unmodified</status>
      <modifiedWord/>
      <trackRevisions>false</trackRevisions>
    </reviewItem>
    <reviewItem>
      <errorID>4c1bfa90-eb5f-4954-a2b9-600cde62d0ee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268614A2</paraID>
      <start>0</start>
      <end>2</end>
      <status>unmodified</status>
      <modifiedWord/>
      <trackRevisions>false</trackRevisions>
    </reviewItem>
    <reviewItem>
      <errorID>2d379c2c-d2f7-4f62-a1b2-dc811a8ac09b</errorID>
      <errorWord>区</errorWord>
      <group>L1_Word</group>
      <groupName>字词问题</groupName>
      <ability>L2_Typo</ability>
      <abilityName>字词错误</abilityName>
      <candidateList>
        <item>区域</item>
      </candidateList>
      <explain/>
      <paraID>190B5857</paraID>
      <start>59</start>
      <end>60</end>
      <status>unmodified</status>
      <modifiedWord/>
      <trackRevisions>false</trackRevisions>
    </reviewItem>
    <reviewItem>
      <errorID>31142476-f5bf-408e-8310-d060afaeb149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175FE95</paraID>
      <start>0</start>
      <end>2</end>
      <status>unmodified</status>
      <modifiedWord/>
      <trackRevisions>false</trackRevisions>
    </reviewItem>
    <reviewItem>
      <errorID>760f6615-a2b5-4ce5-8a52-00df71c5622b</errorID>
      <errorWord>（</errorWord>
      <group>L1_Format</group>
      <groupName>格式问题</groupName>
      <ability>L2_HalfPunc</ability>
      <abilityName>全半角检查</abilityName>
      <candidateList>
        <item>(</item>
      </candidateList>
      <explain>文本全半角错误。</explain>
      <paraID>477A9486</paraID>
      <start>0</start>
      <end>1</end>
      <status>unmodified</status>
      <modifiedWord/>
      <trackRevisions>false</trackRevisions>
    </reviewItem>
    <reviewItem>
      <errorID>f2f8702f-1388-4727-a371-9a0b90fbf6a3</errorID>
      <errorWord>）</errorWord>
      <group>L1_Format</group>
      <groupName>格式问题</groupName>
      <ability>L2_HalfPunc</ability>
      <abilityName>全半角检查</abilityName>
      <candidateList>
        <item>)</item>
      </candidateList>
      <explain>文本全半角错误。</explain>
      <paraID>477A9486</paraID>
      <start>3</start>
      <end>4</end>
      <status>unmodified</status>
      <modifiedWord/>
      <trackRevisions>false</trackRevisions>
    </reviewItem>
    <reviewItem>
      <errorID>b43c3b29-b398-405a-a8b1-74ef123c402c</errorID>
      <errorWord>81.8%~86.1%</errorWord>
      <group>L1_Knowledge</group>
      <groupName>知识性问题</groupName>
      <ability>L2_Knowledge</ability>
      <abilityName>其他知识</abilityName>
      <candidateList>
        <item>81.8%～86.1%</item>
      </candidateList>
      <explain>1. “81.8%~86.1%”中的单位“%”仅出现在后一个数字上，容易引起歧义；根据《现代汉语标点符号数字用法规范手册》，数字表示范围两边需要使用统一的格式。2. 根据标点国标 4.13 中的规则，数字、时间或地域连接符应使用（视觉上更长的）“—”或“～”。</explain>
      <paraID>7FB11938</paraID>
      <start>83</start>
      <end>94</end>
      <status>unmodified</status>
      <modifiedWord/>
      <trackRevisions>false</trackRevisions>
    </reviewItem>
    <reviewItem>
      <errorID>dee374e7-7446-4dae-9961-a8858ea2344c</errorID>
      <errorWord>)</errorWord>
      <group>L1_Format</group>
      <groupName>格式问题</groupName>
      <ability>L2_HalfPunc</ability>
      <abilityName>全半角检查</abilityName>
      <candidateList>
        <item>）</item>
      </candidateList>
      <explain>文本全半角错误。</explain>
      <paraID>4C0747C6</paraID>
      <start>29</start>
      <end>30</end>
      <status>unmodified</status>
      <modifiedWord/>
      <trackRevisions>false</trackRevisions>
    </reviewItem>
    <reviewItem>
      <errorID>aa02e757-2881-4d94-9708-417404c516d9</errorID>
      <errorWord>)</errorWord>
      <group>L1_Format</group>
      <groupName>格式问题</groupName>
      <ability>L2_HalfPunc</ability>
      <abilityName>全半角检查</abilityName>
      <candidateList>
        <item>）</item>
      </candidateList>
      <explain>文本全半角错误。</explain>
      <paraID>4C0747C6</paraID>
      <start>42</start>
      <end>43</end>
      <status>unmodified</status>
      <modifiedWord/>
      <trackRevisions>false</trackRevisions>
    </reviewItem>
    <reviewItem>
      <errorID>35f669af-9d70-45fe-b0a6-61420b93b13c</errorID>
      <errorWord>)</errorWord>
      <group>L1_Format</group>
      <groupName>格式问题</groupName>
      <ability>L2_HalfPunc</ability>
      <abilityName>全半角检查</abilityName>
      <candidateList>
        <item>）</item>
      </candidateList>
      <explain>文本全半角错误。</explain>
      <paraID>4C0747C6</paraID>
      <start>95</start>
      <end>96</end>
      <status>unmodified</status>
      <modifiedWord/>
      <trackRevisions>false</trackRevisions>
    </reviewItem>
    <reviewItem>
      <errorID>f434b136-d34f-405d-8132-fee5f5a11336</errorID>
      <errorWord>)</errorWord>
      <group>L1_Format</group>
      <groupName>格式问题</groupName>
      <ability>L2_HalfPunc</ability>
      <abilityName>全半角检查</abilityName>
      <candidateList>
        <item>）</item>
      </candidateList>
      <explain>文本全半角错误。</explain>
      <paraID>2319FBBC</paraID>
      <start>31</start>
      <end>32</end>
      <status>unmodified</status>
      <modifiedWord/>
      <trackRevisions>false</trackRevisions>
    </reviewItem>
    <reviewItem>
      <errorID>e4b5502e-ae61-4eed-a917-f70f273d7114</errorID>
      <errorWord>)</errorWord>
      <group>L1_Format</group>
      <groupName>格式问题</groupName>
      <ability>L2_HalfPunc</ability>
      <abilityName>全半角检查</abilityName>
      <candidateList>
        <item>）</item>
      </candidateList>
      <explain>文本全半角错误。</explain>
      <paraID>2319FBBC</paraID>
      <start>44</start>
      <end>45</end>
      <status>unmodified</status>
      <modifiedWord/>
      <trackRevisions>false</trackRevisions>
    </reviewItem>
    <reviewItem>
      <errorID>c6aca801-5d3b-4795-8545-08a70113e980</errorID>
      <errorWord>)</errorWord>
      <group>L1_Format</group>
      <groupName>格式问题</groupName>
      <ability>L2_HalfPunc</ability>
      <abilityName>全半角检查</abilityName>
      <candidateList>
        <item>）</item>
      </candidateList>
      <explain>文本全半角错误。</explain>
      <paraID>2319FBBC</paraID>
      <start>116</start>
      <end>117</end>
      <status>unmodified</status>
      <modifiedWord/>
      <trackRevisions>false</trackRevisions>
    </reviewItem>
    <reviewItem>
      <errorID>e55c1367-07a8-4ff8-b525-c65aa806b8fb</errorID>
      <errorWord>上线</errorWord>
      <group>L1_Word</group>
      <groupName>字词问题</groupName>
      <ability>L2_Typo</ability>
      <abilityName>字词错误</abilityName>
      <candidateList>
        <item>上限</item>
      </candidateList>
      <explain/>
      <paraID> 6F59D8E</paraID>
      <start>48</start>
      <end>50</end>
      <status>unmodified</status>
      <modifiedWord/>
      <trackRevisions>false</trackRevisions>
    </reviewItem>
    <reviewItem>
      <errorID>3c3d0aa4-c40d-45fc-b31e-0f405757019f</errorID>
      <errorWord>胜</errorWord>
      <group>L1_Word</group>
      <groupName>字词问题</groupName>
      <ability>L2_Typo</ability>
      <abilityName>字词错误</abilityName>
      <candidateList>
        <item>胜区</item>
      </candidateList>
      <explain/>
      <paraID>63D355EB</paraID>
      <start>122</start>
      <end>123</end>
      <status>unmodified</status>
      <modifiedWord/>
      <trackRevisions>false</trackRevisions>
    </reviewItem>
    <reviewItem>
      <errorID>4804174b-35b3-45f7-a54e-1ce6021ccc18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5F2D8B8E</paraID>
      <start>0</start>
      <end>2</end>
      <status>unmodified</status>
      <modifiedWord/>
      <trackRevisions>false</trackRevisions>
    </reviewItem>
    <reviewItem>
      <errorID>3716ad1b-65ad-490d-9e8e-33c1f893f3e5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714FA835</paraID>
      <start>0</start>
      <end>2</end>
      <status>unmodified</status>
      <modifiedWord/>
      <trackRevisions>false</trackRevisions>
    </reviewItem>
    <reviewItem>
      <errorID>28ef843b-dcf8-4bf4-a9bd-7b06005200c7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17F4DDCF</paraID>
      <start>0</start>
      <end>2</end>
      <status>unmodified</status>
      <modifiedWord/>
      <trackRevisions>false</trackRevisions>
    </reviewItem>
    <reviewItem>
      <errorID>f089713b-c26b-429f-9d72-5af5150bf484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27EE1F0C</paraID>
      <start>0</start>
      <end>2</end>
      <status>unmodified</status>
      <modifiedWord/>
      <trackRevisions>false</trackRevisions>
    </reviewItem>
    <reviewItem>
      <errorID>0f580d21-ff72-4732-a047-2eeecc138496</errorID>
      <errorWord>》</errorWord>
      <group>L1_Word</group>
      <groupName>字词问题</groupName>
      <ability>L2_Typo</ability>
      <abilityName>字词错误</abilityName>
      <candidateList>
        <item>》和</item>
      </candidateList>
      <explain/>
      <paraID>27EE1F0C</paraID>
      <start>53</start>
      <end>54</end>
      <status>unmodified</status>
      <modifiedWord/>
      <trackRevisions>false</trackRevisions>
    </reviewItem>
    <reviewItem>
      <errorID>bc91f9e7-6be5-45fc-b123-faa3380c7337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7529E8D2</paraID>
      <start>0</start>
      <end>2</end>
      <status>unmodified</status>
      <modifiedWord/>
      <trackRevisions>false</trackRevisions>
    </reviewItem>
    <reviewItem>
      <errorID>83b28036-d6f6-47fe-a53d-41ec8df20a03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79616B61</paraID>
      <start>0</start>
      <end>2</end>
      <status>unmodified</status>
      <modifiedWord/>
      <trackRevisions>false</trackRevisions>
    </reviewItem>
    <reviewItem>
      <errorID>89f29508-0c2c-47de-80fd-a53d51212f94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29614EE4</paraID>
      <start>0</start>
      <end>2</end>
      <status>unmodified</status>
      <modifiedWord/>
      <trackRevisions>false</trackRevisions>
    </reviewItem>
    <reviewItem>
      <errorID>bee914f2-f48a-4727-a27e-fc9473f6bd44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2AD9C99B</paraID>
      <start>0</start>
      <end>2</end>
      <status>unmodified</status>
      <modifiedWord/>
      <trackRevisions>false</trackRevisions>
    </reviewItem>
    <reviewItem>
      <errorID>1394dceb-157e-48fd-99e5-7591f59664fc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181122</paraID>
      <start>0</start>
      <end>2</end>
      <status>unmodified</status>
      <modifiedWord/>
      <trackRevisions>false</trackRevisions>
    </reviewItem>
    <reviewItem>
      <errorID>fae33668-6c55-4786-939d-16c2797b6c1c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5D15E211</paraID>
      <start>0</start>
      <end>2</end>
      <status>unmodified</status>
      <modifiedWord/>
      <trackRevisions>false</trackRevisions>
    </reviewItem>
    <reviewItem>
      <errorID>dfa5a6c7-7f5e-43ef-8ebd-9b423442af4a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2B8E869C</paraID>
      <start>0</start>
      <end>2</end>
      <status>unmodified</status>
      <modifiedWord/>
      <trackRevisions>false</trackRevisions>
    </reviewItem>
    <reviewItem>
      <errorID>3ab02d13-c7c5-45e9-bb11-16d76197715c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15CEDFBF</paraID>
      <start>0</start>
      <end>2</end>
      <status>unmodified</status>
      <modifiedWord/>
      <trackRevisions>false</trackRevisions>
    </reviewItem>
    <reviewItem>
      <errorID>9c6a7abb-a30b-4ac5-9a6b-3e4b9fc644b3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496F8077</paraID>
      <start>0</start>
      <end>2</end>
      <status>unmodified</status>
      <modifiedWord/>
      <trackRevisions>false</trackRevisions>
    </reviewItem>
    <reviewItem>
      <errorID>dd67b24a-6c3a-4d9c-a6aa-c15100d65803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55A0312B</paraID>
      <start>0</start>
      <end>2</end>
      <status>unmodified</status>
      <modifiedWord/>
      <trackRevisions>false</trackRevisions>
    </reviewItem>
    <reviewItem>
      <errorID>49c03d6a-8c85-4da3-a515-b4de0e8c124b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7D8B1396</paraID>
      <start>0</start>
      <end>2</end>
      <status>unmodified</status>
      <modifiedWord/>
      <trackRevisions>false</trackRevisions>
    </reviewItem>
    <reviewItem>
      <errorID>5085a06d-0bc1-40db-a028-c255c06f0dda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2EEA7BF1</paraID>
      <start>0</start>
      <end>2</end>
      <status>unmodified</status>
      <modifiedWord/>
      <trackRevisions>false</trackRevisions>
    </reviewItem>
    <reviewItem>
      <errorID>2330e0ad-08c8-488e-9a2d-1e035fa47071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74A19587</paraID>
      <start>0</start>
      <end>2</end>
      <status>unmodified</status>
      <modifiedWord/>
      <trackRevisions>false</trackRevisions>
    </reviewItem>
    <reviewItem>
      <errorID>517cf261-466d-4955-b5f5-1192e12a7a14</errorID>
      <errorWord>上线</errorWord>
      <group>L1_Word</group>
      <groupName>字词问题</groupName>
      <ability>L2_Typo</ability>
      <abilityName>字词错误</abilityName>
      <candidateList>
        <item>上限</item>
      </candidateList>
      <explain/>
      <paraID>4CF86B4C</paraID>
      <start>25</start>
      <end>27</end>
      <status>unmodified</status>
      <modifiedWord/>
      <trackRevisions>false</trackRevisions>
    </reviewItem>
    <reviewItem>
      <errorID>1f25b806-d631-42c0-b4a6-07131d5fc627</errorID>
      <errorWord>》</errorWord>
      <group>L1_Word</group>
      <groupName>字词问题</groupName>
      <ability>L2_Typo</ability>
      <abilityName>字词错误</abilityName>
      <candidateList>
        <item>》等</item>
      </candidateList>
      <explain/>
      <paraID>7802A5E2</paraID>
      <start>16</start>
      <end>17</end>
      <status>unmodified</status>
      <modifiedWord/>
      <trackRevisions>false</trackRevisions>
    </reviewItem>
    <reviewItem>
      <errorID>1845e04e-71c6-4c37-8c0b-439b674e64cf</errorID>
      <errorWord>其它</errorWord>
      <group>L1_Word</group>
      <groupName>字词问题</groupName>
      <ability>L2_Alias</ability>
      <abilityName>也作/曾用词</abilityName>
      <candidateList>
        <item>其他</item>
      </candidateList>
      <explain>词汇[其它]为不规范表述或旧称，其规范书面表述为[其他]。</explain>
      <paraID>5C42F95F</paraID>
      <start>128</start>
      <end>130</end>
      <status>unmodified</status>
      <modifiedWord/>
      <trackRevisions>false</trackRevisions>
    </reviewItem>
    <reviewItem>
      <errorID>df1e7ff8-45a1-4b74-ad46-ef8d4948f6e4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6435A5DD</paraID>
      <start>0</start>
      <end>2</end>
      <status>unmodified</status>
      <modifiedWord/>
      <trackRevisions>false</trackRevisions>
    </reviewItem>
    <reviewItem>
      <errorID>78ab68c7-f104-4f53-add7-b1ad596bc91d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5C67B413</paraID>
      <start>0</start>
      <end>2</end>
      <status>unmodified</status>
      <modifiedWord/>
      <trackRevisions>false</trackRevisions>
    </reviewItem>
    <reviewItem>
      <errorID>a9d6ce86-3a4d-48dd-a000-c35c956443df</errorID>
      <errorWord>法律、法规</errorWord>
      <group>L1_Word</group>
      <groupName>字词问题</groupName>
      <ability>L2_Typo</ability>
      <abilityName>字词错误</abilityName>
      <candidateList>
        <item>法律法规</item>
      </candidateList>
      <explain/>
      <paraID>78721734</paraID>
      <start>3</start>
      <end>8</end>
      <status>unmodified</status>
      <modifiedWord/>
      <trackRevisions>false</trackRevisions>
    </reviewItem>
    <reviewItem>
      <errorID>ca9d4ca4-a113-4625-a570-f346437326c6</errorID>
      <errorWord>~</errorWord>
      <group>L1_Format</group>
      <groupName>格式问题</groupName>
      <ability>L2_HalfPunc</ability>
      <abilityName>全半角检查</abilityName>
      <candidateList>
        <item>～</item>
      </candidateList>
      <explain>文本全半角错误。</explain>
      <paraID>425808A4</paraID>
      <start>82</start>
      <end>83</end>
      <status>unmodified</status>
      <modifiedWord/>
      <trackRevisions>false</trackRevisions>
    </reviewItem>
    <reviewItem>
      <errorID>79160fde-5ef9-481a-9f38-242070e4df49</errorID>
      <errorWord>、</errorWord>
      <group>L1_Word</group>
      <groupName>字词问题</groupName>
      <ability>L2_Typo</ability>
      <abilityName>字词错误</abilityName>
      <candidateList>
        <item>、新</item>
      </candidateList>
      <explain/>
      <paraID>5E4F1B47</paraID>
      <start>179</start>
      <end>180</end>
      <status>unmodified</status>
      <modifiedWord/>
      <trackRevisions>false</trackRevisions>
    </reviewItem>
    <reviewItem>
      <errorID>488dd78c-c235-4150-b1f5-9de6584b7f67</errorID>
      <errorWord>改善</errorWord>
      <group>L1_Word</group>
      <groupName>字词问题</groupName>
      <ability>L2_Typo</ability>
      <abilityName>字词错误</abilityName>
      <candidateList>
        <item>提高</item>
      </candidateList>
      <explain>“水平～改善”搭配不当，建议修改为“水平～提高”。</explain>
      <paraID>5E4F1B47</paraID>
      <start>454</start>
      <end>456</end>
      <status>unmodified</status>
      <modifiedWord/>
      <trackRevisions>false</trackRevisions>
    </reviewItem>
    <reviewItem>
      <errorID>8be16e7b-9f51-491f-9e90-3718dca57ca4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7A91D805</paraID>
      <start>0</start>
      <end>2</end>
      <status>unmodified</status>
      <modifiedWord/>
      <trackRevisions>false</trackRevisions>
    </reviewItem>
    <reviewItem>
      <errorID>5cfb54a8-c60b-4fe8-8468-360d3b1bd47a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678CDA33</paraID>
      <start>0</start>
      <end>2</end>
      <status>unmodified</status>
      <modifiedWord/>
      <trackRevisions>false</trackRevisions>
    </reviewItem>
    <reviewItem>
      <errorID>8a930a64-f639-408f-a557-d35305e1b37d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19C7CEFD</paraID>
      <start>0</start>
      <end>3</end>
      <status>unmodified</status>
      <modifiedWord/>
      <trackRevisions>false</trackRevisions>
    </reviewItem>
    <reviewItem>
      <errorID>27e01bf2-4ec7-4e7c-b1e0-56ce80640ea5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1D6C0B63</paraID>
      <start>0</start>
      <end>3</end>
      <status>unmodified</status>
      <modifiedWord/>
      <trackRevisions>false</trackRevisions>
    </reviewItem>
    <reviewItem>
      <errorID>8f8e44af-34b0-4e54-976b-2de2f07e8286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1A6D5D51</paraID>
      <start>0</start>
      <end>3</end>
      <status>unmodified</status>
      <modifiedWord/>
      <trackRevisions>false</trackRevisions>
    </reviewItem>
    <reviewItem>
      <errorID>5d9832c1-4894-4213-b553-0173902c7544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3F469A44</paraID>
      <start>0</start>
      <end>3</end>
      <status>unmodified</status>
      <modifiedWord/>
      <trackRevisions>false</trackRevisions>
    </reviewItem>
    <reviewItem>
      <errorID>ba69a916-bfa6-41c8-99b5-285a714af582</errorID>
      <errorWord>）</errorWord>
      <group>L1_Word</group>
      <groupName>字词问题</groupName>
      <ability>L2_Typo</ability>
      <abilityName>字词错误</abilityName>
      <candidateList>
        <item>）第</item>
      </candidateList>
      <explain/>
      <paraID>7D9ECAAC</paraID>
      <start>56</start>
      <end>57</end>
      <status>unmodified</status>
      <modifiedWord/>
      <trackRevisions>false</trackRevisions>
    </reviewItem>
    <reviewItem>
      <errorID>cf791557-1ded-4e50-83bd-a806ea87dbd8</errorID>
      <errorWord>：</errorWord>
      <group>L1_Format</group>
      <groupName>格式问题</groupName>
      <ability>L2_HalfPunc</ability>
      <abilityName>全半角检查</abilityName>
      <candidateList>
        <item>:</item>
      </candidateList>
      <explain>文本全半角错误。</explain>
      <paraID>626023C0</paraID>
      <start>20</start>
      <end>21</end>
      <status>unmodified</status>
      <modifiedWord/>
      <trackRevisions>false</trackRevisions>
    </reviewItem>
    <reviewItem>
      <errorID>8c2fd184-b32d-458e-b706-2174b0f3625f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76A7B1BE</paraID>
      <start>0</start>
      <end>2</end>
      <status>unmodified</status>
      <modifiedWord/>
      <trackRevisions>false</trackRevisions>
    </reviewItem>
    <reviewItem>
      <errorID>5c52394f-261d-48ab-850e-c4af8cbf645c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B19C93C</paraID>
      <start>0</start>
      <end>2</end>
      <status>unmodified</status>
      <modifiedWord/>
      <trackRevisions>false</trackRevisions>
    </reviewItem>
    <reviewItem>
      <errorID>c442f066-f0dd-4dea-b98c-5d65ebce1b19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1DA249C1</paraID>
      <start>0</start>
      <end>2</end>
      <status>unmodified</status>
      <modifiedWord/>
      <trackRevisions>false</trackRevisions>
    </reviewItem>
    <reviewItem>
      <errorID>d65ad90c-5296-4ab3-96c1-e3563fb12063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BD831E4</paraID>
      <start>0</start>
      <end>2</end>
      <status>unmodified</status>
      <modifiedWord/>
      <trackRevisions>false</trackRevisions>
    </reviewItem>
    <reviewItem>
      <errorID>3951cd51-76e9-4c33-ad6b-105544501e42</errorID>
      <errorWord>~</errorWord>
      <group>L1_Format</group>
      <groupName>格式问题</groupName>
      <ability>L2_HalfPunc</ability>
      <abilityName>全半角检查</abilityName>
      <candidateList>
        <item>～</item>
      </candidateList>
      <explain>文本全半角错误。</explain>
      <paraID>5B51D0B0</paraID>
      <start>9</start>
      <end>10</end>
      <status>unmodified</status>
      <modifiedWord/>
      <trackRevisions>false</trackRevisions>
    </reviewItem>
    <reviewItem>
      <errorID>0efd4856-a6f7-46f9-ad36-d81f6c55af16</errorID>
      <errorWord>（</errorWord>
      <group>L1_Format</group>
      <groupName>格式问题</groupName>
      <ability>L2_HalfPunc</ability>
      <abilityName>全半角检查</abilityName>
      <candidateList>
        <item>(</item>
      </candidateList>
      <explain>文本全半角错误。</explain>
      <paraID>5A43D246</paraID>
      <start>0</start>
      <end>1</end>
      <status>unmodified</status>
      <modifiedWord/>
      <trackRevisions>false</trackRevisions>
    </reviewItem>
    <reviewItem>
      <errorID>4a2113a0-dc7b-4dcf-9776-b66cc66b1054</errorID>
      <errorWord>）</errorWord>
      <group>L1_Format</group>
      <groupName>格式问题</groupName>
      <ability>L2_HalfPunc</ability>
      <abilityName>全半角检查</abilityName>
      <candidateList>
        <item>)</item>
      </candidateList>
      <explain>文本全半角错误。</explain>
      <paraID>5A43D246</paraID>
      <start>2</start>
      <end>3</end>
      <status>unmodified</status>
      <modifiedWord/>
      <trackRevisions>false</trackRevisions>
    </reviewItem>
    <reviewItem>
      <errorID>90a080fe-263f-4eaf-a742-792b783d10fb</errorID>
      <errorWord>（</errorWord>
      <group>L1_Format</group>
      <groupName>格式问题</groupName>
      <ability>L2_HalfPunc</ability>
      <abilityName>全半角检查</abilityName>
      <candidateList>
        <item>(</item>
      </candidateList>
      <explain>文本全半角错误。</explain>
      <paraID>3A8542C9</paraID>
      <start>0</start>
      <end>1</end>
      <status>unmodified</status>
      <modifiedWord/>
      <trackRevisions>false</trackRevisions>
    </reviewItem>
    <reviewItem>
      <errorID>ee38690b-73a2-44b9-ad2a-849c38568f5a</errorID>
      <errorWord>）</errorWord>
      <group>L1_Format</group>
      <groupName>格式问题</groupName>
      <ability>L2_HalfPunc</ability>
      <abilityName>全半角检查</abilityName>
      <candidateList>
        <item>)</item>
      </candidateList>
      <explain>文本全半角错误。</explain>
      <paraID>3A8542C9</paraID>
      <start>6</start>
      <end>7</end>
      <status>unmodified</status>
      <modifiedWord/>
      <trackRevisions>false</trackRevisions>
    </reviewItem>
    <reviewItem>
      <errorID>c7e9c488-19f0-4c2b-9cd6-820c1f807db2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4F36F800</paraID>
      <start>0</start>
      <end>2</end>
      <status>unmodified</status>
      <modifiedWord/>
      <trackRevisions>false</trackRevisions>
    </reviewItem>
    <reviewItem>
      <errorID>4447a8d7-6f42-4d2e-bd33-6684405d0623</errorID>
      <errorWord>：</errorWord>
      <group>L1_Format</group>
      <groupName>格式问题</groupName>
      <ability>L2_HalfPunc</ability>
      <abilityName>全半角检查</abilityName>
      <candidateList>
        <item>:</item>
      </candidateList>
      <explain>文本全半角错误。</explain>
      <paraID>5D483C16</paraID>
      <start>4</start>
      <end>5</end>
      <status>unmodified</status>
      <modifiedWord/>
      <trackRevisions>false</trackRevisions>
    </reviewItem>
    <reviewItem>
      <errorID>41641eac-1c65-4ddd-b75a-a51505e6db8b</errorID>
      <errorWord>：</errorWord>
      <group>L1_Format</group>
      <groupName>格式问题</groupName>
      <ability>L2_HalfPunc</ability>
      <abilityName>全半角检查</abilityName>
      <candidateList>
        <item>:</item>
      </candidateList>
      <explain>文本全半角错误。</explain>
      <paraID>546604CB</paraID>
      <start>4</start>
      <end>5</end>
      <status>unmodified</status>
      <modifiedWord/>
      <trackRevisions>false</trackRevisions>
    </reviewItem>
    <reviewItem>
      <errorID>f5cf7267-dbdf-462b-b7d8-cbb1a5d81235</errorID>
      <errorWord>：</errorWord>
      <group>L1_Format</group>
      <groupName>格式问题</groupName>
      <ability>L2_HalfPunc</ability>
      <abilityName>全半角检查</abilityName>
      <candidateList>
        <item>:</item>
      </candidateList>
      <explain>文本全半角错误。</explain>
      <paraID>1BDD23C2</paraID>
      <start>4</start>
      <end>5</end>
      <status>unmodified</status>
      <modifiedWord/>
      <trackRevisions>false</trackRevisions>
    </reviewItem>
    <reviewItem>
      <errorID>7d385ee4-0a75-4f48-814d-db97df983ceb</errorID>
      <errorWord>：</errorWord>
      <group>L1_Format</group>
      <groupName>格式问题</groupName>
      <ability>L2_HalfPunc</ability>
      <abilityName>全半角检查</abilityName>
      <candidateList>
        <item>:</item>
      </candidateList>
      <explain>文本全半角错误。</explain>
      <paraID>2732A395</paraID>
      <start>4</start>
      <end>5</end>
      <status>unmodified</status>
      <modifiedWord/>
      <trackRevisions>false</trackRevisions>
    </reviewItem>
    <reviewItem>
      <errorID>6a7c4997-2536-4701-8a3b-5f1876bc0d14</errorID>
      <errorWord>（</errorWord>
      <group>L1_Punc</group>
      <groupName>标点问题</groupName>
      <ability>L2_Punc</ability>
      <abilityName>标点符号检查</abilityName>
      <candidateList/>
      <explain>同一形式括号套用。</explain>
      <paraID>46E0F691</paraID>
      <start>7</start>
      <end>8</end>
      <status>unmodified</status>
      <modifiedWord/>
      <trackRevisions>false</trackRevisions>
    </reviewItem>
    <reviewItem>
      <errorID>6679c92a-bc2c-4f9f-8dc5-9f9b0201b5db</errorID>
      <errorWord>）</errorWord>
      <group>L1_Punc</group>
      <groupName>标点问题</groupName>
      <ability>L2_Punc</ability>
      <abilityName>标点符号检查</abilityName>
      <candidateList/>
      <explain>同一形式括号套用。</explain>
      <paraID>46E0F691</paraID>
      <start>10</start>
      <end>11</end>
      <status>unmodified</status>
      <modifiedWord/>
      <trackRevisions>false</trackRevisions>
    </reviewItem>
    <reviewItem>
      <errorID>387da165-5776-40f2-8b9c-20dfd4363d95</errorID>
      <errorWord>：</errorWord>
      <group>L1_Format</group>
      <groupName>格式问题</groupName>
      <ability>L2_HalfPunc</ability>
      <abilityName>全半角检查</abilityName>
      <candidateList>
        <item>:</item>
      </candidateList>
      <explain>文本全半角错误。</explain>
      <paraID> 671DF6C</paraID>
      <start>4</start>
      <end>5</end>
      <status>unmodified</status>
      <modifiedWord/>
      <trackRevisions>false</trackRevisions>
    </reviewItem>
    <reviewItem>
      <errorID>7c486499-cbb5-4485-8e13-55f82537a551</errorID>
      <errorWord>：</errorWord>
      <group>L1_Format</group>
      <groupName>格式问题</groupName>
      <ability>L2_HalfPunc</ability>
      <abilityName>全半角检查</abilityName>
      <candidateList>
        <item>:</item>
      </candidateList>
      <explain>文本全半角错误。</explain>
      <paraID>25F2B944</paraID>
      <start>4</start>
      <end>5</end>
      <status>unmodified</status>
      <modifiedWord/>
      <trackRevisions>false</trackRevisions>
    </reviewItem>
    <reviewItem>
      <errorID>1a7be700-ac65-4214-9a82-5911345dad0c</errorID>
      <errorWord>：</errorWord>
      <group>L1_Format</group>
      <groupName>格式问题</groupName>
      <ability>L2_HalfPunc</ability>
      <abilityName>全半角检查</abilityName>
      <candidateList>
        <item>:</item>
      </candidateList>
      <explain>文本全半角错误。</explain>
      <paraID>788A4F4A</paraID>
      <start>4</start>
      <end>5</end>
      <status>unmodified</status>
      <modifiedWord/>
      <trackRevisions>false</trackRevisions>
    </reviewItem>
    <reviewItem>
      <errorID>043d187f-eb24-4eac-acf4-2ad776fb415c</errorID>
      <errorWord>：</errorWord>
      <group>L1_Format</group>
      <groupName>格式问题</groupName>
      <ability>L2_HalfPunc</ability>
      <abilityName>全半角检查</abilityName>
      <candidateList>
        <item>:</item>
      </candidateList>
      <explain>文本全半角错误。</explain>
      <paraID>67C65108</paraID>
      <start>4</start>
      <end>5</end>
      <status>unmodified</status>
      <modifiedWord/>
      <trackRevisions>false</trackRevisions>
    </reviewItem>
    <reviewItem>
      <errorID>7c5ac0be-1c86-4bb2-954d-4f54db27ba91</errorID>
      <errorWord>：</errorWord>
      <group>L1_Format</group>
      <groupName>格式问题</groupName>
      <ability>L2_HalfPunc</ability>
      <abilityName>全半角检查</abilityName>
      <candidateList>
        <item>:</item>
      </candidateList>
      <explain>文本全半角错误。</explain>
      <paraID>6FF7743C</paraID>
      <start>4</start>
      <end>5</end>
      <status>unmodified</status>
      <modifiedWord/>
      <trackRevisions>false</trackRevisions>
    </reviewItem>
    <reviewItem>
      <errorID>1b0756f4-106d-4891-b0f5-7e7769f12b05</errorID>
      <errorWord>：</errorWord>
      <group>L1_Format</group>
      <groupName>格式问题</groupName>
      <ability>L2_HalfPunc</ability>
      <abilityName>全半角检查</abilityName>
      <candidateList>
        <item>:</item>
      </candidateList>
      <explain>文本全半角错误。</explain>
      <paraID>15DA9649</paraID>
      <start>4</start>
      <end>5</end>
      <status>unmodified</status>
      <modifiedWord/>
      <trackRevisions>false</trackRevisions>
    </reviewItem>
    <reviewItem>
      <errorID>353d9fec-21d0-4bfe-9bad-a9e90ee20ed9</errorID>
      <errorWord>：</errorWord>
      <group>L1_Format</group>
      <groupName>格式问题</groupName>
      <ability>L2_HalfPunc</ability>
      <abilityName>全半角检查</abilityName>
      <candidateList>
        <item>:</item>
      </candidateList>
      <explain>文本全半角错误。</explain>
      <paraID>21B4A6DB</paraID>
      <start>4</start>
      <end>5</end>
      <status>unmodified</status>
      <modifiedWord/>
      <trackRevisions>false</trackRevisions>
    </reviewItem>
    <reviewItem>
      <errorID>b98afe2d-9684-4ef0-90ab-f435b99ecf5a</errorID>
      <errorWord>：</errorWord>
      <group>L1_Format</group>
      <groupName>格式问题</groupName>
      <ability>L2_HalfPunc</ability>
      <abilityName>全半角检查</abilityName>
      <candidateList>
        <item>:</item>
      </candidateList>
      <explain>文本全半角错误。</explain>
      <paraID>41FC5AE3</paraID>
      <start>154</start>
      <end>155</end>
      <status>unmodified</status>
      <modifiedWord/>
      <trackRevisions>false</trackRevisions>
    </reviewItem>
    <reviewItem>
      <errorID>dc57a959-df9d-4ddb-9c68-fa64b9a70d11</errorID>
      <errorWord>（</errorWord>
      <group>L1_Format</group>
      <groupName>格式问题</groupName>
      <ability>L2_HalfPunc</ability>
      <abilityName>全半角检查</abilityName>
      <candidateList>
        <item>(</item>
      </candidateList>
      <explain>文本全半角错误。</explain>
      <paraID>42603430</paraID>
      <start>0</start>
      <end>1</end>
      <status>unmodified</status>
      <modifiedWord/>
      <trackRevisions>false</trackRevisions>
    </reviewItem>
    <reviewItem>
      <errorID>cadea52c-538d-45b9-8578-671b29585fa9</errorID>
      <errorWord>）</errorWord>
      <group>L1_Format</group>
      <groupName>格式问题</groupName>
      <ability>L2_HalfPunc</ability>
      <abilityName>全半角检查</abilityName>
      <candidateList>
        <item>)</item>
      </candidateList>
      <explain>文本全半角错误。</explain>
      <paraID>42603430</paraID>
      <start>6</start>
      <end>7</end>
      <status>unmodified</status>
      <modifiedWord/>
      <trackRevisions>false</trackRevisions>
    </reviewItem>
    <reviewItem>
      <errorID>56f8c235-8ab2-40c9-b0b0-a783358eb209</errorID>
      <errorWord>（</errorWord>
      <group>L1_Format</group>
      <groupName>格式问题</groupName>
      <ability>L2_HalfPunc</ability>
      <abilityName>全半角检查</abilityName>
      <candidateList>
        <item>(</item>
      </candidateList>
      <explain>文本全半角错误。</explain>
      <paraID>72431B31</paraID>
      <start>0</start>
      <end>1</end>
      <status>unmodified</status>
      <modifiedWord/>
      <trackRevisions>false</trackRevisions>
    </reviewItem>
    <reviewItem>
      <errorID>2fb37fee-c8c3-4188-87eb-b790c7eacbaa</errorID>
      <errorWord>）</errorWord>
      <group>L1_Format</group>
      <groupName>格式问题</groupName>
      <ability>L2_HalfPunc</ability>
      <abilityName>全半角检查</abilityName>
      <candidateList>
        <item>)</item>
      </candidateList>
      <explain>文本全半角错误。</explain>
      <paraID>72431B31</paraID>
      <start>6</start>
      <end>7</end>
      <status>unmodified</status>
      <modifiedWord/>
      <trackRevisions>false</trackRevisions>
    </reviewItem>
    <reviewItem>
      <errorID>1e601f6a-fe33-4a51-a14a-47fee4fe2bf4</errorID>
      <errorWord>（</errorWord>
      <group>L1_Format</group>
      <groupName>格式问题</groupName>
      <ability>L2_HalfPunc</ability>
      <abilityName>全半角检查</abilityName>
      <candidateList>
        <item>(</item>
      </candidateList>
      <explain>文本全半角错误。</explain>
      <paraID>41A4FF19</paraID>
      <start>0</start>
      <end>1</end>
      <status>unmodified</status>
      <modifiedWord/>
      <trackRevisions>false</trackRevisions>
    </reviewItem>
    <reviewItem>
      <errorID>7c5a454e-e468-4b2f-bd57-e5f1acf31399</errorID>
      <errorWord>）</errorWord>
      <group>L1_Format</group>
      <groupName>格式问题</groupName>
      <ability>L2_HalfPunc</ability>
      <abilityName>全半角检查</abilityName>
      <candidateList>
        <item>)</item>
      </candidateList>
      <explain>文本全半角错误。</explain>
      <paraID>41A4FF19</paraID>
      <start>3</start>
      <end>4</end>
      <status>unmodified</status>
      <modifiedWord/>
      <trackRevisions>false</trackRevisions>
    </reviewItem>
    <reviewItem>
      <errorID>524a6d6f-f6f5-4f17-9610-9ef0c8180753</errorID>
      <errorWord>（</errorWord>
      <group>L1_Format</group>
      <groupName>格式问题</groupName>
      <ability>L2_HalfPunc</ability>
      <abilityName>全半角检查</abilityName>
      <candidateList>
        <item>(</item>
      </candidateList>
      <explain>文本全半角错误。</explain>
      <paraID> 3B186A6</paraID>
      <start>0</start>
      <end>1</end>
      <status>unmodified</status>
      <modifiedWord/>
      <trackRevisions>false</trackRevisions>
    </reviewItem>
    <reviewItem>
      <errorID>3c38b45e-3d9a-488a-98ab-b50b76943eac</errorID>
      <errorWord>）</errorWord>
      <group>L1_Format</group>
      <groupName>格式问题</groupName>
      <ability>L2_HalfPunc</ability>
      <abilityName>全半角检查</abilityName>
      <candidateList>
        <item>)</item>
      </candidateList>
      <explain>文本全半角错误。</explain>
      <paraID> 3B186A6</paraID>
      <start>6</start>
      <end>7</end>
      <status>unmodified</status>
      <modifiedWord/>
      <trackRevisions>false</trackRevisions>
    </reviewItem>
    <reviewItem>
      <errorID>e881c934-6849-4be8-8ce7-76d6673f670f</errorID>
      <errorWord>（</errorWord>
      <group>L1_Format</group>
      <groupName>格式问题</groupName>
      <ability>L2_HalfPunc</ability>
      <abilityName>全半角检查</abilityName>
      <candidateList>
        <item>(</item>
      </candidateList>
      <explain>文本全半角错误。</explain>
      <paraID>25179004</paraID>
      <start>0</start>
      <end>1</end>
      <status>unmodified</status>
      <modifiedWord/>
      <trackRevisions>false</trackRevisions>
    </reviewItem>
    <reviewItem>
      <errorID>7efa4ea0-ee1a-4bc0-8e48-6e0e1b3cce6a</errorID>
      <errorWord>）</errorWord>
      <group>L1_Format</group>
      <groupName>格式问题</groupName>
      <ability>L2_HalfPunc</ability>
      <abilityName>全半角检查</abilityName>
      <candidateList>
        <item>)</item>
      </candidateList>
      <explain>文本全半角错误。</explain>
      <paraID>25179004</paraID>
      <start>3</start>
      <end>4</end>
      <status>unmodified</status>
      <modifiedWord/>
      <trackRevisions>false</trackRevisions>
    </reviewItem>
    <reviewItem>
      <errorID>bc578ac7-635f-4e25-b9cf-238d78f3d6fa</errorID>
      <errorWord>（</errorWord>
      <group>L1_Format</group>
      <groupName>格式问题</groupName>
      <ability>L2_HalfPunc</ability>
      <abilityName>全半角检查</abilityName>
      <candidateList>
        <item>(</item>
      </candidateList>
      <explain>文本全半角错误。</explain>
      <paraID>111C1573</paraID>
      <start>0</start>
      <end>1</end>
      <status>unmodified</status>
      <modifiedWord/>
      <trackRevisions>false</trackRevisions>
    </reviewItem>
    <reviewItem>
      <errorID>6dce2876-9e87-4f45-a864-7ec07d7bfb53</errorID>
      <errorWord>）</errorWord>
      <group>L1_Format</group>
      <groupName>格式问题</groupName>
      <ability>L2_HalfPunc</ability>
      <abilityName>全半角检查</abilityName>
      <candidateList>
        <item>)</item>
      </candidateList>
      <explain>文本全半角错误。</explain>
      <paraID>111C1573</paraID>
      <start>3</start>
      <end>4</end>
      <status>unmodified</status>
      <modifiedWord/>
      <trackRevisions>false</trackRevisions>
    </reviewItem>
    <reviewItem>
      <errorID>e58b303a-0517-417f-926c-394191c88e30</errorID>
      <errorWord>（</errorWord>
      <group>L1_Format</group>
      <groupName>格式问题</groupName>
      <ability>L2_HalfPunc</ability>
      <abilityName>全半角检查</abilityName>
      <candidateList>
        <item>(</item>
      </candidateList>
      <explain>文本全半角错误。</explain>
      <paraID>2DF06077</paraID>
      <start>0</start>
      <end>1</end>
      <status>unmodified</status>
      <modifiedWord/>
      <trackRevisions>false</trackRevisions>
    </reviewItem>
    <reviewItem>
      <errorID>ec23e733-5550-4fde-836e-5b16063384c6</errorID>
      <errorWord>）</errorWord>
      <group>L1_Format</group>
      <groupName>格式问题</groupName>
      <ability>L2_HalfPunc</ability>
      <abilityName>全半角检查</abilityName>
      <candidateList>
        <item>)</item>
      </candidateList>
      <explain>文本全半角错误。</explain>
      <paraID>2DF06077</paraID>
      <start>6</start>
      <end>7</end>
      <status>unmodified</status>
      <modifiedWord/>
      <trackRevisions>false</trackRevisions>
    </reviewItem>
    <reviewItem>
      <errorID>f57feb2b-ceae-49c6-ba3b-9dbf66a67c70</errorID>
      <errorWord>（</errorWord>
      <group>L1_Format</group>
      <groupName>格式问题</groupName>
      <ability>L2_HalfPunc</ability>
      <abilityName>全半角检查</abilityName>
      <candidateList>
        <item>(</item>
      </candidateList>
      <explain>文本全半角错误。</explain>
      <paraID>6A934AF3</paraID>
      <start>0</start>
      <end>1</end>
      <status>unmodified</status>
      <modifiedWord/>
      <trackRevisions>false</trackRevisions>
    </reviewItem>
    <reviewItem>
      <errorID>9f7ef8f3-1d6c-4a53-a191-adde5d9dabdb</errorID>
      <errorWord>）</errorWord>
      <group>L1_Format</group>
      <groupName>格式问题</groupName>
      <ability>L2_HalfPunc</ability>
      <abilityName>全半角检查</abilityName>
      <candidateList>
        <item>)</item>
      </candidateList>
      <explain>文本全半角错误。</explain>
      <paraID>6A934AF3</paraID>
      <start>4</start>
      <end>5</end>
      <status>unmodified</status>
      <modifiedWord/>
      <trackRevisions>false</trackRevisions>
    </reviewItem>
    <reviewItem>
      <errorID>8ca285d4-e2dc-42cf-8a14-0f5214053ad7</errorID>
      <errorWord>（</errorWord>
      <group>L1_Format</group>
      <groupName>格式问题</groupName>
      <ability>L2_HalfPunc</ability>
      <abilityName>全半角检查</abilityName>
      <candidateList>
        <item>(</item>
      </candidateList>
      <explain>文本全半角错误。</explain>
      <paraID> 2B73247</paraID>
      <start>0</start>
      <end>1</end>
      <status>unmodified</status>
      <modifiedWord/>
      <trackRevisions>false</trackRevisions>
    </reviewItem>
    <reviewItem>
      <errorID>ca032445-490c-4644-b7b9-0ea1a5392f1c</errorID>
      <errorWord>）</errorWord>
      <group>L1_Format</group>
      <groupName>格式问题</groupName>
      <ability>L2_HalfPunc</ability>
      <abilityName>全半角检查</abilityName>
      <candidateList>
        <item>)</item>
      </candidateList>
      <explain>文本全半角错误。</explain>
      <paraID> 2B73247</paraID>
      <start>4</start>
      <end>5</end>
      <status>unmodified</status>
      <modifiedWord/>
      <trackRevisions>false</trackRevisions>
    </reviewItem>
    <reviewItem>
      <errorID>308aa559-f99a-4436-bb74-8e97f17c055c</errorID>
      <errorWord>（</errorWord>
      <group>L1_Format</group>
      <groupName>格式问题</groupName>
      <ability>L2_HalfPunc</ability>
      <abilityName>全半角检查</abilityName>
      <candidateList>
        <item>(</item>
      </candidateList>
      <explain>文本全半角错误。</explain>
      <paraID>251F504A</paraID>
      <start>0</start>
      <end>1</end>
      <status>unmodified</status>
      <modifiedWord/>
      <trackRevisions>false</trackRevisions>
    </reviewItem>
    <reviewItem>
      <errorID>80236068-1782-408a-8aa6-7782e661789b</errorID>
      <errorWord>）</errorWord>
      <group>L1_Format</group>
      <groupName>格式问题</groupName>
      <ability>L2_HalfPunc</ability>
      <abilityName>全半角检查</abilityName>
      <candidateList>
        <item>)</item>
      </candidateList>
      <explain>文本全半角错误。</explain>
      <paraID>251F504A</paraID>
      <start>4</start>
      <end>5</end>
      <status>unmodified</status>
      <modifiedWord/>
      <trackRevisions>false</trackRevisions>
    </reviewItem>
    <reviewItem>
      <errorID>f455d0f7-46cc-4649-b8b0-3b0e5664b3d5</errorID>
      <errorWord>（</errorWord>
      <group>L1_Punc</group>
      <groupName>标点问题</groupName>
      <ability>L2_Punc</ability>
      <abilityName>标点符号检查</abilityName>
      <candidateList/>
      <explain>同一形式括号套用。</explain>
      <paraID>2E8C3A24</paraID>
      <start>11</start>
      <end>12</end>
      <status>unmodified</status>
      <modifiedWord/>
      <trackRevisions>false</trackRevisions>
    </reviewItem>
    <reviewItem>
      <errorID>0f812d2c-6bea-418c-a13a-4bce87e91fda</errorID>
      <errorWord>）</errorWord>
      <group>L1_Punc</group>
      <groupName>标点问题</groupName>
      <ability>L2_Punc</ability>
      <abilityName>标点符号检查</abilityName>
      <candidateList/>
      <explain>同一形式括号套用。</explain>
      <paraID>2E8C3A24</paraID>
      <start>20</start>
      <end>21</end>
      <status>unmodified</status>
      <modifiedWord/>
      <trackRevisions>false</trackRevisions>
    </reviewItem>
    <reviewItem>
      <errorID>1bb00ea0-9e8a-4593-9cdc-b35871912211</errorID>
      <errorWord>（</errorWord>
      <group>L1_Punc</group>
      <groupName>标点问题</groupName>
      <ability>L2_Punc</ability>
      <abilityName>标点符号检查</abilityName>
      <candidateList/>
      <explain>同一形式括号套用。</explain>
      <paraID>7B9264B5</paraID>
      <start>16</start>
      <end>17</end>
      <status>unmodified</status>
      <modifiedWord/>
      <trackRevisions>false</trackRevisions>
    </reviewItem>
    <reviewItem>
      <errorID>ab5561ef-8ebd-4a4c-bb8e-ee36c2a60edf</errorID>
      <errorWord>）</errorWord>
      <group>L1_Punc</group>
      <groupName>标点问题</groupName>
      <ability>L2_Punc</ability>
      <abilityName>标点符号检查</abilityName>
      <candidateList/>
      <explain>同一形式括号套用。</explain>
      <paraID>7B9264B5</paraID>
      <start>25</start>
      <end>26</end>
      <status>unmodified</status>
      <modifiedWord/>
      <trackRevisions>false</trackRevisions>
    </reviewItem>
    <reviewItem>
      <errorID>685cfb31-cda2-401b-bbb4-803c25501678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70A13B20</paraID>
      <start>0</start>
      <end>2</end>
      <status>unmodified</status>
      <modifiedWord/>
      <trackRevisions>false</trackRevisions>
    </reviewItem>
    <reviewItem>
      <errorID>fc22206b-5da7-4b89-ae5c-72e1b1cfab15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6E15A058</paraID>
      <start>0</start>
      <end>2</end>
      <status>unmodified</status>
      <modifiedWord/>
      <trackRevisions>false</trackRevisions>
    </reviewItem>
    <reviewItem>
      <errorID>13f2de0a-5d7a-46bd-bc61-f9a18764124d</errorID>
      <errorWord>0.5%~1.0%</errorWord>
      <group>L1_Knowledge</group>
      <groupName>知识性问题</groupName>
      <ability>L2_Knowledge</ability>
      <abilityName>其他知识</abilityName>
      <candidateList>
        <item>0.5%～1.0%</item>
      </candidateList>
      <explain>1. “0.5%~1.0%”中的单位“%”仅出现在后一个数字上，容易引起歧义；根据《现代汉语标点符号数字用法规范手册》，数字表示范围两边需要使用统一的格式。2. 根据标点国标 4.13 中的规则，数字、时间或地域连接符应使用（视觉上更长的）“—”或“～”。</explain>
      <paraID>5A64723C</paraID>
      <start>183</start>
      <end>192</end>
      <status>unmodified</status>
      <modifiedWord/>
      <trackRevisions>false</trackRevisions>
    </reviewItem>
    <reviewItem>
      <errorID>3314f380-5f56-44d8-9ef8-70ec9cbf854c</errorID>
      <errorWord>~</errorWord>
      <group>L1_Format</group>
      <groupName>格式问题</groupName>
      <ability>L2_HalfPunc</ability>
      <abilityName>全半角检查</abilityName>
      <candidateList>
        <item>～</item>
      </candidateList>
      <explain>文本全半角错误。</explain>
      <paraID> CA4143E</paraID>
      <start>90</start>
      <end>91</end>
      <status>unmodified</status>
      <modifiedWord/>
      <trackRevisions>false</trackRevisions>
    </reviewItem>
    <reviewItem>
      <errorID>8f8a745c-98e2-495e-ab9b-8faa61a42094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4EA99935</paraID>
      <start>0</start>
      <end>2</end>
      <status>unmodified</status>
      <modifiedWord/>
      <trackRevisions>false</trackRevisions>
    </reviewItem>
    <reviewItem>
      <errorID>bd58047d-5f8a-4ff8-b03c-d79f342eeb60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5B4CCAC2</paraID>
      <start>0</start>
      <end>2</end>
      <status>unmodified</status>
      <modifiedWord/>
      <trackRevisions>false</trackRevisions>
    </reviewItem>
    <reviewItem>
      <errorID>1c3ba72b-3012-4481-a0a3-a7c9b5875aa1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598B697</paraID>
      <start>0</start>
      <end>2</end>
      <status>unmodified</status>
      <modifiedWord/>
      <trackRevisions>false</trackRevisions>
    </reviewItem>
    <reviewItem>
      <errorID>62e4282e-a228-4533-9293-6a0b75c77176</errorID>
      <errorWord>溢流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17090FA0</paraID>
      <start>120</start>
      <end>122</end>
      <status>unmodified</status>
      <modifiedWord/>
      <trackRevisions>false</trackRevisions>
    </reviewItem>
    <reviewItem>
      <errorID>0b0052b4-ccea-42da-9fa7-f93e4539b587</errorID>
      <errorWord>溢流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5FF7E046</paraID>
      <start>120</start>
      <end>122</end>
      <status>unmodified</status>
      <modifiedWord/>
      <trackRevisions>false</trackRevisions>
    </reviewItem>
    <reviewItem>
      <errorID>4352b92b-1c2a-4ef6-b210-9c83e9f3c5bb</errorID>
      <errorWord>溢流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337C5020</paraID>
      <start>107</start>
      <end>109</end>
      <status>unmodified</status>
      <modifiedWord/>
      <trackRevisions>false</trackRevisions>
    </reviewItem>
    <reviewItem>
      <errorID>705bd86d-1b6a-4fd5-bd78-b5457228d73c</errorID>
      <errorWord>：</errorWord>
      <group>L1_Format</group>
      <groupName>格式问题</groupName>
      <ability>L2_HalfPunc</ability>
      <abilityName>全半角检查</abilityName>
      <candidateList>
        <item>:</item>
      </candidateList>
      <explain>文本全半角错误。</explain>
      <paraID>14BACF2C</paraID>
      <start>159</start>
      <end>160</end>
      <status>unmodified</status>
      <modifiedWord/>
      <trackRevisions>false</trackRevisions>
    </reviewItem>
    <reviewItem>
      <errorID>c7b6045f-48e8-4ae1-8cfa-fb9608e3ea72</errorID>
      <errorWord>用以</errorWord>
      <group>L1_Word</group>
      <groupName>字词问题</groupName>
      <ability>L2_Typo</ability>
      <abilityName>字词错误</abilityName>
      <candidateList>
        <item>用于</item>
      </candidateList>
      <explain>存在发音相近字词的误用。</explain>
      <paraID>18B70D1C</paraID>
      <start>13</start>
      <end>15</end>
      <status>unmodified</status>
      <modifiedWord/>
      <trackRevisions>false</trackRevisions>
    </reviewItem>
    <reviewItem>
      <errorID>390b7605-3e27-46a2-a9a7-4f2e7d215818</errorID>
      <errorWord>加热循环</errorWord>
      <group>L1_Knowledge</group>
      <groupName>知识性问题</groupName>
      <ability>L2_Term</ability>
      <abilityName>专业术语</abilityName>
      <candidateList>
        <item>再热循环</item>
      </candidateList>
      <explain/>
      <paraID> A2C1A56</paraID>
      <start>175</start>
      <end>179</end>
      <status>unmodified</status>
      <modifiedWord/>
      <trackRevisions>false</trackRevisions>
    </reviewItem>
    <reviewItem>
      <errorID>89eeae41-c792-4eee-89b6-c3881f47db73</errorID>
      <errorWord>加热循环</errorWord>
      <group>L1_Knowledge</group>
      <groupName>知识性问题</groupName>
      <ability>L2_Term</ability>
      <abilityName>专业术语</abilityName>
      <candidateList>
        <item>再热循环</item>
      </candidateList>
      <explain/>
      <paraID>26125DB8</paraID>
      <start>132</start>
      <end>136</end>
      <status>unmodified</status>
      <modifiedWord/>
      <trackRevisions>false</trackRevisions>
    </reviewItem>
    <reviewItem>
      <errorID>29e4d242-ed2e-41ee-8c61-a1ba0ee2cb1f</errorID>
      <errorWord>油油</errorWord>
      <group>L1_Word</group>
      <groupName>字词问题</groupName>
      <ability>L2_Typo</ability>
      <abilityName>字词错误</abilityName>
      <candidateList>
        <item>油</item>
      </candidateList>
      <explain/>
      <paraID>7772CC4C</paraID>
      <start>15</start>
      <end>17</end>
      <status>unmodified</status>
      <modifiedWord/>
      <trackRevisions>false</trackRevisions>
    </reviewItem>
    <reviewItem>
      <errorID>65b559b5-b786-4f1c-a453-41b4db1f0a69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63D40B0B</paraID>
      <start>0</start>
      <end>2</end>
      <status>unmodified</status>
      <modifiedWord/>
      <trackRevisions>false</trackRevisions>
    </reviewItem>
    <reviewItem>
      <errorID>2edce5ee-492a-4e28-b655-b33d3a59a268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61FDCFB8</paraID>
      <start>0</start>
      <end>2</end>
      <status>unmodified</status>
      <modifiedWord/>
      <trackRevisions>false</trackRevisions>
    </reviewItem>
    <reviewItem>
      <errorID>b6078a56-dd66-468f-89d3-f033726923d1</errorID>
      <errorWord>[2007]566号</errorWord>
      <group>L1_Knowledge</group>
      <groupName>知识性问题</groupName>
      <ability>L2_Knowledge</ability>
      <abilityName>其他知识</abilityName>
      <candidateList>
        <item>〔2007〕566号</item>
      </candidateList>
      <explain>发文字号格式错误。</explain>
      <paraID>2FE676F4</paraID>
      <start>3</start>
      <end>13</end>
      <status>unmodified</status>
      <modifiedWord/>
      <trackRevisions>false</trackRevisions>
    </reviewItem>
    <reviewItem>
      <errorID>3de9d5fe-3a2f-4763-8830-530553837929</errorID>
      <errorWord>[2020]</errorWord>
      <group>L1_Punc</group>
      <groupName>标点问题</groupName>
      <ability>L2_Punc</ability>
      <abilityName>标点符号检查</abilityName>
      <candidateList>
        <item>〔2020〕</item>
      </candidateList>
      <explain/>
      <paraID>56EC45B0</paraID>
      <start>5</start>
      <end>11</end>
      <status>unmodified</status>
      <modifiedWord/>
      <trackRevisions>false</trackRevisions>
    </reviewItem>
    <reviewItem>
      <errorID>6661427a-363b-48f5-84e0-014cbc8d5628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60B68C54</paraID>
      <start>0</start>
      <end>2</end>
      <status>unmodified</status>
      <modifiedWord/>
      <trackRevisions>false</trackRevisions>
    </reviewItem>
    <reviewItem>
      <errorID>c48a8cfa-6658-46f7-b567-93b736c3f3cb</errorID>
      <errorWord>：</errorWord>
      <group>L1_Format</group>
      <groupName>格式问题</groupName>
      <ability>L2_HalfPunc</ability>
      <abilityName>全半角检查</abilityName>
      <candidateList>
        <item>:</item>
      </candidateList>
      <explain>文本全半角错误。</explain>
      <paraID>1F1751A9</paraID>
      <start>95</start>
      <end>96</end>
      <status>unmodified</status>
      <modifiedWord/>
      <trackRevisions>false</trackRevisions>
    </reviewItem>
    <reviewItem>
      <errorID>8f7cd2b9-225c-43b9-b42e-08adf203cf3a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3E4731</paraID>
      <start>0</start>
      <end>2</end>
      <status>unmodified</status>
      <modifiedWord/>
      <trackRevisions>false</trackRevisions>
    </reviewItem>
    <reviewItem>
      <errorID>ee0aad1f-b6cd-46d9-be4d-00f2b295394e</errorID>
      <errorWord>废水检测</errorWord>
      <group>L1_Word</group>
      <groupName>字词问题</groupName>
      <ability>L2_Typo</ability>
      <abilityName>字词错误</abilityName>
      <candidateList>
        <item>废水监测</item>
      </candidateList>
      <explain/>
      <paraID>3D0EA648</paraID>
      <start>4</start>
      <end>8</end>
      <status>unmodified</status>
      <modifiedWord/>
      <trackRevisions>false</trackRevisions>
    </reviewItem>
    <reviewItem>
      <errorID>abb04490-2c64-439d-984e-258c67bdfe2d</errorID>
      <errorWord>检测点位</errorWord>
      <group>L1_Knowledge</group>
      <groupName>知识性问题</groupName>
      <ability>L2_Term</ability>
      <abilityName>专业术语</abilityName>
      <candidateList>
        <item>监测点位</item>
      </candidateList>
      <explain/>
      <paraID>32122080</paraID>
      <start>0</start>
      <end>4</end>
      <status>unmodified</status>
      <modifiedWord/>
      <trackRevisions>false</trackRevisions>
    </reviewItem>
    <reviewItem>
      <errorID>29103ad2-b572-40ca-9b1d-b21ec8c782bc</errorID>
      <errorWord>检测点</errorWord>
      <group>L1_Word</group>
      <groupName>字词问题</groupName>
      <ability>L2_Typo</ability>
      <abilityName>字词错误</abilityName>
      <candidateList>
        <item>监测点</item>
      </candidateList>
      <explain/>
      <paraID>565F0DDF</paraID>
      <start>0</start>
      <end>3</end>
      <status>unmodified</status>
      <modifiedWord/>
      <trackRevisions>false</trackRevisions>
    </reviewItem>
    <reviewItem>
      <errorID>195a14ca-05cd-480e-a718-123401f22c1e</errorID>
      <errorWord>检测点位</errorWord>
      <group>L1_Knowledge</group>
      <groupName>知识性问题</groupName>
      <ability>L2_Term</ability>
      <abilityName>专业术语</abilityName>
      <candidateList>
        <item>监测点位</item>
      </candidateList>
      <explain/>
      <paraID>79E07DC5</paraID>
      <start>0</start>
      <end>4</end>
      <status>unmodified</status>
      <modifiedWord/>
      <trackRevisions>false</trackRevisions>
    </reviewItem>
    <reviewItem>
      <errorID>6bf31764-c8e8-4534-ae8c-e61546bc82d2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2C957B0C</paraID>
      <start>0</start>
      <end>2</end>
      <status>unmodified</status>
      <modifiedWord/>
      <trackRevisions>false</trackRevisions>
    </reviewItem>
    <reviewItem>
      <errorID>ed91b87b-e7d9-4a52-866c-80b67dfbfc97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1012A0FC</paraID>
      <start>0</start>
      <end>2</end>
      <status>unmodified</status>
      <modifiedWord/>
      <trackRevisions>false</trackRevisions>
    </reviewItem>
    <reviewItem>
      <errorID>521df8bf-150c-4960-8d23-09b0c8ca7ed0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157DD50B</paraID>
      <start>0</start>
      <end>2</end>
      <status>unmodified</status>
      <modifiedWord/>
      <trackRevisions>false</trackRevisions>
    </reviewItem>
    <reviewItem>
      <errorID>e6cc95c4-e902-476a-b425-e2ab2c85dd31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36097F14</paraID>
      <start>0</start>
      <end>2</end>
      <status>unmodified</status>
      <modifiedWord/>
      <trackRevisions>false</trackRevisions>
    </reviewItem>
    <reviewItem>
      <errorID>48af392b-05d7-4eb8-a680-076d4d4998bb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392CAE5</paraID>
      <start>0</start>
      <end>2</end>
      <status>unmodified</status>
      <modifiedWord/>
      <trackRevisions>false</trackRevisions>
    </reviewItem>
    <reviewItem>
      <errorID>47120ede-37e6-4464-8a13-54a5cb05dd5f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3501FB3D</paraID>
      <start>0</start>
      <end>3</end>
      <status>unmodified</status>
      <modifiedWord/>
      <trackRevisions>false</trackRevisions>
    </reviewItem>
    <reviewItem>
      <errorID>f8eb236a-7caf-451b-9ff6-6b4bfe82acdc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753FC5D5</paraID>
      <start>0</start>
      <end>2</end>
      <status>unmodified</status>
      <modifiedWord/>
      <trackRevisions>false</trackRevisions>
    </reviewItem>
    <reviewItem>
      <errorID>87e782dc-bb37-478c-9106-529e01a60a1e</errorID>
      <errorWord>81.8%~86.1%</errorWord>
      <group>L1_Knowledge</group>
      <groupName>知识性问题</groupName>
      <ability>L2_Knowledge</ability>
      <abilityName>其他知识</abilityName>
      <candidateList>
        <item>81.8%～86.1%</item>
      </candidateList>
      <explain>1. “81.8%~86.1%”中的单位“%”仅出现在后一个数字上，容易引起歧义；根据《现代汉语标点符号数字用法规范手册》，数字表示范围两边需要使用统一的格式。2. 根据标点国标 4.13 中的规则，数字、时间或地域连接符应使用（视觉上更长的）“—”或“～”。</explain>
      <paraID>6BDC3179</paraID>
      <start>54</start>
      <end>65</end>
      <status>unmodified</status>
      <modifiedWord/>
      <trackRevisions>false</trackRevisions>
    </reviewItem>
    <reviewItem>
      <errorID>66c5ae67-87e4-4a9c-bd57-5a086e10df05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1A9D9885</paraID>
      <start>0</start>
      <end>2</end>
      <status>unmodified</status>
      <modifiedWord/>
      <trackRevisions>false</trackRevisions>
    </reviewItem>
    <reviewItem>
      <errorID>96b116e4-ad3f-4d65-b7e1-a0e8302aade6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3E81067C</paraID>
      <start>0</start>
      <end>2</end>
      <status>unmodified</status>
      <modifiedWord/>
      <trackRevisions>false</trackRevisions>
    </reviewItem>
    <reviewItem>
      <errorID>e6d3fd1f-a582-482b-8d81-0bb15697f6bf</errorID>
      <errorWord>)</errorWord>
      <group>L1_Format</group>
      <groupName>格式问题</groupName>
      <ability>L2_HalfPunc</ability>
      <abilityName>全半角检查</abilityName>
      <candidateList>
        <item>）</item>
      </candidateList>
      <explain>文本全半角错误。</explain>
      <paraID>40C52148</paraID>
      <start>29</start>
      <end>30</end>
      <status>unmodified</status>
      <modifiedWord/>
      <trackRevisions>false</trackRevisions>
    </reviewItem>
    <reviewItem>
      <errorID>ab9ae2e1-181f-4df9-987e-4e0fcac9e7a9</errorID>
      <errorWord>)</errorWord>
      <group>L1_Format</group>
      <groupName>格式问题</groupName>
      <ability>L2_HalfPunc</ability>
      <abilityName>全半角检查</abilityName>
      <candidateList>
        <item>）</item>
      </candidateList>
      <explain>文本全半角错误。</explain>
      <paraID>40C52148</paraID>
      <start>42</start>
      <end>43</end>
      <status>unmodified</status>
      <modifiedWord/>
      <trackRevisions>false</trackRevisions>
    </reviewItem>
    <reviewItem>
      <errorID>71d994cf-5d71-4d6d-946b-adf191124eed</errorID>
      <errorWord>)</errorWord>
      <group>L1_Format</group>
      <groupName>格式问题</groupName>
      <ability>L2_HalfPunc</ability>
      <abilityName>全半角检查</abilityName>
      <candidateList>
        <item>）</item>
      </candidateList>
      <explain>文本全半角错误。</explain>
      <paraID>40C52148</paraID>
      <start>95</start>
      <end>96</end>
      <status>unmodified</status>
      <modifiedWord/>
      <trackRevisions>false</trackRevisions>
    </reviewItem>
    <reviewItem>
      <errorID>75cf6959-2039-4890-855c-926b19150520</errorID>
      <errorWord>)</errorWord>
      <group>L1_Format</group>
      <groupName>格式问题</groupName>
      <ability>L2_HalfPunc</ability>
      <abilityName>全半角检查</abilityName>
      <candidateList>
        <item>）</item>
      </candidateList>
      <explain>文本全半角错误。</explain>
      <paraID>6E93F712</paraID>
      <start>31</start>
      <end>32</end>
      <status>unmodified</status>
      <modifiedWord/>
      <trackRevisions>false</trackRevisions>
    </reviewItem>
    <reviewItem>
      <errorID>f8cb6615-c568-48b3-bb99-aef42cc7ca28</errorID>
      <errorWord>)</errorWord>
      <group>L1_Format</group>
      <groupName>格式问题</groupName>
      <ability>L2_HalfPunc</ability>
      <abilityName>全半角检查</abilityName>
      <candidateList>
        <item>）</item>
      </candidateList>
      <explain>文本全半角错误。</explain>
      <paraID>6E93F712</paraID>
      <start>44</start>
      <end>45</end>
      <status>unmodified</status>
      <modifiedWord/>
      <trackRevisions>false</trackRevisions>
    </reviewItem>
    <reviewItem>
      <errorID>e10bb2ba-7667-4ca6-8ca8-099750c21082</errorID>
      <errorWord>)</errorWord>
      <group>L1_Format</group>
      <groupName>格式问题</groupName>
      <ability>L2_HalfPunc</ability>
      <abilityName>全半角检查</abilityName>
      <candidateList>
        <item>）</item>
      </candidateList>
      <explain>文本全半角错误。</explain>
      <paraID>6E93F712</paraID>
      <start>116</start>
      <end>117</end>
      <status>unmodified</status>
      <modifiedWord/>
      <trackRevisions>false</trackRevisions>
    </reviewItem>
    <reviewItem>
      <errorID>270ddc2c-6072-4cb1-8528-7b24691b9c39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7BE77338</paraID>
      <start>0</start>
      <end>2</end>
      <status>unmodified</status>
      <modifiedWord/>
      <trackRevisions>false</trackRevisions>
    </reviewItem>
    <reviewItem>
      <errorID>5a800ca2-f476-4c2a-997e-c599f48c355b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17F06277</paraID>
      <start>0</start>
      <end>2</end>
      <status>unmodified</status>
      <modifiedWord/>
      <trackRevisions>false</trackRevisions>
    </reviewItem>
    <reviewItem>
      <errorID>0b4f77bd-c4a3-45e3-a8f1-784f9152afc0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2DA5B26E</paraID>
      <start>0</start>
      <end>2</end>
      <status>unmodified</status>
      <modifiedWord/>
      <trackRevisions>false</trackRevisions>
    </reviewItem>
    <reviewItem>
      <errorID>4b60ef0a-e2d6-4980-a129-12ef168d2ceb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21D41B10</paraID>
      <start>0</start>
      <end>2</end>
      <status>unmodified</status>
      <modifiedWord/>
      <trackRevisions>false</trackRevisions>
    </reviewItem>
    <reviewItem>
      <errorID>7c194f33-ef85-4c1d-8f74-620b701b2a57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7BF2B755</paraID>
      <start>0</start>
      <end>2</end>
      <status>unmodified</status>
      <modifiedWord/>
      <trackRevisions>false</trackRevisions>
    </reviewItem>
    <reviewItem>
      <errorID>fd841f30-0d42-41bd-8474-cbb41c7b46da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5160AC96</paraID>
      <start>0</start>
      <end>2</end>
      <status>unmodified</status>
      <modifiedWord/>
      <trackRevisions>false</trackRevisions>
    </reviewItem>
    <reviewItem>
      <errorID>ed38862d-ed11-407f-a1e8-6c105cedc1ef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21E4F4EA</paraID>
      <start>0</start>
      <end>2</end>
      <status>unmodified</status>
      <modifiedWord/>
      <trackRevisions>false</trackRevisions>
    </reviewItem>
    <reviewItem>
      <errorID>9dc8ff67-2511-48ce-aff9-b8cf2473d8fc</errorID>
      <errorWord>（</errorWord>
      <group>L1_Format</group>
      <groupName>格式问题</groupName>
      <ability>L2_HalfPunc</ability>
      <abilityName>全半角检查</abilityName>
      <candidateList>
        <item>(</item>
      </candidateList>
      <explain>文本全半角错误。</explain>
      <paraID>630C4408</paraID>
      <start>1</start>
      <end>2</end>
      <status>unmodified</status>
      <modifiedWord/>
      <trackRevisions>false</trackRevisions>
    </reviewItem>
    <reviewItem>
      <errorID>b8f85920-2e8c-401b-8108-b10f357ec38a</errorID>
      <errorWord>）</errorWord>
      <group>L1_Format</group>
      <groupName>格式问题</groupName>
      <ability>L2_HalfPunc</ability>
      <abilityName>全半角检查</abilityName>
      <candidateList>
        <item>)</item>
      </candidateList>
      <explain>文本全半角错误。</explain>
      <paraID>630C4408</paraID>
      <start>3</start>
      <end>4</end>
      <status>unmodified</status>
      <modifiedWord/>
      <trackRevisions>false</trackRevisions>
    </reviewItem>
    <reviewItem>
      <errorID>99134413-b9c6-4601-8a4d-45d303a35f94</errorID>
      <errorWord>（</errorWord>
      <group>L1_Format</group>
      <groupName>格式问题</groupName>
      <ability>L2_HalfPunc</ability>
      <abilityName>全半角检查</abilityName>
      <candidateList>
        <item>(</item>
      </candidateList>
      <explain>文本全半角错误。</explain>
      <paraID>1F66AFD8</paraID>
      <start>2</start>
      <end>3</end>
      <status>unmodified</status>
      <modifiedWord/>
      <trackRevisions>false</trackRevisions>
    </reviewItem>
    <reviewItem>
      <errorID>e8eac55d-576a-42e6-9ce8-549f7554ab51</errorID>
      <errorWord>）</errorWord>
      <group>L1_Format</group>
      <groupName>格式问题</groupName>
      <ability>L2_HalfPunc</ability>
      <abilityName>全半角检查</abilityName>
      <candidateList>
        <item>)</item>
      </candidateList>
      <explain>文本全半角错误。</explain>
      <paraID>1F66AFD8</paraID>
      <start>5</start>
      <end>6</end>
      <status>unmodified</status>
      <modifiedWord/>
      <trackRevisions>false</trackRevisions>
    </reviewItem>
    <reviewItem>
      <errorID>18bc52b1-cca2-42c6-bcf8-1d0ee59e1647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2A23309E</paraID>
      <start>0</start>
      <end>2</end>
      <status>unmodified</status>
      <modifiedWord/>
      <trackRevisions>false</trackRevisions>
    </reviewItem>
    <reviewItem>
      <errorID>4a8532ea-41ba-4f7b-a924-34db9fc88e01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35F7F5A6</paraID>
      <start>0</start>
      <end>2</end>
      <status>unmodified</status>
      <modifiedWord/>
      <trackRevisions>false</trackRevisions>
    </reviewItem>
    <reviewItem>
      <errorID>b0e5357d-5ba7-4052-be97-aa520078f45a</errorID>
      <errorWord>（</errorWord>
      <group>L1_Format</group>
      <groupName>格式问题</groupName>
      <ability>L2_HalfPunc</ability>
      <abilityName>全半角检查</abilityName>
      <candidateList>
        <item>(</item>
      </candidateList>
      <explain>文本全半角错误。</explain>
      <paraID>7DDC84EE</paraID>
      <start>4</start>
      <end>5</end>
      <status>unmodified</status>
      <modifiedWord/>
      <trackRevisions>false</trackRevisions>
    </reviewItem>
    <reviewItem>
      <errorID>f64c2380-2307-4520-8e8f-d881457c5193</errorID>
      <errorWord>）</errorWord>
      <group>L1_Format</group>
      <groupName>格式问题</groupName>
      <ability>L2_HalfPunc</ability>
      <abilityName>全半角检查</abilityName>
      <candidateList>
        <item>)</item>
      </candidateList>
      <explain>文本全半角错误。</explain>
      <paraID>7DDC84EE</paraID>
      <start>6</start>
      <end>7</end>
      <status>unmodified</status>
      <modifiedWord/>
      <trackRevisions>false</trackRevisions>
    </reviewItem>
    <reviewItem>
      <errorID>d97450be-c8ba-4f9b-82d5-bd48362c14d6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11CD6B06</paraID>
      <start>0</start>
      <end>2</end>
      <status>unmodified</status>
      <modifiedWord/>
      <trackRevisions>false</trackRevisions>
    </reviewItem>
    <reviewItem>
      <errorID>d4e3ba8b-280f-4cc1-a125-0af624e34d95</errorID>
      <errorWord>、</errorWord>
      <group>L1_Word</group>
      <groupName>字词问题</groupName>
      <ability>L2_Typo</ability>
      <abilityName>字词错误</abilityName>
      <candidateList>
        <item>、新</item>
      </candidateList>
      <explain/>
      <paraID>77EEAEB8</paraID>
      <start>116</start>
      <end>117</end>
      <status>unmodified</status>
      <modifiedWord/>
      <trackRevisions>false</trackRevisions>
    </reviewItem>
    <reviewItem>
      <errorID>edf0a0cb-0057-4b5f-8937-35b48bee5097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104B7AEA</paraID>
      <start>0</start>
      <end>2</end>
      <status>unmodified</status>
      <modifiedWord/>
      <trackRevisions>false</trackRevisions>
    </reviewItem>
    <reviewItem>
      <errorID>8daf5d1e-8400-4bbf-9ff8-3ae5f92eac2e</errorID>
      <errorWord>：</errorWord>
      <group>L1_Format</group>
      <groupName>格式问题</groupName>
      <ability>L2_HalfPunc</ability>
      <abilityName>全半角检查</abilityName>
      <candidateList>
        <item>:</item>
      </candidateList>
      <explain>文本全半角错误。</explain>
      <paraID> B0F595F</paraID>
      <start>37</start>
      <end>38</end>
      <status>unmodified</status>
      <modifiedWord/>
      <trackRevisions>false</trackRevisions>
    </reviewItem>
    <reviewItem>
      <errorID>c42cc33e-21a0-4350-b39a-900ed250f7bf</errorID>
      <errorWord>挥发份含量</errorWord>
      <group>L1_Knowledge</group>
      <groupName>知识性问题</groupName>
      <ability>L2_Term</ability>
      <abilityName>专业术语</abilityName>
      <candidateList>
        <item>挥发分含量</item>
      </candidateList>
      <explain/>
      <paraID> B0F595F</paraID>
      <start>93</start>
      <end>98</end>
      <status>unmodified</status>
      <modifiedWord/>
      <trackRevisions>false</trackRevisions>
    </reviewItem>
    <reviewItem>
      <errorID>6d824215-823d-47ce-b1ce-84a8475c0446</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73F8372D</paraID>
      <start>0</start>
      <end>2</end>
      <status>unmodified</status>
      <modifiedWord/>
      <trackRevisions>false</trackRevisions>
    </reviewItem>
    <reviewItem>
      <errorID>901446f4-0b98-4cb9-9947-c4006ac09daf</errorID>
      <errorWord>海拔高度</errorWord>
      <group>L1_Word</group>
      <groupName>字词问题</groupName>
      <ability>L2_Typo</ability>
      <abilityName>字词错误</abilityName>
      <candidateList>
        <item>海拔</item>
      </candidateList>
      <explain>〈名〉从平均海平面起算的高度。</explain>
      <paraID>2A64FFDF</paraID>
      <start>2</start>
      <end>6</end>
      <status>unmodified</status>
      <modifiedWord/>
      <trackRevisions>false</trackRevisions>
    </reviewItem>
    <reviewItem>
      <errorID>5deaaed4-b1f2-48b4-b1ca-7a27a8c8acb3</errorID>
      <errorWord>（</errorWord>
      <group>L1_Format</group>
      <groupName>格式问题</groupName>
      <ability>L2_HalfPunc</ability>
      <abilityName>全半角检查</abilityName>
      <candidateList>
        <item>(</item>
      </candidateList>
      <explain>文本全半角错误。</explain>
      <paraID>64829A76</paraID>
      <start>0</start>
      <end>1</end>
      <status>unmodified</status>
      <modifiedWord/>
      <trackRevisions>false</trackRevisions>
    </reviewItem>
    <reviewItem>
      <errorID>9e3a2781-6a60-4fa3-934d-e6168121fc7f</errorID>
      <errorWord>）</errorWord>
      <group>L1_Format</group>
      <groupName>格式问题</groupName>
      <ability>L2_HalfPunc</ability>
      <abilityName>全半角检查</abilityName>
      <candidateList>
        <item>)</item>
      </candidateList>
      <explain>文本全半角错误。</explain>
      <paraID>64829A76</paraID>
      <start>5</start>
      <end>6</end>
      <status>unmodified</status>
      <modifiedWord/>
      <trackRevisions>false</trackRevisions>
    </reviewItem>
    <reviewItem>
      <errorID>7f869dce-67e3-4327-965a-0de51416ed2c</errorID>
      <errorWord>（</errorWord>
      <group>L1_Format</group>
      <groupName>格式问题</groupName>
      <ability>L2_HalfPunc</ability>
      <abilityName>全半角检查</abilityName>
      <candidateList>
        <item>(</item>
      </candidateList>
      <explain>文本全半角错误。</explain>
      <paraID>4884BDB4</paraID>
      <start>0</start>
      <end>1</end>
      <status>unmodified</status>
      <modifiedWord/>
      <trackRevisions>false</trackRevisions>
    </reviewItem>
    <reviewItem>
      <errorID>4fa6976d-c53c-462a-a2e5-af6115145da8</errorID>
      <errorWord>）</errorWord>
      <group>L1_Format</group>
      <groupName>格式问题</groupName>
      <ability>L2_HalfPunc</ability>
      <abilityName>全半角检查</abilityName>
      <candidateList>
        <item>)</item>
      </candidateList>
      <explain>文本全半角错误。</explain>
      <paraID>4884BDB4</paraID>
      <start>6</start>
      <end>7</end>
      <status>unmodified</status>
      <modifiedWord/>
      <trackRevisions>false</trackRevisions>
    </reviewItem>
    <reviewItem>
      <errorID>67bf65a3-83b3-4a5f-8673-76a3a87c55f0</errorID>
      <errorWord>（</errorWord>
      <group>L1_Format</group>
      <groupName>格式问题</groupName>
      <ability>L2_HalfPunc</ability>
      <abilityName>全半角检查</abilityName>
      <candidateList>
        <item>(</item>
      </candidateList>
      <explain>文本全半角错误。</explain>
      <paraID>7BB44DAA</paraID>
      <start>0</start>
      <end>1</end>
      <status>unmodified</status>
      <modifiedWord/>
      <trackRevisions>false</trackRevisions>
    </reviewItem>
    <reviewItem>
      <errorID>4419a79f-2218-4678-bda5-3ee15aba14be</errorID>
      <errorWord>）</errorWord>
      <group>L1_Format</group>
      <groupName>格式问题</groupName>
      <ability>L2_HalfPunc</ability>
      <abilityName>全半角检查</abilityName>
      <candidateList>
        <item>)</item>
      </candidateList>
      <explain>文本全半角错误。</explain>
      <paraID>7BB44DAA</paraID>
      <start>6</start>
      <end>7</end>
      <status>unmodified</status>
      <modifiedWord/>
      <trackRevisions>false</trackRevisions>
    </reviewItem>
    <reviewItem>
      <errorID>8ec31e78-0a22-4faa-87e0-ea670a9db697</errorID>
      <errorWord>，</errorWord>
      <group>L1_Word</group>
      <groupName>字词问题</groupName>
      <ability>L2_Typo</ability>
      <abilityName>字词错误</abilityName>
      <candidateList>
        <item>，在</item>
      </candidateList>
      <explain/>
      <paraID>68AE2782</paraID>
      <start>11</start>
      <end>12</end>
      <status>unmodified</status>
      <modifiedWord/>
      <trackRevisions>false</trackRevisions>
    </reviewItem>
    <reviewItem>
      <errorID>bbd19578-98fa-4d01-beeb-58920a201231</errorID>
      <errorWord>~</errorWord>
      <group>L1_Format</group>
      <groupName>格式问题</groupName>
      <ability>L2_HalfPunc</ability>
      <abilityName>全半角检查</abilityName>
      <candidateList>
        <item>～</item>
      </candidateList>
      <explain>文本全半角错误。</explain>
      <paraID>4DD19F0A</paraID>
      <start>18</start>
      <end>19</end>
      <status>unmodified</status>
      <modifiedWord/>
      <trackRevisions>false</trackRevisions>
    </reviewItem>
    <reviewItem>
      <errorID>ba6f2532-8a2e-4110-97db-e74beb3e273e</errorID>
      <errorWord>》</errorWord>
      <group>L1_Word</group>
      <groupName>字词问题</groupName>
      <ability>L2_Typo</ability>
      <abilityName>字词错误</abilityName>
      <candidateList>
        <item>》等</item>
      </candidateList>
      <explain/>
      <paraID> 6EB7507</paraID>
      <start>64</start>
      <end>65</end>
      <status>unmodified</status>
      <modifiedWord/>
      <trackRevisions>false</trackRevisions>
    </reviewItem>
    <reviewItem>
      <errorID>821a9173-eb60-48fc-8589-424c0344fb03</errorID>
      <errorWord>连接处等</errorWord>
      <group>L1_Word</group>
      <groupName>字词问题</groupName>
      <ability>L2_Typo</ability>
      <abilityName>字词错误</abilityName>
      <candidateList>
        <item>连接处</item>
      </candidateList>
      <explain/>
      <paraID>33532549</paraID>
      <start>57</start>
      <end>61</end>
      <status>unmodified</status>
      <modifiedWord/>
      <trackRevisions>false</trackRevisions>
    </reviewItem>
    <reviewItem>
      <errorID>c2015ef6-7de1-449d-8aee-498a5c604f19</errorID>
      <errorWord>体体</errorWord>
      <group>L1_Word</group>
      <groupName>字词问题</groupName>
      <ability>L2_Typo</ability>
      <abilityName>字词错误</abilityName>
      <candidateList>
        <item>体</item>
      </candidateList>
      <explain/>
      <paraID>33532549</paraID>
      <start>172</start>
      <end>174</end>
      <status>unmodified</status>
      <modifiedWord/>
      <trackRevisions>false</trackRevisions>
    </reviewItem>
    <reviewItem>
      <errorID>86295196-4ee7-4f04-8097-6c49c50da5be</errorID>
      <errorWord>~</errorWord>
      <group>L1_Format</group>
      <groupName>格式问题</groupName>
      <ability>L2_HalfPunc</ability>
      <abilityName>全半角检查</abilityName>
      <candidateList>
        <item>～</item>
      </candidateList>
      <explain>文本全半角错误。</explain>
      <paraID>3CFF686F</paraID>
      <start>173</start>
      <end>174</end>
      <status>unmodified</status>
      <modifiedWord/>
      <trackRevisions>false</trackRevisions>
    </reviewItem>
    <reviewItem>
      <errorID>8d0f85e7-ab7c-47e0-acd1-3ccef586f752</errorID>
      <errorWord>、</errorWord>
      <group>L1_Punc</group>
      <groupName>标点问题</groupName>
      <ability>L2_Punc</ability>
      <abilityName>标点符号检查</abilityName>
      <candidateList>
        <item>.</item>
      </candidateList>
      <explain/>
      <paraID>1B637AC5</paraID>
      <start>1</start>
      <end>2</end>
      <status>unmodified</status>
      <modifiedWord/>
      <trackRevisions>false</trackRevisions>
    </reviewItem>
    <reviewItem>
      <errorID>1a0848af-38fd-467f-8a9e-980439c3ac36</errorID>
      <errorWord>（</errorWord>
      <group>L1_Format</group>
      <groupName>格式问题</groupName>
      <ability>L2_HalfPunc</ability>
      <abilityName>全半角检查</abilityName>
      <candidateList>
        <item>(</item>
      </candidateList>
      <explain>文本全半角错误。</explain>
      <paraID>1E459789</paraID>
      <start>0</start>
      <end>1</end>
      <status>unmodified</status>
      <modifiedWord/>
      <trackRevisions>false</trackRevisions>
    </reviewItem>
    <reviewItem>
      <errorID>5a26ff37-c27f-446d-9006-6c4b9fbbd17f</errorID>
      <errorWord>）</errorWord>
      <group>L1_Format</group>
      <groupName>格式问题</groupName>
      <ability>L2_HalfPunc</ability>
      <abilityName>全半角检查</abilityName>
      <candidateList>
        <item>)</item>
      </candidateList>
      <explain>文本全半角错误。</explain>
      <paraID>1E459789</paraID>
      <start>7</start>
      <end>8</end>
      <status>unmodified</status>
      <modifiedWord/>
      <trackRevisions>false</trackRevisions>
    </reviewItem>
    <reviewItem>
      <errorID>811a0e35-d1ee-486e-9524-74ac1b43c825</errorID>
      <errorWord>（</errorWord>
      <group>L1_Format</group>
      <groupName>格式问题</groupName>
      <ability>L2_HalfPunc</ability>
      <abilityName>全半角检查</abilityName>
      <candidateList>
        <item>(</item>
      </candidateList>
      <explain>文本全半角错误。</explain>
      <paraID>6A91187B</paraID>
      <start>0</start>
      <end>1</end>
      <status>unmodified</status>
      <modifiedWord/>
      <trackRevisions>false</trackRevisions>
    </reviewItem>
    <reviewItem>
      <errorID>ea9e6e6c-10f3-49a3-a955-ac88002c64ea</errorID>
      <errorWord>）</errorWord>
      <group>L1_Format</group>
      <groupName>格式问题</groupName>
      <ability>L2_HalfPunc</ability>
      <abilityName>全半角检查</abilityName>
      <candidateList>
        <item>)</item>
      </candidateList>
      <explain>文本全半角错误。</explain>
      <paraID>6A91187B</paraID>
      <start>5</start>
      <end>6</end>
      <status>unmodified</status>
      <modifiedWord/>
      <trackRevisions>false</trackRevisions>
    </reviewItem>
    <reviewItem>
      <errorID>9fcd4bd4-6630-4621-8bc9-7fd8eb7c5b8f</errorID>
      <errorWord>（</errorWord>
      <group>L1_Format</group>
      <groupName>格式问题</groupName>
      <ability>L2_HalfPunc</ability>
      <abilityName>全半角检查</abilityName>
      <candidateList>
        <item>(</item>
      </candidateList>
      <explain>文本全半角错误。</explain>
      <paraID>2F93BF6B</paraID>
      <start>0</start>
      <end>1</end>
      <status>unmodified</status>
      <modifiedWord/>
      <trackRevisions>false</trackRevisions>
    </reviewItem>
    <reviewItem>
      <errorID>a4381d08-1a89-4bd8-b9aa-595f65a007dc</errorID>
      <errorWord>）</errorWord>
      <group>L1_Format</group>
      <groupName>格式问题</groupName>
      <ability>L2_HalfPunc</ability>
      <abilityName>全半角检查</abilityName>
      <candidateList>
        <item>)</item>
      </candidateList>
      <explain>文本全半角错误。</explain>
      <paraID>2F93BF6B</paraID>
      <start>2</start>
      <end>3</end>
      <status>unmodified</status>
      <modifiedWord/>
      <trackRevisions>false</trackRevisions>
    </reviewItem>
    <reviewItem>
      <errorID>4c6e3b78-b04d-4da1-bf8c-2f518c674092</errorID>
      <errorWord>（</errorWord>
      <group>L1_Format</group>
      <groupName>格式问题</groupName>
      <ability>L2_HalfPunc</ability>
      <abilityName>全半角检查</abilityName>
      <candidateList>
        <item>(</item>
      </candidateList>
      <explain>文本全半角错误。</explain>
      <paraID>32916997</paraID>
      <start>0</start>
      <end>1</end>
      <status>unmodified</status>
      <modifiedWord/>
      <trackRevisions>false</trackRevisions>
    </reviewItem>
    <reviewItem>
      <errorID>f4408dd5-62e0-4c7a-8ed0-80948c4c84ca</errorID>
      <errorWord>）</errorWord>
      <group>L1_Format</group>
      <groupName>格式问题</groupName>
      <ability>L2_HalfPunc</ability>
      <abilityName>全半角检查</abilityName>
      <candidateList>
        <item>)</item>
      </candidateList>
      <explain>文本全半角错误。</explain>
      <paraID>32916997</paraID>
      <start>2</start>
      <end>3</end>
      <status>unmodified</status>
      <modifiedWord/>
      <trackRevisions>false</trackRevisions>
    </reviewItem>
    <reviewItem>
      <errorID>1e6464c0-0d38-4951-837e-460313607904</errorID>
      <errorWord>（</errorWord>
      <group>L1_Format</group>
      <groupName>格式问题</groupName>
      <ability>L2_HalfPunc</ability>
      <abilityName>全半角检查</abilityName>
      <candidateList>
        <item>(</item>
      </candidateList>
      <explain>文本全半角错误。</explain>
      <paraID>340C5ACF</paraID>
      <start>0</start>
      <end>1</end>
      <status>unmodified</status>
      <modifiedWord/>
      <trackRevisions>false</trackRevisions>
    </reviewItem>
    <reviewItem>
      <errorID>8f29e11f-7efb-4c3e-ba54-0317134c8075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6ACDA20A</paraID>
      <start>0</start>
      <end>2</end>
      <status>unmodified</status>
      <modifiedWord/>
      <trackRevisions>false</trackRevisions>
    </reviewItem>
    <reviewItem>
      <errorID>20af9095-4f12-41e9-8d07-32fdf3141dc3</errorID>
      <errorWord>~</errorWord>
      <group>L1_Format</group>
      <groupName>格式问题</groupName>
      <ability>L2_HalfPunc</ability>
      <abilityName>全半角检查</abilityName>
      <candidateList>
        <item>～</item>
      </candidateList>
      <explain>文本全半角错误。</explain>
      <paraID>153EF5BB</paraID>
      <start>74</start>
      <end>75</end>
      <status>unmodified</status>
      <modifiedWord/>
      <trackRevisions>false</trackRevisions>
    </reviewItem>
    <reviewItem>
      <errorID>364e0ab4-599a-44e5-b71c-8f85e3954702</errorID>
      <errorWord>水洗</errorWord>
      <group>L1_Word</group>
      <groupName>字词问题</groupName>
      <ability>L2_Typo</ability>
      <abilityName>字词错误</abilityName>
      <candidateList>
        <item>水系</item>
      </candidateList>
      <explain>存在发音相同字词的误用。</explain>
      <paraID>3052989C</paraID>
      <start>6</start>
      <end>8</end>
      <status>unmodified</status>
      <modifiedWord/>
      <trackRevisions>false</trackRevisions>
    </reviewItem>
    <reviewItem>
      <errorID>048930b6-6acf-447e-8efe-29ddbd1a6027</errorID>
      <errorWord>水洗</errorWord>
      <group>L1_Word</group>
      <groupName>字词问题</groupName>
      <ability>L2_Typo</ability>
      <abilityName>字词错误</abilityName>
      <candidateList>
        <item>水系</item>
      </candidateList>
      <explain>存在发音相同字词的误用。</explain>
      <paraID>6D1D0DA0</paraID>
      <start>6</start>
      <end>8</end>
      <status>unmodified</status>
      <modifiedWord/>
      <trackRevisions>false</trackRevisions>
    </reviewItem>
    <reviewItem>
      <errorID>da9380cb-681c-42db-9af2-71f9467ca413</errorID>
      <errorWord>水洗</errorWord>
      <group>L1_Word</group>
      <groupName>字词问题</groupName>
      <ability>L2_Typo</ability>
      <abilityName>字词错误</abilityName>
      <candidateList>
        <item>水系</item>
      </candidateList>
      <explain>存在发音相同字词的误用。</explain>
      <paraID>3048666E</paraID>
      <start>6</start>
      <end>8</end>
      <status>unmodified</status>
      <modifiedWord/>
      <trackRevisions>false</trackRevisions>
    </reviewItem>
    <reviewItem>
      <errorID>a1896f0c-77a7-4bc2-b81d-04e6e6a73523</errorID>
      <errorWord>水洗</errorWord>
      <group>L1_Word</group>
      <groupName>字词问题</groupName>
      <ability>L2_Typo</ability>
      <abilityName>字词错误</abilityName>
      <candidateList>
        <item>水系</item>
      </candidateList>
      <explain>存在发音相同字词的误用。</explain>
      <paraID>1558372E</paraID>
      <start>6</start>
      <end>8</end>
      <status>unmodified</status>
      <modifiedWord/>
      <trackRevisions>false</trackRevisions>
    </reviewItem>
    <reviewItem>
      <errorID>2aafd058-5059-45c6-88b7-664157e29a53</errorID>
      <errorWord>：</errorWord>
      <group>L1_Format</group>
      <groupName>格式问题</groupName>
      <ability>L2_HalfPunc</ability>
      <abilityName>全半角检查</abilityName>
      <candidateList>
        <item>:</item>
      </candidateList>
      <explain>文本全半角错误。</explain>
      <paraID>402014D7</paraID>
      <start>8</start>
      <end>9</end>
      <status>unmodified</status>
      <modifiedWord/>
      <trackRevisions>false</trackRevisions>
    </reviewItem>
    <reviewItem>
      <errorID>4f367569-87b7-4a70-9321-d5e8110bd712</errorID>
      <errorWord>水洗</errorWord>
      <group>L1_Word</group>
      <groupName>字词问题</groupName>
      <ability>L2_Typo</ability>
      <abilityName>字词错误</abilityName>
      <candidateList>
        <item>水系</item>
      </candidateList>
      <explain>存在发音相同字词的误用。</explain>
      <paraID>2FF22100</paraID>
      <start>6</start>
      <end>8</end>
      <status>unmodified</status>
      <modifiedWord/>
      <trackRevisions>false</trackRevisions>
    </reviewItem>
    <reviewItem>
      <errorID>67a13a3a-cf5b-4a39-b4c6-15c523be9239</errorID>
      <errorWord>水洗</errorWord>
      <group>L1_Word</group>
      <groupName>字词问题</groupName>
      <ability>L2_Typo</ability>
      <abilityName>字词错误</abilityName>
      <candidateList>
        <item>水系</item>
      </candidateList>
      <explain>存在发音相同字词的误用。</explain>
      <paraID>2F5B751F</paraID>
      <start>6</start>
      <end>8</end>
      <status>unmodified</status>
      <modifiedWord/>
      <trackRevisions>false</trackRevisions>
    </reviewItem>
    <reviewItem>
      <errorID>cf8d52dd-7928-4521-9f70-a4c8761b7d2e</errorID>
      <errorWord>水洗</errorWord>
      <group>L1_Word</group>
      <groupName>字词问题</groupName>
      <ability>L2_Typo</ability>
      <abilityName>字词错误</abilityName>
      <candidateList>
        <item>水系</item>
      </candidateList>
      <explain>存在发音相同字词的误用。</explain>
      <paraID>7752CEF1</paraID>
      <start>6</start>
      <end>8</end>
      <status>unmodified</status>
      <modifiedWord/>
      <trackRevisions>false</trackRevisions>
    </reviewItem>
    <reviewItem>
      <errorID>3ab6d2e3-3dfd-4fac-a82c-bab0a4864773</errorID>
      <errorWord>水洗</errorWord>
      <group>L1_Word</group>
      <groupName>字词问题</groupName>
      <ability>L2_Typo</ability>
      <abilityName>字词错误</abilityName>
      <candidateList>
        <item>水系</item>
      </candidateList>
      <explain>存在发音相同字词的误用。</explain>
      <paraID> A6D9524</paraID>
      <start>6</start>
      <end>8</end>
      <status>unmodified</status>
      <modifiedWord/>
      <trackRevisions>false</trackRevisions>
    </reviewItem>
    <reviewItem>
      <errorID>1c05e340-435a-4b2a-8577-516942649d94</errorID>
      <errorWord>水洗</errorWord>
      <group>L1_Word</group>
      <groupName>字词问题</groupName>
      <ability>L2_Typo</ability>
      <abilityName>字词错误</abilityName>
      <candidateList>
        <item>水系</item>
      </candidateList>
      <explain>存在发音相同字词的误用。</explain>
      <paraID>7EB6E9B2</paraID>
      <start>6</start>
      <end>8</end>
      <status>unmodified</status>
      <modifiedWord/>
      <trackRevisions>false</trackRevisions>
    </reviewItem>
    <reviewItem>
      <errorID>353a34fb-68f4-484f-98d0-c3a3e475c117</errorID>
      <errorWord>水洗</errorWord>
      <group>L1_Word</group>
      <groupName>字词问题</groupName>
      <ability>L2_Typo</ability>
      <abilityName>字词错误</abilityName>
      <candidateList>
        <item>水系</item>
      </candidateList>
      <explain>存在发音相同字词的误用。</explain>
      <paraID>31AE5BB0</paraID>
      <start>6</start>
      <end>8</end>
      <status>unmodified</status>
      <modifiedWord/>
      <trackRevisions>false</trackRevisions>
    </reviewItem>
    <reviewItem>
      <errorID>f0e36fd9-aabe-4ad8-9dc6-4e89cb15e061</errorID>
      <errorWord>：</errorWord>
      <group>L1_Format</group>
      <groupName>格式问题</groupName>
      <ability>L2_HalfPunc</ability>
      <abilityName>全半角检查</abilityName>
      <candidateList>
        <item>:</item>
      </candidateList>
      <explain>文本全半角错误。</explain>
      <paraID> C03F3BE</paraID>
      <start>8</start>
      <end>9</end>
      <status>unmodified</status>
      <modifiedWord/>
      <trackRevisions>false</trackRevisions>
    </reviewItem>
    <reviewItem>
      <errorID>88187f3d-4cde-4066-8325-fe8782952307</errorID>
      <errorWord>水洗</errorWord>
      <group>L1_Word</group>
      <groupName>字词问题</groupName>
      <ability>L2_Typo</ability>
      <abilityName>字词错误</abilityName>
      <candidateList>
        <item>水系</item>
      </candidateList>
      <explain>存在发音相同字词的误用。</explain>
      <paraID>3345E1D1</paraID>
      <start>6</start>
      <end>8</end>
      <status>unmodified</status>
      <modifiedWord/>
      <trackRevisions>false</trackRevisions>
    </reviewItem>
    <reviewItem>
      <errorID>80b9a8e8-eddd-4f9d-bddb-514e90a6b16d</errorID>
      <errorWord>水洗</errorWord>
      <group>L1_Word</group>
      <groupName>字词问题</groupName>
      <ability>L2_Typo</ability>
      <abilityName>字词错误</abilityName>
      <candidateList>
        <item>水系</item>
      </candidateList>
      <explain>存在发音相同字词的误用。</explain>
      <paraID> 1EC2B43</paraID>
      <start>6</start>
      <end>8</end>
      <status>unmodified</status>
      <modifiedWord/>
      <trackRevisions>false</trackRevisions>
    </reviewItem>
    <reviewItem>
      <errorID>79a871ca-e83f-4825-871c-9ae8dc05ee1b</errorID>
      <errorWord>（</errorWord>
      <group>L1_Format</group>
      <groupName>格式问题</groupName>
      <ability>L2_HalfPunc</ability>
      <abilityName>全半角检查</abilityName>
      <candidateList>
        <item>(</item>
      </candidateList>
      <explain>文本全半角错误。</explain>
      <paraID>34125342</paraID>
      <start>0</start>
      <end>1</end>
      <status>unmodified</status>
      <modifiedWord/>
      <trackRevisions>false</trackRevisions>
    </reviewItem>
    <reviewItem>
      <errorID>77b78e4d-3c95-4c6a-90eb-ed36722e0f2a</errorID>
      <errorWord>）</errorWord>
      <group>L1_Format</group>
      <groupName>格式问题</groupName>
      <ability>L2_HalfPunc</ability>
      <abilityName>全半角检查</abilityName>
      <candidateList>
        <item>)</item>
      </candidateList>
      <explain>文本全半角错误。</explain>
      <paraID>34125342</paraID>
      <start>6</start>
      <end>7</end>
      <status>unmodified</status>
      <modifiedWord/>
      <trackRevisions>false</trackRevisions>
    </reviewItem>
    <reviewItem>
      <errorID>1a7489cf-e008-4e62-a98b-01a41673463a</errorID>
      <errorWord>（</errorWord>
      <group>L1_Format</group>
      <groupName>格式问题</groupName>
      <ability>L2_HalfPunc</ability>
      <abilityName>全半角检查</abilityName>
      <candidateList>
        <item>(</item>
      </candidateList>
      <explain>文本全半角错误。</explain>
      <paraID>34125342</paraID>
      <start>8</start>
      <end>9</end>
      <status>unmodified</status>
      <modifiedWord/>
      <trackRevisions>false</trackRevisions>
    </reviewItem>
    <reviewItem>
      <errorID>f9855953-a2b9-4a71-a9e0-b6362d2485bf</errorID>
      <errorWord>）</errorWord>
      <group>L1_Format</group>
      <groupName>格式问题</groupName>
      <ability>L2_HalfPunc</ability>
      <abilityName>全半角检查</abilityName>
      <candidateList>
        <item>)</item>
      </candidateList>
      <explain>文本全半角错误。</explain>
      <paraID>34125342</paraID>
      <start>14</start>
      <end>15</end>
      <status>unmodified</status>
      <modifiedWord/>
      <trackRevisions>false</trackRevisions>
    </reviewItem>
    <reviewItem>
      <errorID>15c3a3b8-8a6b-45c6-8747-155ff86e00f0</errorID>
      <errorWord>（</errorWord>
      <group>L1_Format</group>
      <groupName>格式问题</groupName>
      <ability>L2_HalfPunc</ability>
      <abilityName>全半角检查</abilityName>
      <candidateList>
        <item>(</item>
      </candidateList>
      <explain>文本全半角错误。</explain>
      <paraID>34125342</paraID>
      <start>16</start>
      <end>17</end>
      <status>unmodified</status>
      <modifiedWord/>
      <trackRevisions>false</trackRevisions>
    </reviewItem>
    <reviewItem>
      <errorID>2932153d-4d1a-4727-9c8b-16eb918bccc2</errorID>
      <errorWord>）</errorWord>
      <group>L1_Format</group>
      <groupName>格式问题</groupName>
      <ability>L2_HalfPunc</ability>
      <abilityName>全半角检查</abilityName>
      <candidateList>
        <item>)</item>
      </candidateList>
      <explain>文本全半角错误。</explain>
      <paraID>34125342</paraID>
      <start>22</start>
      <end>23</end>
      <status>unmodified</status>
      <modifiedWord/>
      <trackRevisions>false</trackRevisions>
    </reviewItem>
    <reviewItem>
      <errorID>618d8a93-f979-4974-a76f-6fc851f9b2f4</errorID>
      <errorWord>（</errorWord>
      <group>L1_Format</group>
      <groupName>格式问题</groupName>
      <ability>L2_HalfPunc</ability>
      <abilityName>全半角检查</abilityName>
      <candidateList>
        <item>(</item>
      </candidateList>
      <explain>文本全半角错误。</explain>
      <paraID>3694FE8A</paraID>
      <start>0</start>
      <end>1</end>
      <status>unmodified</status>
      <modifiedWord/>
      <trackRevisions>false</trackRevisions>
    </reviewItem>
    <reviewItem>
      <errorID>d2378a43-3da3-422c-8eb7-562c1134486e</errorID>
      <errorWord>）</errorWord>
      <group>L1_Format</group>
      <groupName>格式问题</groupName>
      <ability>L2_HalfPunc</ability>
      <abilityName>全半角检查</abilityName>
      <candidateList>
        <item>)</item>
      </candidateList>
      <explain>文本全半角错误。</explain>
      <paraID>3694FE8A</paraID>
      <start>5</start>
      <end>6</end>
      <status>unmodified</status>
      <modifiedWord/>
      <trackRevisions>false</trackRevisions>
    </reviewItem>
    <reviewItem>
      <errorID>695a2b26-5ffa-466d-9954-b50034350d61</errorID>
      <errorWord>（</errorWord>
      <group>L1_Format</group>
      <groupName>格式问题</groupName>
      <ability>L2_HalfPunc</ability>
      <abilityName>全半角检查</abilityName>
      <candidateList>
        <item>(</item>
      </candidateList>
      <explain>文本全半角错误。</explain>
      <paraID> 10B594A</paraID>
      <start>3</start>
      <end>4</end>
      <status>unmodified</status>
      <modifiedWord/>
      <trackRevisions>false</trackRevisions>
    </reviewItem>
    <reviewItem>
      <errorID>62e3f2d8-8e17-4d3e-8db3-bdf25e269a38</errorID>
      <errorWord>）</errorWord>
      <group>L1_Format</group>
      <groupName>格式问题</groupName>
      <ability>L2_HalfPunc</ability>
      <abilityName>全半角检查</abilityName>
      <candidateList>
        <item>)</item>
      </candidateList>
      <explain>文本全半角错误。</explain>
      <paraID> 10B594A</paraID>
      <start>5</start>
      <end>6</end>
      <status>unmodified</status>
      <modifiedWord/>
      <trackRevisions>false</trackRevisions>
    </reviewItem>
    <reviewItem>
      <errorID>1f7702f4-abfa-4613-b1f7-8b9047877bcd</errorID>
      <errorWord>（</errorWord>
      <group>L1_Format</group>
      <groupName>格式问题</groupName>
      <ability>L2_HalfPunc</ability>
      <abilityName>全半角检查</abilityName>
      <candidateList>
        <item>(</item>
      </candidateList>
      <explain>文本全半角错误。</explain>
      <paraID>1A699BEE</paraID>
      <start>3</start>
      <end>4</end>
      <status>unmodified</status>
      <modifiedWord/>
      <trackRevisions>false</trackRevisions>
    </reviewItem>
    <reviewItem>
      <errorID>53023edf-faa7-491a-a92e-5fcf3eb0fd71</errorID>
      <errorWord>）</errorWord>
      <group>L1_Format</group>
      <groupName>格式问题</groupName>
      <ability>L2_HalfPunc</ability>
      <abilityName>全半角检查</abilityName>
      <candidateList>
        <item>)</item>
      </candidateList>
      <explain>文本全半角错误。</explain>
      <paraID>1A699BEE</paraID>
      <start>5</start>
      <end>6</end>
      <status>unmodified</status>
      <modifiedWord/>
      <trackRevisions>false</trackRevisions>
    </reviewItem>
    <reviewItem>
      <errorID>b536df56-0a66-4bea-a30c-dd6df00a8353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4FD3F615</paraID>
      <start>0</start>
      <end>2</end>
      <status>unmodified</status>
      <modifiedWord/>
      <trackRevisions>false</trackRevisions>
    </reviewItem>
    <reviewItem>
      <errorID>c09dfaa4-9608-4c67-939f-baa4dee89a45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2CB87610</paraID>
      <start>0</start>
      <end>2</end>
      <status>unmodified</status>
      <modifiedWord/>
      <trackRevisions>false</trackRevisions>
    </reviewItem>
    <reviewItem>
      <errorID>b74e17a2-3ae9-4200-abe2-777cd596138a</errorID>
      <errorWord>（2018）77号</errorWord>
      <group>L1_Knowledge</group>
      <groupName>知识性问题</groupName>
      <ability>L2_Knowledge</ability>
      <abilityName>其他知识</abilityName>
      <candidateList>
        <item>〔2018〕77号</item>
      </candidateList>
      <explain>发文字号格式错误。</explain>
      <paraID>3FC9F150</paraID>
      <start>143</start>
      <end>152</end>
      <status>unmodified</status>
      <modifiedWord/>
      <trackRevisions>false</trackRevisions>
    </reviewItem>
    <reviewItem>
      <errorID>10580ce2-9454-458f-83a5-124b0eda2d8c</errorID>
      <errorWord>达</errorWord>
      <group>L1_Word</group>
      <groupName>字词问题</groupName>
      <ability>L2_Typo</ability>
      <abilityName>字词错误</abilityName>
      <candidateList>
        <item>达到</item>
      </candidateList>
      <explain>〈动〉到（多指抽象事物或程度）：达得到｜达不到｜目的没有～｜～国际水平。</explain>
      <paraID> 614A38C</paraID>
      <start>54</start>
      <end>55</end>
      <status>unmodified</status>
      <modifiedWord/>
      <trackRevisions>false</trackRevisions>
    </reviewItem>
    <reviewItem>
      <errorID>7eb9ef0a-4f0a-4173-b741-df426c21cac3</errorID>
      <errorWord>（2018）77号</errorWord>
      <group>L1_Knowledge</group>
      <groupName>知识性问题</groupName>
      <ability>L2_Knowledge</ability>
      <abilityName>其他知识</abilityName>
      <candidateList>
        <item>〔2018〕77号</item>
      </candidateList>
      <explain>发文字号格式错误。</explain>
      <paraID> 614A38C</paraID>
      <start>88</start>
      <end>97</end>
      <status>unmodified</status>
      <modifiedWord/>
      <trackRevisions>false</trackRevisions>
    </reviewItem>
    <reviewItem>
      <errorID>37b76634-c442-4cd2-878b-f865d2c9d496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2A07D467</paraID>
      <start>0</start>
      <end>2</end>
      <status>unmodified</status>
      <modifiedWord/>
      <trackRevisions>false</trackRevisions>
    </reviewItem>
    <reviewItem>
      <errorID>58bf4f02-8d36-4264-b458-7488d7d26e6a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4D73D83E</paraID>
      <start>0</start>
      <end>2</end>
      <status>unmodified</status>
      <modifiedWord/>
      <trackRevisions>false</trackRevisions>
    </reviewItem>
    <reviewItem>
      <errorID>8ae904ff-0017-4d67-9377-dc9cda91e896</errorID>
      <errorWord>，</errorWord>
      <group>L1_Format</group>
      <groupName>格式问题</groupName>
      <ability>L2_HalfPunc</ability>
      <abilityName>全半角检查</abilityName>
      <candidateList>
        <item>, </item>
      </candidateList>
      <explain>文本全半角错误。</explain>
      <paraID>64F2344E</paraID>
      <start>1</start>
      <end>2</end>
      <status>unmodified</status>
      <modifiedWord/>
      <trackRevisions>false</trackRevisions>
    </reviewItem>
    <reviewItem>
      <errorID>db389d38-c625-4f80-a793-b499b6e0c455</errorID>
      <errorWord>，</errorWord>
      <group>L1_Format</group>
      <groupName>格式问题</groupName>
      <ability>L2_HalfPunc</ability>
      <abilityName>全半角检查</abilityName>
      <candidateList>
        <item>, </item>
      </candidateList>
      <explain>文本全半角错误。</explain>
      <paraID>1E063545</paraID>
      <start>1</start>
      <end>2</end>
      <status>unmodified</status>
      <modifiedWord/>
      <trackRevisions>false</trackRevisions>
    </reviewItem>
    <reviewItem>
      <errorID>4c08ac47-640e-4d58-afb1-06f75d0c2f8f</errorID>
      <errorWord>，</errorWord>
      <group>L1_Format</group>
      <groupName>格式问题</groupName>
      <ability>L2_HalfPunc</ability>
      <abilityName>全半角检查</abilityName>
      <candidateList>
        <item>, </item>
      </candidateList>
      <explain>文本全半角错误。</explain>
      <paraID>347A2A20</paraID>
      <start>1</start>
      <end>2</end>
      <status>unmodified</status>
      <modifiedWord/>
      <trackRevisions>false</trackRevisions>
    </reviewItem>
    <reviewItem>
      <errorID>bdfce606-495a-4172-8bfc-3c8e604de7a4</errorID>
      <errorWord>月度</errorWord>
      <group>L1_Word</group>
      <groupName>字词问题</groupName>
      <ability>L2_Typo</ability>
      <abilityName>字词错误</abilityName>
      <candidateList>
        <item>月</item>
      </candidateList>
      <explain/>
      <paraID>310A47A8</paraID>
      <start>366</start>
      <end>368</end>
      <status>unmodified</status>
      <modifiedWord/>
      <trackRevisions>false</trackRevisions>
    </reviewItem>
    <reviewItem>
      <errorID>4d957246-9834-461d-8d73-68a386850b9e</errorID>
      <errorWord>裙脚</errorWord>
      <group>L1_Word</group>
      <groupName>字词问题</groupName>
      <ability>L2_Typo</ability>
      <abilityName>字词错误</abilityName>
      <candidateList>
        <item>裙角</item>
      </candidateList>
      <explain/>
      <paraID>54BF49AA</paraID>
      <start>17</start>
      <end>19</end>
      <status>unmodified</status>
      <modifiedWord/>
      <trackRevisions>false</trackRevisions>
    </reviewItem>
    <reviewItem>
      <errorID>0dcdd3da-6d71-4f99-9c11-7fb3b5684990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63755CA6</paraID>
      <start>126</start>
      <end>127</end>
      <status>unmodified</status>
      <modifiedWord/>
      <trackRevisions>false</trackRevisions>
    </reviewItem>
    <reviewItem>
      <errorID>987081b5-c501-462d-9959-391b83e4c1fa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63755CA6</paraID>
      <start>165</start>
      <end>166</end>
      <status>unmodified</status>
      <modifiedWord/>
      <trackRevisions>false</trackRevisions>
    </reviewItem>
    <reviewItem>
      <errorID>46925ccb-d7a4-4c2a-adb8-1aca8dbcb8af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7B048B4F</paraID>
      <start>0</start>
      <end>2</end>
      <status>unmodified</status>
      <modifiedWord/>
      <trackRevisions>false</trackRevisions>
    </reviewItem>
    <reviewItem>
      <errorID>e06f0cf6-5d96-44da-860f-25c6ef14a3f9</errorID>
      <errorWord>机</errorWord>
      <group>L1_Word</group>
      <groupName>字词问题</groupName>
      <ability>L2_Typo</ability>
      <abilityName>字词错误</abilityName>
      <candidateList>
        <item>机械</item>
      </candidateList>
      <explain/>
      <paraID>7EDFC4C1</paraID>
      <start>11</start>
      <end>12</end>
      <status>unmodified</status>
      <modifiedWord/>
      <trackRevisions>false</trackRevisions>
    </reviewItem>
    <reviewItem>
      <errorID>6e1e9973-ab19-4dfa-b339-b7c6c17e7275</errorID>
      <errorWord>黏土</errorWord>
      <group>L1_Word</group>
      <groupName>字词问题</groupName>
      <ability>L2_Typo</ability>
      <abilityName>字词错误</abilityName>
      <candidateList>
        <item>粘土</item>
      </candidateList>
      <explain/>
      <paraID>7EDFC4C1</paraID>
      <start>37</start>
      <end>39</end>
      <status>unmodified</status>
      <modifiedWord/>
      <trackRevisions>false</trackRevisions>
    </reviewItem>
    <reviewItem>
      <errorID>db317192-9a67-4955-885f-973aae22bcf4</errorID>
      <errorWord>机</errorWord>
      <group>L1_Word</group>
      <groupName>字词问题</groupName>
      <ability>L2_Typo</ability>
      <abilityName>字词错误</abilityName>
      <candidateList>
        <item>机械</item>
      </candidateList>
      <explain/>
      <paraID>575AD111</paraID>
      <start>0</start>
      <end>1</end>
      <status>unmodified</status>
      <modifiedWord/>
      <trackRevisions>false</trackRevisions>
    </reviewItem>
    <reviewItem>
      <errorID>cb9cadf8-a99c-4bc7-8c33-4d9190ce7a15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13F9DA65</paraID>
      <start>0</start>
      <end>2</end>
      <status>unmodified</status>
      <modifiedWord/>
      <trackRevisions>false</trackRevisions>
    </reviewItem>
    <reviewItem>
      <errorID>95311cba-40cc-4916-ba4d-ee1acac4d8e5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348C8F81</paraID>
      <start>0</start>
      <end>2</end>
      <status>unmodified</status>
      <modifiedWord/>
      <trackRevisions>false</trackRevisions>
    </reviewItem>
    <reviewItem>
      <errorID>7aa44535-9f40-48a7-947d-038e870e17e9</errorID>
      <errorWord>混凝土浇制</errorWord>
      <group>L1_Knowledge</group>
      <groupName>知识性问题</groupName>
      <ability>L2_Term</ability>
      <abilityName>专业术语</abilityName>
      <candidateList>
        <item>混凝土浇筑</item>
      </candidateList>
      <explain/>
      <paraID>6FF22CF9</paraID>
      <start>18</start>
      <end>23</end>
      <status>unmodified</status>
      <modifiedWord/>
      <trackRevisions>false</trackRevisions>
    </reviewItem>
    <reviewItem>
      <errorID>2cf349d5-e303-4948-a5be-3987e608b846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3BB3809D</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85004a-a5d5-4a63-b537-481508b40de5}">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3942</Words>
  <Characters>4318</Characters>
  <Lines>0</Lines>
  <Paragraphs>0</Paragraphs>
  <TotalTime>1</TotalTime>
  <ScaleCrop>false</ScaleCrop>
  <LinksUpToDate>false</LinksUpToDate>
  <CharactersWithSpaces>4439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2025-03-21T06:39:00Z</dcterms:created>
  <dc:creator>Administrator</dc:creator>
  <cp:lastModifiedBy>FQR</cp:lastModifiedBy>
  <cp:lastPrinted>2026-05-11T02:43:00Z</cp:lastPrinted>
  <dcterms:modified xsi:type="dcterms:W3CDTF">2026-05-14T01:05:27Z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eyJoZGlkIjoiMTkxMzlkNjMzOWUyYzllMDQ0MDUzZmMwYmU2Mjg0YzEiLCJ1c2VySWQiOiIyNjQ1MzYyOTcifQ==</vt:lpwstr>
  </property>
  <property fmtid="{D5CDD505-2E9C-101B-9397-08002B2CF9AE}" pid="4" name="ICV">
    <vt:lpwstr>271F3B4DE5DA4670936F450151560DCC_13</vt:lpwstr>
  </property>
</Properties>
</file>